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
          <w:lang w:val="en-US"/>
        </w:rPr>
      </w:pPr>
      <w:r>
        <w:rPr>
          <w:b/>
          <w:lang w:val="en-US"/>
        </w:rPr>
      </w:r>
    </w:p>
    <w:p>
      <w:pPr>
        <w:pStyle w:val="Normal"/>
        <w:rPr>
          <w:rFonts w:ascii="Arial" w:hAnsi="Arial"/>
          <w:b/>
          <w:b/>
          <w:sz w:val="24"/>
          <w:szCs w:val="24"/>
          <w:lang w:val="en-US"/>
        </w:rPr>
      </w:pPr>
      <w:r>
        <w:rPr>
          <w:rFonts w:ascii="Arial" w:hAnsi="Arial"/>
          <w:b/>
          <w:sz w:val="24"/>
          <w:szCs w:val="24"/>
          <w:lang w:val="en-US"/>
        </w:rPr>
      </w:r>
    </w:p>
    <w:p>
      <w:pPr>
        <w:pStyle w:val="Normal"/>
        <w:rPr>
          <w:rFonts w:ascii="Arial" w:hAnsi="Arial"/>
          <w:sz w:val="24"/>
          <w:szCs w:val="24"/>
        </w:rPr>
      </w:pPr>
      <w:r>
        <w:rPr>
          <w:rFonts w:ascii="Arial" w:hAnsi="Arial"/>
          <w:b/>
          <w:sz w:val="24"/>
          <w:szCs w:val="24"/>
        </w:rPr>
        <w:t>1.ХАРАКТЕРИСТИКА ОБЪЕКТА</w:t>
      </w:r>
    </w:p>
    <w:p>
      <w:pPr>
        <w:pStyle w:val="Normal"/>
        <w:jc w:val="center"/>
        <w:rPr>
          <w:rFonts w:ascii="Arial" w:hAnsi="Arial"/>
          <w:sz w:val="24"/>
          <w:szCs w:val="24"/>
        </w:rPr>
      </w:pPr>
      <w:r>
        <w:rPr>
          <w:rFonts w:ascii="Arial" w:hAnsi="Arial"/>
          <w:b/>
          <w:sz w:val="24"/>
          <w:szCs w:val="24"/>
        </w:rPr>
        <w:t xml:space="preserve">                                                                                              </w:t>
      </w:r>
    </w:p>
    <w:p>
      <w:pPr>
        <w:pStyle w:val="Default"/>
        <w:jc w:val="both"/>
        <w:rPr>
          <w:rFonts w:ascii="Arial" w:hAnsi="Arial"/>
          <w:sz w:val="24"/>
          <w:szCs w:val="24"/>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«Олжас».</w:t>
      </w:r>
    </w:p>
    <w:p>
      <w:pPr>
        <w:pStyle w:val="Default"/>
        <w:ind w:firstLine="708"/>
        <w:jc w:val="both"/>
        <w:rPr>
          <w:rFonts w:ascii="Arial" w:hAnsi="Arial"/>
          <w:sz w:val="24"/>
          <w:szCs w:val="24"/>
        </w:rPr>
      </w:pPr>
      <w:r>
        <w:rPr>
          <w:rFonts w:cs="Arial" w:ascii="Arial" w:hAnsi="Arial"/>
          <w:sz w:val="24"/>
          <w:szCs w:val="24"/>
          <w:lang w:val="kk-KZ"/>
        </w:rPr>
        <w:t xml:space="preserve">Утилизация, будет осуществлена методом сжигания в печи     предназначенной для сжигания медицинских отходов </w:t>
      </w:r>
      <w:r>
        <w:rPr>
          <w:rFonts w:ascii="Arial" w:hAnsi="Arial"/>
          <w:sz w:val="24"/>
          <w:szCs w:val="24"/>
        </w:rPr>
        <w:t>на территории ТОО «Олжас», расположенного по адресу: Алматинская область, Илийский район, п. Боралдай, Менделеева, 10Е.</w:t>
      </w:r>
    </w:p>
    <w:p>
      <w:pPr>
        <w:pStyle w:val="Default"/>
        <w:ind w:firstLine="708"/>
        <w:rPr>
          <w:rFonts w:ascii="Arial" w:hAnsi="Arial"/>
          <w:sz w:val="24"/>
          <w:szCs w:val="24"/>
        </w:rPr>
      </w:pPr>
      <w:r>
        <w:rPr>
          <w:rFonts w:ascii="Arial" w:hAnsi="Arial"/>
          <w:sz w:val="24"/>
          <w:szCs w:val="24"/>
        </w:rPr>
        <w:t xml:space="preserve">Объемом утилизируемых препаратов  -  </w:t>
      </w:r>
      <w:r>
        <w:rPr>
          <w:rFonts w:ascii="Arial" w:hAnsi="Arial"/>
          <w:sz w:val="24"/>
          <w:szCs w:val="24"/>
          <w:lang w:val="kk-KZ"/>
        </w:rPr>
        <w:t>61</w:t>
      </w:r>
      <w:r>
        <w:rPr>
          <w:rFonts w:ascii="Arial" w:hAnsi="Arial"/>
          <w:sz w:val="24"/>
          <w:szCs w:val="24"/>
          <w:lang w:val="en-US"/>
        </w:rPr>
        <w:t>,752</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0</w:t>
      </w:r>
      <w:r>
        <w:rPr>
          <w:rFonts w:ascii="Arial" w:hAnsi="Arial"/>
          <w:sz w:val="24"/>
          <w:szCs w:val="24"/>
          <w:lang w:val="en-US"/>
        </w:rPr>
        <w:t>,061</w:t>
      </w:r>
      <w:r>
        <w:rPr>
          <w:rFonts w:ascii="Arial" w:hAnsi="Arial"/>
          <w:sz w:val="24"/>
          <w:szCs w:val="24"/>
        </w:rPr>
        <w:t xml:space="preserve"> тонн)</w:t>
      </w:r>
    </w:p>
    <w:p>
      <w:pPr>
        <w:pStyle w:val="Default"/>
        <w:ind w:firstLine="708"/>
        <w:rPr>
          <w:rFonts w:ascii="Arial" w:hAnsi="Arial"/>
          <w:sz w:val="24"/>
          <w:szCs w:val="24"/>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6116"/>
        <w:gridCol w:w="1185"/>
        <w:gridCol w:w="1364"/>
        <w:gridCol w:w="1920"/>
      </w:tblGrid>
      <w:tr>
        <w:trPr/>
        <w:tc>
          <w:tcPr>
            <w:tcW w:w="6116"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sz w:val="24"/>
                <w:szCs w:val="24"/>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185"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sz w:val="24"/>
                <w:szCs w:val="24"/>
              </w:rPr>
            </w:pPr>
            <w:r>
              <w:rPr>
                <w:rFonts w:ascii="Arial" w:hAnsi="Arial"/>
                <w:b/>
                <w:bCs/>
                <w:sz w:val="24"/>
                <w:szCs w:val="24"/>
              </w:rPr>
              <w:t>Серия</w:t>
            </w:r>
          </w:p>
        </w:tc>
        <w:tc>
          <w:tcPr>
            <w:tcW w:w="1364"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sz w:val="24"/>
                <w:szCs w:val="24"/>
              </w:rPr>
            </w:pPr>
            <w:r>
              <w:rPr>
                <w:rFonts w:cs="Times New Roman" w:ascii="Arial" w:hAnsi="Arial"/>
                <w:b/>
                <w:bCs/>
                <w:color w:val="000000"/>
                <w:sz w:val="24"/>
                <w:szCs w:val="24"/>
              </w:rPr>
              <w:t>Количество</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sz w:val="24"/>
                <w:szCs w:val="24"/>
              </w:rPr>
            </w:pPr>
            <w:r>
              <w:rPr>
                <w:rFonts w:cs="Times New Roman" w:ascii="Arial" w:hAnsi="Arial"/>
                <w:b/>
                <w:bCs/>
                <w:color w:val="000000"/>
                <w:sz w:val="24"/>
                <w:szCs w:val="24"/>
              </w:rPr>
              <w:t>Вес брутто / кг</w:t>
            </w:r>
          </w:p>
        </w:tc>
      </w:tr>
      <w:tr>
        <w:trPr/>
        <w:tc>
          <w:tcPr>
            <w:tcW w:w="6116" w:type="dxa"/>
            <w:tcBorders>
              <w:left w:val="single" w:sz="4" w:space="0" w:color="000000"/>
              <w:bottom w:val="single" w:sz="4" w:space="0" w:color="000000"/>
            </w:tcBorders>
          </w:tcPr>
          <w:p>
            <w:pPr>
              <w:pStyle w:val="Style20"/>
              <w:widowControl w:val="false"/>
              <w:jc w:val="left"/>
              <w:rPr>
                <w:rFonts w:ascii="Arial" w:hAnsi="Arial"/>
                <w:sz w:val="24"/>
                <w:szCs w:val="24"/>
              </w:rPr>
            </w:pPr>
            <w:r>
              <w:rPr>
                <w:rFonts w:ascii="Arial" w:hAnsi="Arial"/>
                <w:sz w:val="24"/>
                <w:szCs w:val="24"/>
              </w:rPr>
              <w:t>Эффералган, таблетки шипучие 500 мг, 4 таблетки в контурной безъячейковой упаковке, по 4 контурных безъячейковых упаковок в коробке из картона.</w:t>
            </w:r>
          </w:p>
        </w:tc>
        <w:tc>
          <w:tcPr>
            <w:tcW w:w="1185" w:type="dxa"/>
            <w:tcBorders>
              <w:left w:val="single" w:sz="4" w:space="0" w:color="000000"/>
              <w:bottom w:val="single" w:sz="4" w:space="0" w:color="000000"/>
            </w:tcBorders>
          </w:tcPr>
          <w:p>
            <w:pPr>
              <w:pStyle w:val="Style20"/>
              <w:widowControl w:val="false"/>
              <w:jc w:val="center"/>
              <w:rPr>
                <w:rFonts w:ascii="Arial" w:hAnsi="Arial"/>
                <w:sz w:val="24"/>
                <w:szCs w:val="24"/>
              </w:rPr>
            </w:pPr>
            <w:r>
              <w:rPr>
                <w:rFonts w:ascii="Arial" w:hAnsi="Arial"/>
                <w:sz w:val="24"/>
                <w:szCs w:val="24"/>
              </w:rPr>
              <w:t>B8265</w:t>
            </w:r>
          </w:p>
        </w:tc>
        <w:tc>
          <w:tcPr>
            <w:tcW w:w="1364" w:type="dxa"/>
            <w:tcBorders>
              <w:left w:val="single" w:sz="4" w:space="0" w:color="000000"/>
              <w:bottom w:val="single" w:sz="4" w:space="0" w:color="000000"/>
            </w:tcBorders>
          </w:tcPr>
          <w:p>
            <w:pPr>
              <w:pStyle w:val="Style20"/>
              <w:widowControl w:val="false"/>
              <w:jc w:val="center"/>
              <w:rPr>
                <w:lang w:val="kk-KZ"/>
              </w:rPr>
            </w:pPr>
            <w:r>
              <w:rPr>
                <w:lang w:val="kk-KZ"/>
              </w:rPr>
              <w:t>744</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sz w:val="24"/>
                <w:szCs w:val="24"/>
              </w:rPr>
            </w:pPr>
            <w:r>
              <w:rPr>
                <w:rFonts w:ascii="Arial" w:hAnsi="Arial"/>
                <w:sz w:val="24"/>
                <w:szCs w:val="24"/>
                <w:lang w:val="kk-KZ"/>
              </w:rPr>
              <w:t>61</w:t>
            </w:r>
            <w:r>
              <w:rPr>
                <w:rFonts w:ascii="Arial" w:hAnsi="Arial"/>
                <w:sz w:val="24"/>
                <w:szCs w:val="24"/>
              </w:rPr>
              <w:t>,</w:t>
            </w:r>
            <w:r>
              <w:rPr>
                <w:rFonts w:ascii="Arial" w:hAnsi="Arial"/>
                <w:sz w:val="24"/>
                <w:szCs w:val="24"/>
                <w:lang w:val="kk-KZ"/>
              </w:rPr>
              <w:t>752</w:t>
            </w:r>
          </w:p>
        </w:tc>
      </w:tr>
      <w:tr>
        <w:trPr/>
        <w:tc>
          <w:tcPr>
            <w:tcW w:w="6116"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b/>
                <w:bCs/>
                <w:sz w:val="24"/>
                <w:szCs w:val="24"/>
              </w:rPr>
              <w:t>Итого</w:t>
            </w:r>
          </w:p>
        </w:tc>
        <w:tc>
          <w:tcPr>
            <w:tcW w:w="1185"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sz w:val="24"/>
                <w:szCs w:val="24"/>
              </w:rPr>
            </w:r>
          </w:p>
        </w:tc>
        <w:tc>
          <w:tcPr>
            <w:tcW w:w="1364"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b/>
                <w:bCs/>
                <w:sz w:val="24"/>
                <w:szCs w:val="24"/>
                <w:lang w:val="en-US"/>
              </w:rPr>
              <w:t>744</w:t>
            </w:r>
          </w:p>
        </w:tc>
        <w:tc>
          <w:tcPr>
            <w:tcW w:w="1920" w:type="dxa"/>
            <w:tcBorders>
              <w:left w:val="single" w:sz="4" w:space="0" w:color="000000"/>
              <w:bottom w:val="single" w:sz="4" w:space="0" w:color="000000"/>
              <w:right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b/>
                <w:bCs/>
                <w:sz w:val="24"/>
                <w:szCs w:val="24"/>
                <w:lang w:val="en-US"/>
              </w:rPr>
              <w:t xml:space="preserve">61,752 </w:t>
            </w:r>
            <w:r>
              <w:rPr>
                <w:rFonts w:ascii="Arial" w:hAnsi="Arial"/>
                <w:b/>
                <w:bCs/>
                <w:sz w:val="24"/>
                <w:szCs w:val="24"/>
                <w:lang w:val="ru-RU"/>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en-US"/>
              </w:rPr>
              <w:t>61,752</w:t>
            </w:r>
            <w:r>
              <w:rPr>
                <w:rFonts w:ascii="Arial" w:hAnsi="Arial"/>
                <w:kern w:val="0"/>
                <w:sz w:val="20"/>
              </w:rPr>
              <w:t xml:space="preserve"> кг </w:t>
              <w:br/>
              <w:t>(</w:t>
            </w:r>
            <w:r>
              <w:rPr>
                <w:rFonts w:ascii="Arial" w:hAnsi="Arial"/>
                <w:kern w:val="0"/>
                <w:sz w:val="20"/>
                <w:lang w:val="kk-KZ"/>
              </w:rPr>
              <w:t>0</w:t>
            </w:r>
            <w:r>
              <w:rPr>
                <w:rFonts w:ascii="Arial" w:hAnsi="Arial"/>
                <w:kern w:val="0"/>
                <w:sz w:val="20"/>
                <w:lang w:val="en-US"/>
              </w:rPr>
              <w:t xml:space="preserve">,061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«Олжас»</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«Олжас». Имеется положительное Заключение государственной экологической экспертизы и разрешение на эмиссии №KZ</w:t>
      </w:r>
      <w:r>
        <w:rPr>
          <w:rFonts w:ascii="Arial" w:hAnsi="Arial"/>
        </w:rPr>
        <w:t>55</w:t>
      </w:r>
      <w:r>
        <w:rPr>
          <w:rFonts w:ascii="Arial" w:hAnsi="Arial"/>
          <w:lang w:val="en-US"/>
        </w:rPr>
        <w:t>VCZ03815478</w:t>
      </w:r>
      <w:r>
        <w:rPr>
          <w:rFonts w:ascii="Arial" w:hAnsi="Arial"/>
        </w:rPr>
        <w:t xml:space="preserve"> от </w:t>
      </w:r>
      <w:r>
        <w:rPr>
          <w:rFonts w:ascii="Arial" w:hAnsi="Arial"/>
          <w:lang w:val="en-US"/>
        </w:rPr>
        <w:t>06</w:t>
      </w:r>
      <w:r>
        <w:rPr>
          <w:rFonts w:ascii="Arial" w:hAnsi="Arial"/>
        </w:rPr>
        <w:t>.01.202</w:t>
      </w:r>
      <w:r>
        <w:rPr>
          <w:rFonts w:ascii="Arial" w:hAnsi="Arial"/>
          <w:lang w:val="en-US"/>
        </w:rPr>
        <w:t>5</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left="1065" w:hanging="0"/>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b/>
        </w:rPr>
      </w:pPr>
      <w:r>
        <w:rPr>
          <w:rFonts w:ascii="Arial" w:hAnsi="Arial"/>
          <w:b/>
        </w:rPr>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«Олжас».</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1"/>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roman"/>
    <w:pitch w:val="variable"/>
  </w:font>
  <w:font w:name="Times New Roman PSMT">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Style16"/>
    <w:uiPriority w:val="0"/>
    <w:qFormat/>
    <w:pPr>
      <w:keepNext w:val="true"/>
      <w:spacing w:before="240" w:after="120"/>
    </w:pPr>
    <w:rPr>
      <w:rFonts w:ascii="Liberation Sans" w:hAnsi="Liberation Sans" w:eastAsia="WenQuanYi Zen Hei Sharp" w:cs="Lohit Devanagari"/>
      <w:sz w:val="28"/>
      <w:szCs w:val="28"/>
    </w:rPr>
  </w:style>
  <w:style w:type="paragraph" w:styleId="Style16">
    <w:name w:val="Body Text"/>
    <w:basedOn w:val="Normal"/>
    <w:uiPriority w:val="0"/>
    <w:pPr>
      <w:spacing w:lineRule="auto" w:line="288" w:before="0" w:after="140"/>
    </w:pPr>
    <w:rPr/>
  </w:style>
  <w:style w:type="paragraph" w:styleId="Style17">
    <w:name w:val="List"/>
    <w:basedOn w:val="Style16"/>
    <w:uiPriority w:val="0"/>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left="720" w:hanging="0"/>
      <w:contextualSpacing/>
    </w:pPr>
    <w:rPr/>
  </w:style>
  <w:style w:type="paragraph" w:styleId="Style20" w:customStyle="1">
    <w:name w:val="Содержимое таблицы"/>
    <w:basedOn w:val="Normal"/>
    <w:uiPriority w:val="0"/>
    <w:qFormat/>
    <w:pPr/>
    <w:rPr/>
  </w:style>
  <w:style w:type="paragraph" w:styleId="Style21" w:customStyle="1">
    <w:name w:val="Заголовок таблицы"/>
    <w:basedOn w:val="Style20"/>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22">
    <w:name w:val="Абзац списка"/>
    <w:basedOn w:val="Normal"/>
    <w:qFormat/>
    <w:pPr>
      <w:spacing w:before="0" w:after="0"/>
      <w:ind w:left="720" w:hanging="0"/>
      <w:contextualSpacing/>
    </w:pPr>
    <w:rPr/>
  </w:style>
  <w:style w:type="paragraph" w:styleId="Style23">
    <w:name w:val="Название объекта"/>
    <w:basedOn w:val="Normal"/>
    <w:qFormat/>
    <w:pPr>
      <w:spacing w:before="120" w:after="120"/>
    </w:pPr>
    <w:rPr>
      <w:rFonts w:cs="Lohit Devanagari"/>
      <w:i/>
      <w:iC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a:ea typeface=""/>
        <a:cs typeface=""/>
      </a:majorFont>
      <a:minorFont>
        <a:latin typeface="Blackadder ITC"/>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LibreOffice/7.4.0.3$Windows_X86_64 LibreOffice_project/f85e47c08ddd19c015c0114a68350214f7066f5a</Application>
  <AppVersion>15.0000</AppVersion>
  <Pages>5</Pages>
  <Words>1474</Words>
  <Characters>10525</Characters>
  <CharactersWithSpaces>12123</CharactersWithSpaces>
  <Paragraphs>112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2025-12-03T16:43:53Z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