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b/>
          <w:lang w:val="en-US"/>
        </w:rPr>
      </w:pPr>
      <w:r>
        <w:rPr>
          <w:b/>
          <w:lang w:val="en-US"/>
        </w:rPr>
      </w:r>
    </w:p>
    <w:p>
      <w:pPr>
        <w:pStyle w:val="Normal"/>
        <w:rPr>
          <w:rFonts w:ascii="Arial" w:hAnsi="Arial"/>
          <w:b/>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ind w:firstLine="708"/>
        <w:jc w:val="both"/>
        <w:rPr>
          <w:rFonts w:ascii="Arial" w:hAnsi="Arial"/>
        </w:rPr>
      </w:pPr>
      <w:r>
        <w:rPr>
          <w:rFonts w:ascii="Arial" w:hAnsi="Arial"/>
          <w:sz w:val="24"/>
          <w:szCs w:val="24"/>
        </w:rPr>
        <w:t xml:space="preserve">Утилизация медицинских препаратов осуществляется методом </w:t>
      </w:r>
      <w:r>
        <w:rPr>
          <w:rFonts w:cs="Arial" w:ascii="Arial" w:hAnsi="Arial"/>
          <w:sz w:val="24"/>
          <w:szCs w:val="24"/>
          <w:lang w:val="kk-KZ"/>
        </w:rPr>
        <w:t xml:space="preserve">сжигания в печи предназначенной для сжигания медицинских отходов и </w:t>
      </w:r>
      <w:r>
        <w:rPr>
          <w:rFonts w:cs="Arial" w:ascii="Arial" w:hAnsi="Arial"/>
          <w:b w:val="false"/>
          <w:bCs w:val="false"/>
          <w:sz w:val="24"/>
          <w:szCs w:val="24"/>
          <w:lang w:val="kk-KZ"/>
        </w:rPr>
        <w:t>путем</w:t>
      </w:r>
      <w:r>
        <w:rPr>
          <w:rFonts w:ascii="Arial" w:hAnsi="Arial"/>
          <w:sz w:val="24"/>
          <w:szCs w:val="24"/>
        </w:rPr>
        <w:t xml:space="preserve"> </w:t>
      </w:r>
      <w:r>
        <w:rPr>
          <w:rFonts w:ascii="Arial" w:hAnsi="Arial"/>
          <w:sz w:val="24"/>
          <w:szCs w:val="24"/>
          <w:lang w:val="kk-KZ"/>
        </w:rPr>
        <w:t>раздавливания с последующим разведением содержимого водой в соотношении 1:100 и сливом образующегося раствора в промышленную канализацию</w:t>
      </w:r>
      <w:r>
        <w:rPr>
          <w:rFonts w:ascii="Arial" w:hAnsi="Arial"/>
          <w:sz w:val="24"/>
          <w:szCs w:val="24"/>
        </w:rPr>
        <w:t xml:space="preserve"> на территории ТОО «АКЛЕР ГРУПП», расположенного по адресу: Алматинская область, </w:t>
      </w:r>
      <w:r>
        <w:rPr>
          <w:rFonts w:ascii="Arial" w:hAnsi="Arial"/>
          <w:sz w:val="24"/>
          <w:szCs w:val="24"/>
          <w:lang w:val="ru-RU"/>
        </w:rPr>
        <w:t>Талгарский район</w:t>
      </w:r>
      <w:r>
        <w:rPr>
          <w:rFonts w:ascii="Arial" w:hAnsi="Arial"/>
          <w:sz w:val="24"/>
          <w:szCs w:val="24"/>
        </w:rPr>
        <w:t>,</w:t>
      </w:r>
      <w:r>
        <w:rPr>
          <w:rFonts w:ascii="Arial" w:hAnsi="Arial"/>
          <w:sz w:val="24"/>
          <w:szCs w:val="24"/>
          <w:lang w:val="en-US"/>
        </w:rPr>
        <w:t xml:space="preserve"> </w:t>
      </w:r>
      <w:r>
        <w:rPr>
          <w:rFonts w:ascii="Arial" w:hAnsi="Arial"/>
          <w:sz w:val="24"/>
          <w:szCs w:val="24"/>
          <w:lang w:val="ru-RU"/>
        </w:rPr>
        <w:t>сельский округ Кайнар, учетный квартал №225</w:t>
      </w:r>
      <w:r>
        <w:rPr>
          <w:rFonts w:ascii="Arial" w:hAnsi="Arial"/>
          <w:sz w:val="24"/>
          <w:szCs w:val="24"/>
        </w:rPr>
        <w:t>.</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ru-RU"/>
        </w:rPr>
        <w:t>368,00</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w:t>
      </w:r>
      <w:r>
        <w:rPr>
          <w:rFonts w:ascii="Arial" w:hAnsi="Arial"/>
          <w:sz w:val="24"/>
          <w:szCs w:val="24"/>
          <w:lang w:val="ru-RU"/>
        </w:rPr>
        <w:t>368</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5317"/>
        <w:gridCol w:w="1650"/>
        <w:gridCol w:w="1698"/>
        <w:gridCol w:w="1920"/>
      </w:tblGrid>
      <w:tr>
        <w:trPr/>
        <w:tc>
          <w:tcPr>
            <w:tcW w:w="5317"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650"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698"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5317" w:type="dxa"/>
            <w:tcBorders>
              <w:left w:val="single" w:sz="4" w:space="0" w:color="000000"/>
              <w:bottom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LAVIEN BT x30 cap</w:t>
            </w:r>
          </w:p>
        </w:tc>
        <w:tc>
          <w:tcPr>
            <w:tcW w:w="1650" w:type="dxa"/>
            <w:tcBorders>
              <w:left w:val="single" w:sz="4" w:space="0" w:color="000000"/>
              <w:bottom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1230123</w:t>
            </w:r>
          </w:p>
        </w:tc>
        <w:tc>
          <w:tcPr>
            <w:tcW w:w="1698" w:type="dxa"/>
            <w:tcBorders>
              <w:left w:val="single" w:sz="4" w:space="0" w:color="000000"/>
              <w:bottom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8923</w:t>
            </w:r>
          </w:p>
        </w:tc>
        <w:tc>
          <w:tcPr>
            <w:tcW w:w="1920" w:type="dxa"/>
            <w:tcBorders>
              <w:left w:val="single" w:sz="4" w:space="0" w:color="000000"/>
              <w:bottom w:val="single" w:sz="4" w:space="0" w:color="000000"/>
              <w:right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342,700</w:t>
            </w:r>
          </w:p>
        </w:tc>
      </w:tr>
      <w:tr>
        <w:trPr/>
        <w:tc>
          <w:tcPr>
            <w:tcW w:w="5317" w:type="dxa"/>
            <w:tcBorders>
              <w:left w:val="single" w:sz="4" w:space="0" w:color="000000"/>
              <w:bottom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BEKANT BTX x30 cap</w:t>
            </w:r>
          </w:p>
        </w:tc>
        <w:tc>
          <w:tcPr>
            <w:tcW w:w="1650" w:type="dxa"/>
            <w:tcBorders>
              <w:left w:val="single" w:sz="4" w:space="0" w:color="000000"/>
              <w:bottom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0850123</w:t>
            </w:r>
          </w:p>
        </w:tc>
        <w:tc>
          <w:tcPr>
            <w:tcW w:w="1698" w:type="dxa"/>
            <w:tcBorders>
              <w:left w:val="single" w:sz="4" w:space="0" w:color="000000"/>
              <w:bottom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655</w:t>
            </w:r>
          </w:p>
        </w:tc>
        <w:tc>
          <w:tcPr>
            <w:tcW w:w="1920" w:type="dxa"/>
            <w:tcBorders>
              <w:left w:val="single" w:sz="4" w:space="0" w:color="000000"/>
              <w:bottom w:val="single" w:sz="4" w:space="0" w:color="000000"/>
              <w:right w:val="single" w:sz="4" w:space="0" w:color="000000"/>
            </w:tcBorders>
          </w:tcPr>
          <w:p>
            <w:pPr>
              <w:pStyle w:val="Style20"/>
              <w:spacing w:before="0" w:after="200"/>
              <w:jc w:val="center"/>
              <w:rPr>
                <w:rFonts w:ascii="Arial" w:hAnsi="Arial" w:cs="Arial"/>
                <w:color w:val="000000"/>
                <w:sz w:val="24"/>
                <w:szCs w:val="24"/>
                <w:lang w:val="en-US"/>
              </w:rPr>
            </w:pPr>
            <w:r>
              <w:rPr>
                <w:rFonts w:cs="Arial" w:ascii="Arial" w:hAnsi="Arial"/>
                <w:color w:val="000000"/>
                <w:sz w:val="24"/>
                <w:szCs w:val="24"/>
                <w:lang w:val="en-US"/>
              </w:rPr>
              <w:t>25,300</w:t>
            </w:r>
          </w:p>
        </w:tc>
      </w:tr>
      <w:tr>
        <w:trPr/>
        <w:tc>
          <w:tcPr>
            <w:tcW w:w="5317" w:type="dxa"/>
            <w:tcBorders>
              <w:left w:val="single" w:sz="4" w:space="0" w:color="000000"/>
              <w:bottom w:val="single" w:sz="4" w:space="0" w:color="000000"/>
            </w:tcBorders>
          </w:tcPr>
          <w:p>
            <w:pPr>
              <w:pStyle w:val="Style20"/>
              <w:widowControl w:val="false"/>
              <w:spacing w:lineRule="auto" w:line="276" w:before="0" w:after="200"/>
              <w:jc w:val="center"/>
              <w:rPr>
                <w:rFonts w:ascii="Arial" w:hAnsi="Arial" w:cs="Arial"/>
                <w:b/>
                <w:b/>
                <w:bCs/>
                <w:sz w:val="24"/>
                <w:szCs w:val="24"/>
              </w:rPr>
            </w:pPr>
            <w:r>
              <w:rPr>
                <w:rFonts w:cs="Arial" w:ascii="Arial" w:hAnsi="Arial"/>
                <w:b/>
                <w:bCs/>
                <w:sz w:val="24"/>
                <w:szCs w:val="24"/>
              </w:rPr>
              <w:t>Итого</w:t>
            </w:r>
          </w:p>
        </w:tc>
        <w:tc>
          <w:tcPr>
            <w:tcW w:w="1650" w:type="dxa"/>
            <w:tcBorders>
              <w:left w:val="single" w:sz="4" w:space="0" w:color="000000"/>
              <w:bottom w:val="single" w:sz="4" w:space="0" w:color="000000"/>
            </w:tcBorders>
          </w:tcPr>
          <w:p>
            <w:pPr>
              <w:pStyle w:val="Style20"/>
              <w:widowControl w:val="false"/>
              <w:snapToGrid w:val="false"/>
              <w:spacing w:lineRule="auto" w:line="276" w:before="0" w:after="200"/>
              <w:jc w:val="center"/>
              <w:rPr>
                <w:rFonts w:ascii="Arial" w:hAnsi="Arial" w:cs="Arial"/>
                <w:b/>
                <w:b/>
                <w:bCs/>
                <w:sz w:val="24"/>
                <w:szCs w:val="24"/>
              </w:rPr>
            </w:pPr>
            <w:r>
              <w:rPr>
                <w:rFonts w:cs="Arial" w:ascii="Arial" w:hAnsi="Arial"/>
                <w:b/>
                <w:bCs/>
                <w:sz w:val="24"/>
                <w:szCs w:val="24"/>
              </w:rPr>
            </w:r>
          </w:p>
        </w:tc>
        <w:tc>
          <w:tcPr>
            <w:tcW w:w="1698" w:type="dxa"/>
            <w:tcBorders>
              <w:left w:val="single" w:sz="4" w:space="0" w:color="000000"/>
              <w:bottom w:val="single" w:sz="4" w:space="0" w:color="000000"/>
            </w:tcBorders>
          </w:tcPr>
          <w:p>
            <w:pPr>
              <w:pStyle w:val="Style20"/>
              <w:widowControl w:val="false"/>
              <w:spacing w:lineRule="auto" w:line="276" w:before="0" w:after="200"/>
              <w:jc w:val="center"/>
              <w:rPr>
                <w:rFonts w:ascii="Arial" w:hAnsi="Arial" w:cs="Arial"/>
                <w:b/>
                <w:b/>
                <w:bCs/>
                <w:sz w:val="24"/>
                <w:szCs w:val="24"/>
                <w:lang w:val="en-US"/>
              </w:rPr>
            </w:pPr>
            <w:r>
              <w:rPr>
                <w:rFonts w:cs="Arial" w:ascii="Arial" w:hAnsi="Arial"/>
                <w:b/>
                <w:bCs/>
                <w:sz w:val="24"/>
                <w:szCs w:val="24"/>
                <w:lang w:val="en-US"/>
              </w:rPr>
              <w:t>9578</w:t>
            </w:r>
          </w:p>
        </w:tc>
        <w:tc>
          <w:tcPr>
            <w:tcW w:w="1920" w:type="dxa"/>
            <w:tcBorders>
              <w:left w:val="single" w:sz="4" w:space="0" w:color="000000"/>
              <w:bottom w:val="single" w:sz="4" w:space="0" w:color="000000"/>
              <w:right w:val="single" w:sz="4" w:space="0" w:color="000000"/>
            </w:tcBorders>
          </w:tcPr>
          <w:p>
            <w:pPr>
              <w:pStyle w:val="Style20"/>
              <w:widowControl w:val="false"/>
              <w:spacing w:lineRule="auto" w:line="276" w:before="0" w:after="200"/>
              <w:jc w:val="center"/>
              <w:rPr>
                <w:rFonts w:ascii="Arial" w:hAnsi="Arial" w:cs="Arial"/>
                <w:b/>
                <w:b/>
                <w:bCs/>
                <w:sz w:val="24"/>
                <w:szCs w:val="24"/>
                <w:lang w:val="en-US"/>
              </w:rPr>
            </w:pPr>
            <w:r>
              <w:rPr>
                <w:rFonts w:cs="Arial" w:ascii="Arial" w:hAnsi="Arial"/>
                <w:b/>
                <w:bCs/>
                <w:sz w:val="24"/>
                <w:szCs w:val="24"/>
                <w:lang w:val="en-US"/>
              </w:rPr>
              <w:t xml:space="preserve">368,00 </w:t>
            </w:r>
            <w:r>
              <w:rPr>
                <w:rFonts w:cs="Arial" w:ascii="Arial" w:hAnsi="Arial"/>
                <w:b/>
                <w:bCs/>
                <w:sz w:val="24"/>
                <w:szCs w:val="24"/>
                <w:lang w:val="ru-RU"/>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ru-RU"/>
              </w:rPr>
              <w:t>368,00</w:t>
            </w:r>
            <w:r>
              <w:rPr>
                <w:rFonts w:ascii="Arial" w:hAnsi="Arial"/>
                <w:kern w:val="0"/>
                <w:sz w:val="20"/>
              </w:rPr>
              <w:t xml:space="preserve"> кг </w:t>
              <w:br/>
              <w:t>(</w:t>
            </w:r>
            <w:r>
              <w:rPr>
                <w:rFonts w:ascii="Arial" w:hAnsi="Arial"/>
                <w:kern w:val="0"/>
                <w:sz w:val="20"/>
                <w:lang w:val="kk-KZ"/>
              </w:rPr>
              <w:t>0</w:t>
            </w:r>
            <w:r>
              <w:rPr>
                <w:rFonts w:ascii="Arial" w:hAnsi="Arial"/>
                <w:kern w:val="0"/>
                <w:sz w:val="20"/>
                <w:lang w:val="en-US"/>
              </w:rPr>
              <w:t>,</w:t>
            </w:r>
            <w:r>
              <w:rPr>
                <w:rFonts w:ascii="Arial" w:hAnsi="Arial"/>
                <w:kern w:val="0"/>
                <w:sz w:val="20"/>
                <w:lang w:val="ru-RU"/>
              </w:rPr>
              <w:t>368</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«Олжас»</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left="1065" w:hanging="0"/>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1"/>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roman"/>
    <w:pitch w:val="variable"/>
  </w:font>
  <w:font w:name="Times New Roman PSMT">
    <w:charset w:val="cc"/>
    <w:family w:val="roman"/>
    <w:pitch w:val="variable"/>
  </w:font>
  <w:font w:name="Arial">
    <w:charset w:val="cc"/>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Style16"/>
    <w:uiPriority w:val="0"/>
    <w:qFormat/>
    <w:pPr>
      <w:keepNext w:val="true"/>
      <w:spacing w:before="240" w:after="120"/>
    </w:pPr>
    <w:rPr>
      <w:rFonts w:ascii="Liberation Sans" w:hAnsi="Liberation Sans" w:eastAsia="WenQuanYi Zen Hei Sharp" w:cs="Lohit Devanagari"/>
      <w:sz w:val="28"/>
      <w:szCs w:val="28"/>
    </w:rPr>
  </w:style>
  <w:style w:type="paragraph" w:styleId="Style16">
    <w:name w:val="Body Text"/>
    <w:basedOn w:val="Normal"/>
    <w:uiPriority w:val="0"/>
    <w:pPr>
      <w:spacing w:lineRule="auto" w:line="288" w:before="0" w:after="140"/>
    </w:pPr>
    <w:rPr/>
  </w:style>
  <w:style w:type="paragraph" w:styleId="Style17">
    <w:name w:val="List"/>
    <w:basedOn w:val="Style16"/>
    <w:uiPriority w:val="0"/>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left="720" w:hanging="0"/>
      <w:contextualSpacing/>
    </w:pPr>
    <w:rPr/>
  </w:style>
  <w:style w:type="paragraph" w:styleId="Style20" w:customStyle="1">
    <w:name w:val="Содержимое таблицы"/>
    <w:basedOn w:val="Normal"/>
    <w:uiPriority w:val="0"/>
    <w:qFormat/>
    <w:pPr/>
    <w:rPr/>
  </w:style>
  <w:style w:type="paragraph" w:styleId="Style21" w:customStyle="1">
    <w:name w:val="Заголовок таблицы"/>
    <w:basedOn w:val="Style20"/>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22">
    <w:name w:val="Абзац списка"/>
    <w:basedOn w:val="Normal"/>
    <w:qFormat/>
    <w:pPr>
      <w:spacing w:before="0" w:after="0"/>
      <w:ind w:left="720" w:hanging="0"/>
      <w:contextualSpacing/>
    </w:pPr>
    <w:rPr/>
  </w:style>
  <w:style w:type="paragraph" w:styleId="Style23">
    <w:name w:val="Название объекта"/>
    <w:basedOn w:val="Normal"/>
    <w:qFormat/>
    <w:pPr>
      <w:spacing w:before="120" w:after="120"/>
    </w:pPr>
    <w:rPr>
      <w:rFonts w:cs="Lohit Devanagari"/>
      <w:i/>
      <w:iCs/>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a:ea typeface=""/>
        <a:cs typeface=""/>
      </a:majorFont>
      <a:minorFont>
        <a:latin typeface="Blackadder ITC"/>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Application>LibreOffice/7.4.0.3$Windows_X86_64 LibreOffice_project/f85e47c08ddd19c015c0114a68350214f7066f5a</Application>
  <AppVersion>15.0000</AppVersion>
  <Pages>5</Pages>
  <Words>1474</Words>
  <Characters>10525</Characters>
  <CharactersWithSpaces>12123</CharactersWithSpaces>
  <Paragraphs>112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2026-02-04T14:41:13Z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