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724372A">
      <w:pPr>
        <w:pStyle w:val="2"/>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b/>
          <w:bCs/>
          <w:color w:val="auto"/>
          <w:sz w:val="24"/>
          <w:szCs w:val="24"/>
          <w:lang w:val="ru-RU"/>
        </w:rPr>
      </w:pPr>
      <w:bookmarkStart w:id="0" w:name="header"/>
      <w:bookmarkEnd w:id="0"/>
      <w:bookmarkStart w:id="1" w:name="X9333bc298e830267b8e91ca069ce2e243d39975"/>
      <w:bookmarkStart w:id="2" w:name="content"/>
      <w:r>
        <w:object>
          <v:shape id="_x0000_i1025" o:spt="75" type="#_x0000_t75" style="height:713.25pt;width:500.25pt;" o:ole="t" filled="f" o:preferrelative="t" stroked="f" coordsize="21600,21600">
            <v:path/>
            <v:fill on="f" focussize="0,0"/>
            <v:stroke on="f"/>
            <v:imagedata r:id="rId8" o:title=""/>
            <o:lock v:ext="edit" aspectratio="t"/>
            <w10:wrap type="none"/>
            <w10:anchorlock/>
          </v:shape>
          <o:OLEObject Type="Embed" ProgID="Word.Document.12" ShapeID="_x0000_i1025" DrawAspect="Content" ObjectID="_1468075725" r:id="rId7">
            <o:LockedField>false</o:LockedField>
          </o:OLEObject>
        </w:object>
      </w:r>
      <w:bookmarkStart w:id="3" w:name="аннотация"/>
      <w:r>
        <w:rPr>
          <w:rFonts w:hint="default" w:ascii="Times New Roman" w:hAnsi="Times New Roman" w:cs="Times New Roman"/>
          <w:b/>
          <w:bCs/>
          <w:color w:val="auto"/>
          <w:sz w:val="24"/>
          <w:szCs w:val="24"/>
        </w:rPr>
        <w:t>А</w:t>
      </w:r>
      <w:r>
        <w:rPr>
          <w:rFonts w:hint="default" w:ascii="Times New Roman" w:hAnsi="Times New Roman" w:cs="Times New Roman"/>
          <w:b/>
          <w:bCs/>
          <w:color w:val="auto"/>
          <w:sz w:val="24"/>
          <w:szCs w:val="24"/>
          <w:lang w:val="ru-RU"/>
        </w:rPr>
        <w:t>ННОТАЦИЯ</w:t>
      </w:r>
    </w:p>
    <w:p w14:paraId="25F6710D">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p>
    <w:p w14:paraId="2C9B74E8">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Настоящий раздел «Охрана окружающей среды» (далее – РООС) разработан для действующего объекта – открытой площадки ТОО «Пассажирская Компания «Туран Экспресс», расположенного по адресу: Республика Казахстан, г. Алматы, Турксибский район, ул. Сортировочная, д. 1/2. Объект представляет собой арендованный земельный участок (площадь – 1524,92 м²) с открытой площадкой под навесом и контейнером; покрытие – щебёночное с отсевом. Численность персонала, работающего на площадке, составляет 6 человек.</w:t>
      </w:r>
    </w:p>
    <w:p w14:paraId="6EE30CD3">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В разделе приведены общие сведения об объекте, характеристика природно-климатических условий района, рассмотрены источники и факторы воздействия на компоненты окружающей среды (атмосферный воздух, водные объекты, почвы, растительный и животный мир), вопросы образования и обращения с отходами, физические факторы воздействия. Проведена комплексная качественная оценка экологических рисков и предложены мероприятия по предотвращению или снижению негативного влияния.</w:t>
      </w:r>
    </w:p>
    <w:p w14:paraId="6366ED69">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Разработка настоящего РООС выполнена с целью оценки существующего состояния компонентов окружающей среды и влияния деятельности объекта для подготовки </w:t>
      </w:r>
      <w:r>
        <w:rPr>
          <w:rFonts w:hint="default" w:ascii="Times New Roman" w:hAnsi="Times New Roman" w:cs="Times New Roman"/>
          <w:b/>
          <w:bCs/>
          <w:sz w:val="24"/>
          <w:szCs w:val="24"/>
        </w:rPr>
        <w:t>Декларации о воздействии на окружающую среду</w:t>
      </w:r>
      <w:r>
        <w:rPr>
          <w:rFonts w:hint="default" w:ascii="Times New Roman" w:hAnsi="Times New Roman" w:cs="Times New Roman"/>
          <w:sz w:val="24"/>
          <w:szCs w:val="24"/>
        </w:rPr>
        <w:t xml:space="preserve"> в соответствии с требованиями Экологического кодекса РК. Объект относится к малым по производственной нагрузке: стационарные источники выбросов загрязняющих веществ отсутствуют, водопотребление и канализование на площадке не предусмотрены (санитарно-бытовое обслуживание персонала осуществляется на инфраструктуре арендодателя), основным экологическим аспектом является обращение с отходами (твердыми бытовыми). </w:t>
      </w:r>
      <w:r>
        <w:rPr>
          <w:rFonts w:hint="default" w:ascii="Times New Roman" w:hAnsi="Times New Roman" w:cs="Times New Roman"/>
          <w:b/>
          <w:bCs/>
          <w:sz w:val="24"/>
          <w:szCs w:val="24"/>
        </w:rPr>
        <w:t>Согласно п.11 ст.39 Экологического кодекса РК [1] для объектов I</w:t>
      </w:r>
      <w:r>
        <w:rPr>
          <w:rFonts w:hint="default" w:ascii="Times New Roman" w:hAnsi="Times New Roman" w:cs="Times New Roman"/>
          <w:b/>
          <w:bCs/>
          <w:sz w:val="24"/>
          <w:szCs w:val="24"/>
          <w:lang w:val="en-US"/>
        </w:rPr>
        <w:t>II</w:t>
      </w:r>
      <w:r>
        <w:rPr>
          <w:rFonts w:hint="default" w:ascii="Times New Roman" w:hAnsi="Times New Roman" w:cs="Times New Roman"/>
          <w:b/>
          <w:bCs/>
          <w:sz w:val="24"/>
          <w:szCs w:val="24"/>
        </w:rPr>
        <w:t xml:space="preserve"> категории нормативы эмиссий в окружающую среду не устанавливаются</w:t>
      </w:r>
      <w:r>
        <w:rPr>
          <w:rFonts w:hint="default" w:ascii="Times New Roman" w:hAnsi="Times New Roman" w:cs="Times New Roman"/>
          <w:sz w:val="24"/>
          <w:szCs w:val="24"/>
        </w:rPr>
        <w:t>, также не требуется проведение обязательной ОВОС при подготовке экологической декларации.</w:t>
      </w:r>
    </w:p>
    <w:p w14:paraId="7AF10473">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b/>
          <w:bCs/>
          <w:sz w:val="24"/>
          <w:szCs w:val="24"/>
        </w:rPr>
      </w:pPr>
    </w:p>
    <w:p w14:paraId="17DA897A">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lang w:val="ru-RU"/>
        </w:rPr>
        <w:t>Реквизиты</w:t>
      </w:r>
      <w:r>
        <w:rPr>
          <w:rFonts w:hint="default" w:ascii="Times New Roman" w:hAnsi="Times New Roman" w:cs="Times New Roman"/>
          <w:b/>
          <w:bCs/>
          <w:sz w:val="24"/>
          <w:szCs w:val="24"/>
        </w:rPr>
        <w:t>:</w:t>
      </w:r>
      <w:r>
        <w:rPr>
          <w:rFonts w:hint="default" w:ascii="Times New Roman" w:hAnsi="Times New Roman" w:cs="Times New Roman"/>
          <w:sz w:val="24"/>
          <w:szCs w:val="24"/>
        </w:rPr>
        <w:t xml:space="preserve"> ТОО «Пассажирская Компания «Туран Экспресс», БИН 060540004487; юридический адрес: 050050, РК, г. Алматы, ул. Ахтанова, 43; тел. 8 (727) 234-34-65, 66,67,68,70; факс 8 (727) 234-33-65.</w:t>
      </w:r>
    </w:p>
    <w:p w14:paraId="70EFBC0F">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Объект:</w:t>
      </w:r>
      <w:r>
        <w:rPr>
          <w:rFonts w:hint="default" w:ascii="Times New Roman" w:hAnsi="Times New Roman" w:cs="Times New Roman"/>
          <w:sz w:val="24"/>
          <w:szCs w:val="24"/>
        </w:rPr>
        <w:t xml:space="preserve"> открытая производственная площадка по адресу: г. Алматы, Турксибский район, ул. Сортировочная, д. 1/2.</w:t>
      </w:r>
    </w:p>
    <w:p w14:paraId="3EA4533A">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p>
    <w:p w14:paraId="3525CA13">
      <w:pPr>
        <w:pStyle w:val="3"/>
        <w:pageBreakBefore w:val="0"/>
        <w:widowControl/>
        <w:kinsoku/>
        <w:wordWrap/>
        <w:overflowPunct/>
        <w:topLinePunct w:val="0"/>
        <w:autoSpaceDE/>
        <w:autoSpaceDN/>
        <w:bidi w:val="0"/>
        <w:adjustRightInd/>
        <w:snapToGrid/>
        <w:spacing w:before="0" w:after="0"/>
        <w:ind w:left="0" w:leftChars="0" w:firstLine="480" w:firstLineChars="200"/>
        <w:jc w:val="center"/>
        <w:textAlignment w:val="auto"/>
        <w:rPr>
          <w:rFonts w:hint="default" w:ascii="Times New Roman" w:hAnsi="Times New Roman" w:cs="Times New Roman"/>
          <w:b/>
          <w:bCs/>
          <w:color w:val="auto"/>
          <w:sz w:val="24"/>
          <w:szCs w:val="24"/>
          <w:lang w:val="ru-RU"/>
        </w:rPr>
      </w:pPr>
      <w:r>
        <w:rPr>
          <w:rFonts w:hint="default" w:ascii="Times New Roman" w:hAnsi="Times New Roman" w:cs="Times New Roman"/>
          <w:sz w:val="24"/>
          <w:szCs w:val="24"/>
        </w:rPr>
        <w:br w:type="page"/>
      </w:r>
      <w:bookmarkEnd w:id="3"/>
      <w:bookmarkStart w:id="4" w:name="содержание"/>
      <w:r>
        <w:rPr>
          <w:rFonts w:hint="default" w:ascii="Times New Roman" w:hAnsi="Times New Roman" w:cs="Times New Roman"/>
          <w:b/>
          <w:bCs/>
          <w:color w:val="auto"/>
          <w:sz w:val="24"/>
          <w:szCs w:val="24"/>
          <w:lang w:val="ru-RU"/>
        </w:rPr>
        <w:t>СОДЕРЖАНИЕ</w:t>
      </w:r>
    </w:p>
    <w:p w14:paraId="16AF9A80">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b/>
          <w:bCs/>
          <w:color w:val="auto"/>
          <w:sz w:val="24"/>
          <w:szCs w:val="24"/>
          <w:lang w:val="ru-RU"/>
        </w:rPr>
      </w:pPr>
    </w:p>
    <w:p w14:paraId="1C76B5D4">
      <w:pPr>
        <w:pStyle w:val="29"/>
        <w:pageBreakBefore w:val="0"/>
        <w:widowControl/>
        <w:numPr>
          <w:ilvl w:val="0"/>
          <w:numId w:val="1"/>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Общие сведения о предприятии и объекте</w:t>
      </w:r>
      <w:r>
        <w:rPr>
          <w:rFonts w:hint="default" w:ascii="Times New Roman" w:hAnsi="Times New Roman" w:cs="Times New Roman"/>
          <w:b/>
          <w:bCs/>
          <w:sz w:val="24"/>
          <w:szCs w:val="24"/>
          <w:lang w:val="ru-RU"/>
        </w:rPr>
        <w:t xml:space="preserve">     7</w:t>
      </w:r>
    </w:p>
    <w:p w14:paraId="3681E6DF">
      <w:pPr>
        <w:pStyle w:val="29"/>
        <w:pageBreakBefore w:val="0"/>
        <w:widowControl/>
        <w:numPr>
          <w:ilvl w:val="0"/>
          <w:numId w:val="1"/>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Местоположение объекта (схема)</w:t>
      </w:r>
      <w:r>
        <w:rPr>
          <w:rFonts w:hint="default" w:ascii="Times New Roman" w:hAnsi="Times New Roman" w:cs="Times New Roman"/>
          <w:b/>
          <w:bCs/>
          <w:sz w:val="24"/>
          <w:szCs w:val="24"/>
          <w:lang w:val="ru-RU"/>
        </w:rPr>
        <w:t xml:space="preserve">         8</w:t>
      </w:r>
    </w:p>
    <w:p w14:paraId="373B18A5">
      <w:pPr>
        <w:pStyle w:val="29"/>
        <w:pageBreakBefore w:val="0"/>
        <w:widowControl/>
        <w:numPr>
          <w:ilvl w:val="0"/>
          <w:numId w:val="1"/>
        </w:numPr>
        <w:kinsoku/>
        <w:wordWrap/>
        <w:overflowPunct/>
        <w:topLinePunct w:val="0"/>
        <w:autoSpaceDE/>
        <w:autoSpaceDN/>
        <w:bidi w:val="0"/>
        <w:adjustRightInd/>
        <w:snapToGrid/>
        <w:spacing w:before="0" w:after="0"/>
        <w:ind w:left="0" w:leftChars="0" w:firstLine="480" w:firstLineChars="200"/>
        <w:jc w:val="left"/>
        <w:textAlignment w:val="auto"/>
        <w:rPr>
          <w:rFonts w:hint="default" w:ascii="Times New Roman" w:hAnsi="Times New Roman" w:cs="Times New Roman"/>
          <w:sz w:val="24"/>
          <w:szCs w:val="24"/>
        </w:rPr>
      </w:pPr>
      <w:r>
        <w:rPr>
          <w:rFonts w:hint="default" w:ascii="Times New Roman" w:hAnsi="Times New Roman" w:cs="Times New Roman"/>
          <w:b/>
          <w:bCs/>
          <w:sz w:val="24"/>
          <w:szCs w:val="24"/>
        </w:rPr>
        <w:t>Характеристика деятельности предприятия</w:t>
      </w:r>
      <w:r>
        <w:rPr>
          <w:rFonts w:hint="default" w:ascii="Times New Roman" w:hAnsi="Times New Roman" w:cs="Times New Roman"/>
          <w:b/>
          <w:bCs/>
          <w:sz w:val="24"/>
          <w:szCs w:val="24"/>
          <w:lang w:val="ru-RU"/>
        </w:rPr>
        <w:t xml:space="preserve">       9</w:t>
      </w:r>
      <w:r>
        <w:rPr>
          <w:rFonts w:hint="default" w:ascii="Times New Roman" w:hAnsi="Times New Roman" w:cs="Times New Roman"/>
          <w:sz w:val="24"/>
          <w:szCs w:val="24"/>
        </w:rPr>
        <w:br w:type="textWrapping"/>
      </w:r>
      <w:r>
        <w:rPr>
          <w:rFonts w:hint="default" w:ascii="Times New Roman" w:hAnsi="Times New Roman" w:cs="Times New Roman"/>
          <w:sz w:val="24"/>
          <w:szCs w:val="24"/>
        </w:rPr>
        <w:t>3.1. Производственная мощность предприятия</w:t>
      </w:r>
      <w:r>
        <w:rPr>
          <w:rFonts w:hint="default" w:ascii="Times New Roman" w:hAnsi="Times New Roman" w:cs="Times New Roman"/>
          <w:sz w:val="24"/>
          <w:szCs w:val="24"/>
          <w:lang w:val="ru-RU"/>
        </w:rPr>
        <w:t xml:space="preserve">      9</w:t>
      </w:r>
      <w:r>
        <w:rPr>
          <w:rFonts w:hint="default" w:ascii="Times New Roman" w:hAnsi="Times New Roman" w:cs="Times New Roman"/>
          <w:sz w:val="24"/>
          <w:szCs w:val="24"/>
        </w:rPr>
        <w:br w:type="textWrapping"/>
      </w:r>
      <w:r>
        <w:rPr>
          <w:rFonts w:hint="default" w:ascii="Times New Roman" w:hAnsi="Times New Roman" w:cs="Times New Roman"/>
          <w:sz w:val="24"/>
          <w:szCs w:val="24"/>
        </w:rPr>
        <w:t>3.2. Инженерное обеспечение</w:t>
      </w:r>
      <w:r>
        <w:rPr>
          <w:rFonts w:hint="default" w:ascii="Times New Roman" w:hAnsi="Times New Roman" w:cs="Times New Roman"/>
          <w:sz w:val="24"/>
          <w:szCs w:val="24"/>
          <w:lang w:val="ru-RU"/>
        </w:rPr>
        <w:t xml:space="preserve">      9</w:t>
      </w:r>
      <w:r>
        <w:rPr>
          <w:rFonts w:hint="default" w:ascii="Times New Roman" w:hAnsi="Times New Roman" w:cs="Times New Roman"/>
          <w:sz w:val="24"/>
          <w:szCs w:val="24"/>
        </w:rPr>
        <w:br w:type="textWrapping"/>
      </w:r>
      <w:r>
        <w:rPr>
          <w:rFonts w:hint="default" w:ascii="Times New Roman" w:hAnsi="Times New Roman" w:cs="Times New Roman"/>
          <w:sz w:val="24"/>
          <w:szCs w:val="24"/>
        </w:rPr>
        <w:t>3.3. Режим работы и численность сотрудников</w:t>
      </w:r>
      <w:r>
        <w:rPr>
          <w:rFonts w:hint="default" w:ascii="Times New Roman" w:hAnsi="Times New Roman" w:cs="Times New Roman"/>
          <w:sz w:val="24"/>
          <w:szCs w:val="24"/>
          <w:lang w:val="ru-RU"/>
        </w:rPr>
        <w:t xml:space="preserve">      9</w:t>
      </w:r>
      <w:r>
        <w:rPr>
          <w:rFonts w:hint="default" w:ascii="Times New Roman" w:hAnsi="Times New Roman" w:cs="Times New Roman"/>
          <w:sz w:val="24"/>
          <w:szCs w:val="24"/>
        </w:rPr>
        <w:br w:type="textWrapping"/>
      </w:r>
      <w:r>
        <w:rPr>
          <w:rFonts w:hint="default" w:ascii="Times New Roman" w:hAnsi="Times New Roman" w:cs="Times New Roman"/>
          <w:sz w:val="24"/>
          <w:szCs w:val="24"/>
        </w:rPr>
        <w:t>3.4. Бытовое обслуживание персонала</w:t>
      </w:r>
      <w:r>
        <w:rPr>
          <w:rFonts w:hint="default" w:ascii="Times New Roman" w:hAnsi="Times New Roman" w:cs="Times New Roman"/>
          <w:sz w:val="24"/>
          <w:szCs w:val="24"/>
          <w:lang w:val="ru-RU"/>
        </w:rPr>
        <w:t xml:space="preserve">      9</w:t>
      </w:r>
      <w:r>
        <w:rPr>
          <w:rFonts w:hint="default" w:ascii="Times New Roman" w:hAnsi="Times New Roman" w:cs="Times New Roman"/>
          <w:sz w:val="24"/>
          <w:szCs w:val="24"/>
        </w:rPr>
        <w:br w:type="textWrapping"/>
      </w:r>
      <w:r>
        <w:rPr>
          <w:rFonts w:hint="default" w:ascii="Times New Roman" w:hAnsi="Times New Roman" w:cs="Times New Roman"/>
          <w:sz w:val="24"/>
          <w:szCs w:val="24"/>
        </w:rPr>
        <w:t>3.5. Ремонтные работы</w:t>
      </w:r>
      <w:r>
        <w:rPr>
          <w:rFonts w:hint="default" w:ascii="Times New Roman" w:hAnsi="Times New Roman" w:cs="Times New Roman"/>
          <w:sz w:val="24"/>
          <w:szCs w:val="24"/>
          <w:lang w:val="ru-RU"/>
        </w:rPr>
        <w:t xml:space="preserve">      9</w:t>
      </w:r>
    </w:p>
    <w:p w14:paraId="0721B974">
      <w:pPr>
        <w:pStyle w:val="29"/>
        <w:pageBreakBefore w:val="0"/>
        <w:widowControl/>
        <w:numPr>
          <w:ilvl w:val="0"/>
          <w:numId w:val="1"/>
        </w:numPr>
        <w:kinsoku/>
        <w:wordWrap/>
        <w:overflowPunct/>
        <w:topLinePunct w:val="0"/>
        <w:autoSpaceDE/>
        <w:autoSpaceDN/>
        <w:bidi w:val="0"/>
        <w:adjustRightInd/>
        <w:snapToGrid/>
        <w:spacing w:before="0" w:after="0"/>
        <w:ind w:left="0" w:leftChars="0" w:firstLine="480" w:firstLineChars="200"/>
        <w:jc w:val="left"/>
        <w:textAlignment w:val="auto"/>
        <w:rPr>
          <w:rFonts w:hint="default" w:ascii="Times New Roman" w:hAnsi="Times New Roman" w:cs="Times New Roman"/>
          <w:sz w:val="24"/>
          <w:szCs w:val="24"/>
        </w:rPr>
      </w:pPr>
      <w:r>
        <w:rPr>
          <w:rFonts w:hint="default" w:ascii="Times New Roman" w:hAnsi="Times New Roman" w:cs="Times New Roman"/>
          <w:b/>
          <w:bCs/>
          <w:sz w:val="24"/>
          <w:szCs w:val="24"/>
        </w:rPr>
        <w:t>Характеристика природно-климатических условий района расположения</w:t>
      </w:r>
      <w:r>
        <w:rPr>
          <w:rFonts w:hint="default" w:ascii="Times New Roman" w:hAnsi="Times New Roman" w:cs="Times New Roman"/>
          <w:b/>
          <w:bCs/>
          <w:sz w:val="24"/>
          <w:szCs w:val="24"/>
          <w:lang w:val="ru-RU"/>
        </w:rPr>
        <w:t xml:space="preserve">      10</w:t>
      </w:r>
    </w:p>
    <w:p w14:paraId="76F32119">
      <w:pPr>
        <w:pStyle w:val="29"/>
        <w:pageBreakBefore w:val="0"/>
        <w:widowControl/>
        <w:numPr>
          <w:ilvl w:val="0"/>
          <w:numId w:val="1"/>
        </w:numPr>
        <w:kinsoku/>
        <w:wordWrap/>
        <w:overflowPunct/>
        <w:topLinePunct w:val="0"/>
        <w:autoSpaceDE/>
        <w:autoSpaceDN/>
        <w:bidi w:val="0"/>
        <w:adjustRightInd/>
        <w:snapToGrid/>
        <w:spacing w:before="0" w:after="0"/>
        <w:ind w:left="0" w:leftChars="0" w:firstLine="480" w:firstLineChars="200"/>
        <w:jc w:val="left"/>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Воздействие на атмосферный воздух</w:t>
      </w:r>
      <w:r>
        <w:rPr>
          <w:rFonts w:hint="default" w:ascii="Times New Roman" w:hAnsi="Times New Roman" w:cs="Times New Roman"/>
          <w:b/>
          <w:bCs/>
          <w:sz w:val="24"/>
          <w:szCs w:val="24"/>
          <w:lang w:val="ru-RU"/>
        </w:rPr>
        <w:t xml:space="preserve">    13</w:t>
      </w:r>
      <w:r>
        <w:rPr>
          <w:rFonts w:hint="default" w:ascii="Times New Roman" w:hAnsi="Times New Roman" w:cs="Times New Roman"/>
          <w:sz w:val="24"/>
          <w:szCs w:val="24"/>
        </w:rPr>
        <w:br w:type="textWrapping"/>
      </w:r>
      <w:r>
        <w:rPr>
          <w:rFonts w:hint="default" w:ascii="Times New Roman" w:hAnsi="Times New Roman" w:cs="Times New Roman"/>
          <w:sz w:val="24"/>
          <w:szCs w:val="24"/>
        </w:rPr>
        <w:t>5.1. Источники выбросов и их воздействие</w:t>
      </w:r>
      <w:r>
        <w:rPr>
          <w:rFonts w:hint="default" w:ascii="Times New Roman" w:hAnsi="Times New Roman" w:cs="Times New Roman"/>
          <w:sz w:val="24"/>
          <w:szCs w:val="24"/>
          <w:lang w:val="ru-RU"/>
        </w:rPr>
        <w:t xml:space="preserve">     13</w:t>
      </w:r>
      <w:r>
        <w:rPr>
          <w:rFonts w:hint="default" w:ascii="Times New Roman" w:hAnsi="Times New Roman" w:cs="Times New Roman"/>
          <w:sz w:val="24"/>
          <w:szCs w:val="24"/>
        </w:rPr>
        <w:br w:type="textWrapping"/>
      </w:r>
      <w:r>
        <w:rPr>
          <w:rFonts w:hint="default" w:ascii="Times New Roman" w:hAnsi="Times New Roman" w:cs="Times New Roman"/>
          <w:sz w:val="24"/>
          <w:szCs w:val="24"/>
        </w:rPr>
        <w:t>5.2. Мероприятия по уменьшению выбросов</w:t>
      </w:r>
      <w:r>
        <w:rPr>
          <w:rFonts w:hint="default" w:ascii="Times New Roman" w:hAnsi="Times New Roman" w:cs="Times New Roman"/>
          <w:sz w:val="24"/>
          <w:szCs w:val="24"/>
          <w:lang w:val="ru-RU"/>
        </w:rPr>
        <w:t xml:space="preserve">     13</w:t>
      </w:r>
    </w:p>
    <w:p w14:paraId="167FBC30">
      <w:pPr>
        <w:pStyle w:val="29"/>
        <w:pageBreakBefore w:val="0"/>
        <w:widowControl/>
        <w:numPr>
          <w:ilvl w:val="0"/>
          <w:numId w:val="1"/>
        </w:numPr>
        <w:kinsoku/>
        <w:wordWrap/>
        <w:overflowPunct/>
        <w:topLinePunct w:val="0"/>
        <w:autoSpaceDE/>
        <w:autoSpaceDN/>
        <w:bidi w:val="0"/>
        <w:adjustRightInd/>
        <w:snapToGrid/>
        <w:spacing w:before="0" w:after="0"/>
        <w:ind w:left="0" w:leftChars="0" w:firstLine="480" w:firstLineChars="200"/>
        <w:jc w:val="left"/>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Оценка влияния на поверхностные и подземные воды</w:t>
      </w:r>
      <w:r>
        <w:rPr>
          <w:rFonts w:hint="default" w:ascii="Times New Roman" w:hAnsi="Times New Roman" w:cs="Times New Roman"/>
          <w:b/>
          <w:bCs/>
          <w:sz w:val="24"/>
          <w:szCs w:val="24"/>
          <w:lang w:val="ru-RU"/>
        </w:rPr>
        <w:t xml:space="preserve">    14</w:t>
      </w:r>
      <w:r>
        <w:rPr>
          <w:rFonts w:hint="default" w:ascii="Times New Roman" w:hAnsi="Times New Roman" w:cs="Times New Roman"/>
          <w:sz w:val="24"/>
          <w:szCs w:val="24"/>
        </w:rPr>
        <w:br w:type="textWrapping"/>
      </w:r>
      <w:r>
        <w:rPr>
          <w:rFonts w:hint="default" w:ascii="Times New Roman" w:hAnsi="Times New Roman" w:cs="Times New Roman"/>
          <w:sz w:val="24"/>
          <w:szCs w:val="24"/>
        </w:rPr>
        <w:t>6.1. Потребность в водных ресурсах</w:t>
      </w:r>
      <w:r>
        <w:rPr>
          <w:rFonts w:hint="default" w:ascii="Times New Roman" w:hAnsi="Times New Roman" w:cs="Times New Roman"/>
          <w:sz w:val="24"/>
          <w:szCs w:val="24"/>
          <w:lang w:val="ru-RU"/>
        </w:rPr>
        <w:t xml:space="preserve">     14</w:t>
      </w:r>
      <w:r>
        <w:rPr>
          <w:rFonts w:hint="default" w:ascii="Times New Roman" w:hAnsi="Times New Roman" w:cs="Times New Roman"/>
          <w:sz w:val="24"/>
          <w:szCs w:val="24"/>
        </w:rPr>
        <w:br w:type="textWrapping"/>
      </w:r>
      <w:r>
        <w:rPr>
          <w:rFonts w:hint="default" w:ascii="Times New Roman" w:hAnsi="Times New Roman" w:cs="Times New Roman"/>
          <w:sz w:val="24"/>
          <w:szCs w:val="24"/>
        </w:rPr>
        <w:t>6.2. Влияние на водные объекты</w:t>
      </w:r>
      <w:r>
        <w:rPr>
          <w:rFonts w:hint="default" w:ascii="Times New Roman" w:hAnsi="Times New Roman" w:cs="Times New Roman"/>
          <w:sz w:val="24"/>
          <w:szCs w:val="24"/>
          <w:lang w:val="ru-RU"/>
        </w:rPr>
        <w:t xml:space="preserve">     14</w:t>
      </w:r>
      <w:r>
        <w:rPr>
          <w:rFonts w:hint="default" w:ascii="Times New Roman" w:hAnsi="Times New Roman" w:cs="Times New Roman"/>
          <w:sz w:val="24"/>
          <w:szCs w:val="24"/>
        </w:rPr>
        <w:br w:type="textWrapping"/>
      </w:r>
      <w:r>
        <w:rPr>
          <w:rFonts w:hint="default" w:ascii="Times New Roman" w:hAnsi="Times New Roman" w:cs="Times New Roman"/>
          <w:sz w:val="24"/>
          <w:szCs w:val="24"/>
        </w:rPr>
        <w:t>6.3. Мероприятия по охране водной среды</w:t>
      </w:r>
      <w:r>
        <w:rPr>
          <w:rFonts w:hint="default" w:ascii="Times New Roman" w:hAnsi="Times New Roman" w:cs="Times New Roman"/>
          <w:sz w:val="24"/>
          <w:szCs w:val="24"/>
          <w:lang w:val="ru-RU"/>
        </w:rPr>
        <w:t xml:space="preserve">     14</w:t>
      </w:r>
    </w:p>
    <w:p w14:paraId="2AE9409E">
      <w:pPr>
        <w:pStyle w:val="29"/>
        <w:pageBreakBefore w:val="0"/>
        <w:widowControl/>
        <w:numPr>
          <w:ilvl w:val="0"/>
          <w:numId w:val="1"/>
        </w:numPr>
        <w:kinsoku/>
        <w:wordWrap/>
        <w:overflowPunct/>
        <w:topLinePunct w:val="0"/>
        <w:autoSpaceDE/>
        <w:autoSpaceDN/>
        <w:bidi w:val="0"/>
        <w:adjustRightInd/>
        <w:snapToGrid/>
        <w:spacing w:before="0" w:after="0"/>
        <w:ind w:left="0" w:leftChars="0" w:firstLine="480" w:firstLineChars="200"/>
        <w:jc w:val="left"/>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Воздействие на недра</w:t>
      </w:r>
      <w:r>
        <w:rPr>
          <w:rFonts w:hint="default" w:ascii="Times New Roman" w:hAnsi="Times New Roman" w:cs="Times New Roman"/>
          <w:b/>
          <w:bCs/>
          <w:sz w:val="24"/>
          <w:szCs w:val="24"/>
          <w:lang w:val="ru-RU"/>
        </w:rPr>
        <w:t xml:space="preserve">     15</w:t>
      </w:r>
    </w:p>
    <w:p w14:paraId="0DB2A83B">
      <w:pPr>
        <w:pStyle w:val="29"/>
        <w:pageBreakBefore w:val="0"/>
        <w:widowControl/>
        <w:numPr>
          <w:ilvl w:val="0"/>
          <w:numId w:val="1"/>
        </w:numPr>
        <w:kinsoku/>
        <w:wordWrap/>
        <w:overflowPunct/>
        <w:topLinePunct w:val="0"/>
        <w:autoSpaceDE/>
        <w:autoSpaceDN/>
        <w:bidi w:val="0"/>
        <w:adjustRightInd/>
        <w:snapToGrid/>
        <w:spacing w:before="0" w:after="0"/>
        <w:ind w:left="0" w:leftChars="0" w:firstLine="480" w:firstLineChars="200"/>
        <w:jc w:val="left"/>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Отходы производства и потребления</w:t>
      </w:r>
      <w:r>
        <w:rPr>
          <w:rFonts w:hint="default" w:ascii="Times New Roman" w:hAnsi="Times New Roman" w:cs="Times New Roman"/>
          <w:b/>
          <w:bCs/>
          <w:sz w:val="24"/>
          <w:szCs w:val="24"/>
          <w:lang w:val="ru-RU"/>
        </w:rPr>
        <w:t xml:space="preserve">     16</w:t>
      </w:r>
      <w:r>
        <w:rPr>
          <w:rFonts w:hint="default" w:ascii="Times New Roman" w:hAnsi="Times New Roman" w:cs="Times New Roman"/>
          <w:sz w:val="24"/>
          <w:szCs w:val="24"/>
        </w:rPr>
        <w:br w:type="textWrapping"/>
      </w:r>
      <w:r>
        <w:rPr>
          <w:rFonts w:hint="default" w:ascii="Times New Roman" w:hAnsi="Times New Roman" w:cs="Times New Roman"/>
          <w:sz w:val="24"/>
          <w:szCs w:val="24"/>
        </w:rPr>
        <w:t>8.1. Виды образующихся отходов и места их хранения</w:t>
      </w:r>
      <w:r>
        <w:rPr>
          <w:rFonts w:hint="default" w:ascii="Times New Roman" w:hAnsi="Times New Roman" w:cs="Times New Roman"/>
          <w:sz w:val="24"/>
          <w:szCs w:val="24"/>
          <w:lang w:val="ru-RU"/>
        </w:rPr>
        <w:t xml:space="preserve">     16</w:t>
      </w:r>
      <w:r>
        <w:rPr>
          <w:rFonts w:hint="default" w:ascii="Times New Roman" w:hAnsi="Times New Roman" w:cs="Times New Roman"/>
          <w:sz w:val="24"/>
          <w:szCs w:val="24"/>
        </w:rPr>
        <w:br w:type="textWrapping"/>
      </w:r>
      <w:r>
        <w:rPr>
          <w:rFonts w:hint="default" w:ascii="Times New Roman" w:hAnsi="Times New Roman" w:cs="Times New Roman"/>
          <w:sz w:val="24"/>
          <w:szCs w:val="24"/>
        </w:rPr>
        <w:t>8.2. Расч</w:t>
      </w:r>
      <w:r>
        <w:rPr>
          <w:rFonts w:hint="default" w:ascii="Times New Roman" w:hAnsi="Times New Roman" w:cs="Times New Roman"/>
          <w:sz w:val="24"/>
          <w:szCs w:val="24"/>
          <w:lang w:val="ru-RU"/>
        </w:rPr>
        <w:t>е</w:t>
      </w:r>
      <w:r>
        <w:rPr>
          <w:rFonts w:hint="default" w:ascii="Times New Roman" w:hAnsi="Times New Roman" w:cs="Times New Roman"/>
          <w:sz w:val="24"/>
          <w:szCs w:val="24"/>
        </w:rPr>
        <w:t>т объ</w:t>
      </w:r>
      <w:r>
        <w:rPr>
          <w:rFonts w:hint="default" w:ascii="Times New Roman" w:hAnsi="Times New Roman" w:cs="Times New Roman"/>
          <w:sz w:val="24"/>
          <w:szCs w:val="24"/>
          <w:lang w:val="ru-RU"/>
        </w:rPr>
        <w:t>е</w:t>
      </w:r>
      <w:r>
        <w:rPr>
          <w:rFonts w:hint="default" w:ascii="Times New Roman" w:hAnsi="Times New Roman" w:cs="Times New Roman"/>
          <w:sz w:val="24"/>
          <w:szCs w:val="24"/>
        </w:rPr>
        <w:t>мов образования отходов (2026–2035 гг.)</w:t>
      </w:r>
      <w:r>
        <w:rPr>
          <w:rFonts w:hint="default" w:ascii="Times New Roman" w:hAnsi="Times New Roman" w:cs="Times New Roman"/>
          <w:sz w:val="24"/>
          <w:szCs w:val="24"/>
          <w:lang w:val="ru-RU"/>
        </w:rPr>
        <w:t xml:space="preserve">     16</w:t>
      </w:r>
      <w:r>
        <w:rPr>
          <w:rFonts w:hint="default" w:ascii="Times New Roman" w:hAnsi="Times New Roman" w:cs="Times New Roman"/>
          <w:sz w:val="24"/>
          <w:szCs w:val="24"/>
        </w:rPr>
        <w:br w:type="textWrapping"/>
      </w:r>
      <w:r>
        <w:rPr>
          <w:rFonts w:hint="default" w:ascii="Times New Roman" w:hAnsi="Times New Roman" w:cs="Times New Roman"/>
          <w:sz w:val="24"/>
          <w:szCs w:val="24"/>
        </w:rPr>
        <w:t>8.3. Накопление отходов</w:t>
      </w:r>
      <w:r>
        <w:rPr>
          <w:rFonts w:hint="default" w:ascii="Times New Roman" w:hAnsi="Times New Roman" w:cs="Times New Roman"/>
          <w:sz w:val="24"/>
          <w:szCs w:val="24"/>
          <w:lang w:val="ru-RU"/>
        </w:rPr>
        <w:t xml:space="preserve">     17</w:t>
      </w:r>
      <w:r>
        <w:rPr>
          <w:rFonts w:hint="default" w:ascii="Times New Roman" w:hAnsi="Times New Roman" w:cs="Times New Roman"/>
          <w:sz w:val="24"/>
          <w:szCs w:val="24"/>
        </w:rPr>
        <w:br w:type="textWrapping"/>
      </w:r>
      <w:r>
        <w:rPr>
          <w:rFonts w:hint="default" w:ascii="Times New Roman" w:hAnsi="Times New Roman" w:cs="Times New Roman"/>
          <w:sz w:val="24"/>
          <w:szCs w:val="24"/>
        </w:rPr>
        <w:t>8.4. Лимиты накопления отходов</w:t>
      </w:r>
      <w:r>
        <w:rPr>
          <w:rFonts w:hint="default" w:ascii="Times New Roman" w:hAnsi="Times New Roman" w:cs="Times New Roman"/>
          <w:sz w:val="24"/>
          <w:szCs w:val="24"/>
          <w:lang w:val="ru-RU"/>
        </w:rPr>
        <w:t xml:space="preserve">     17</w:t>
      </w:r>
    </w:p>
    <w:p w14:paraId="1EED1188">
      <w:pPr>
        <w:pStyle w:val="29"/>
        <w:pageBreakBefore w:val="0"/>
        <w:widowControl/>
        <w:numPr>
          <w:ilvl w:val="0"/>
          <w:numId w:val="0"/>
        </w:numPr>
        <w:kinsoku/>
        <w:wordWrap/>
        <w:overflowPunct/>
        <w:topLinePunct w:val="0"/>
        <w:autoSpaceDE/>
        <w:autoSpaceDN/>
        <w:bidi w:val="0"/>
        <w:adjustRightInd/>
        <w:snapToGrid/>
        <w:spacing w:before="0" w:after="0"/>
        <w:ind w:leftChars="200"/>
        <w:jc w:val="left"/>
        <w:textAlignment w:val="auto"/>
        <w:rPr>
          <w:rFonts w:hint="default" w:ascii="Times New Roman" w:hAnsi="Times New Roman" w:cs="Times New Roman"/>
          <w:sz w:val="24"/>
          <w:szCs w:val="24"/>
          <w:lang w:val="ru-RU"/>
        </w:rPr>
      </w:pPr>
      <w:r>
        <w:rPr>
          <w:rFonts w:hint="default" w:ascii="Times New Roman" w:hAnsi="Times New Roman" w:cs="Times New Roman"/>
          <w:sz w:val="24"/>
          <w:szCs w:val="24"/>
          <w:lang w:val="ru-RU"/>
        </w:rPr>
        <w:t>8.4.1. Отходы ТБО     17</w:t>
      </w:r>
    </w:p>
    <w:p w14:paraId="1BBEBBE7">
      <w:pPr>
        <w:pStyle w:val="29"/>
        <w:pageBreakBefore w:val="0"/>
        <w:widowControl/>
        <w:numPr>
          <w:ilvl w:val="0"/>
          <w:numId w:val="0"/>
        </w:numPr>
        <w:kinsoku/>
        <w:wordWrap/>
        <w:overflowPunct/>
        <w:topLinePunct w:val="0"/>
        <w:autoSpaceDE/>
        <w:autoSpaceDN/>
        <w:bidi w:val="0"/>
        <w:adjustRightInd/>
        <w:snapToGrid/>
        <w:spacing w:before="0" w:after="0"/>
        <w:ind w:left="0" w:leftChars="0" w:firstLine="480" w:firstLineChars="200"/>
        <w:jc w:val="left"/>
        <w:textAlignment w:val="auto"/>
        <w:rPr>
          <w:rFonts w:hint="default" w:ascii="Times New Roman" w:hAnsi="Times New Roman" w:cs="Times New Roman"/>
          <w:sz w:val="24"/>
          <w:szCs w:val="24"/>
          <w:lang w:val="ru-RU"/>
        </w:rPr>
      </w:pPr>
      <w:r>
        <w:rPr>
          <w:rFonts w:hint="default" w:ascii="Times New Roman" w:hAnsi="Times New Roman" w:cs="Times New Roman"/>
          <w:sz w:val="24"/>
          <w:szCs w:val="24"/>
          <w:lang w:val="ru-RU"/>
        </w:rPr>
        <w:t>8.4.2. Отходы металлолома     18</w:t>
      </w:r>
      <w:r>
        <w:rPr>
          <w:rFonts w:hint="default" w:ascii="Times New Roman" w:hAnsi="Times New Roman" w:cs="Times New Roman"/>
          <w:sz w:val="24"/>
          <w:szCs w:val="24"/>
        </w:rPr>
        <w:br w:type="textWrapping"/>
      </w:r>
      <w:r>
        <w:rPr>
          <w:rFonts w:hint="default" w:ascii="Times New Roman" w:hAnsi="Times New Roman" w:cs="Times New Roman"/>
          <w:sz w:val="24"/>
          <w:szCs w:val="24"/>
        </w:rPr>
        <w:t>8.5. Управление отходами</w:t>
      </w:r>
      <w:r>
        <w:rPr>
          <w:rFonts w:hint="default" w:ascii="Times New Roman" w:hAnsi="Times New Roman" w:cs="Times New Roman"/>
          <w:sz w:val="24"/>
          <w:szCs w:val="24"/>
          <w:lang w:val="ru-RU"/>
        </w:rPr>
        <w:t xml:space="preserve">     18</w:t>
      </w:r>
      <w:r>
        <w:rPr>
          <w:rFonts w:hint="default" w:ascii="Times New Roman" w:hAnsi="Times New Roman" w:cs="Times New Roman"/>
          <w:sz w:val="24"/>
          <w:szCs w:val="24"/>
        </w:rPr>
        <w:br w:type="textWrapping"/>
      </w:r>
      <w:r>
        <w:rPr>
          <w:rFonts w:hint="default" w:ascii="Times New Roman" w:hAnsi="Times New Roman" w:cs="Times New Roman"/>
          <w:sz w:val="24"/>
          <w:szCs w:val="24"/>
        </w:rPr>
        <w:t>8.6. Мероприятия по снижению влияния отходов</w:t>
      </w:r>
      <w:r>
        <w:rPr>
          <w:rFonts w:hint="default" w:ascii="Times New Roman" w:hAnsi="Times New Roman" w:cs="Times New Roman"/>
          <w:sz w:val="24"/>
          <w:szCs w:val="24"/>
          <w:lang w:val="ru-RU"/>
        </w:rPr>
        <w:t xml:space="preserve">    19</w:t>
      </w:r>
      <w:r>
        <w:rPr>
          <w:rFonts w:hint="default" w:ascii="Times New Roman" w:hAnsi="Times New Roman" w:cs="Times New Roman"/>
          <w:sz w:val="24"/>
          <w:szCs w:val="24"/>
        </w:rPr>
        <w:br w:type="textWrapping"/>
      </w:r>
      <w:r>
        <w:rPr>
          <w:rFonts w:hint="default" w:ascii="Times New Roman" w:hAnsi="Times New Roman" w:cs="Times New Roman"/>
          <w:sz w:val="24"/>
          <w:szCs w:val="24"/>
        </w:rPr>
        <w:t>8.7. Виды и количество отходов, включаемых в декларацию</w:t>
      </w:r>
      <w:r>
        <w:rPr>
          <w:rFonts w:hint="default" w:ascii="Times New Roman" w:hAnsi="Times New Roman" w:cs="Times New Roman"/>
          <w:sz w:val="24"/>
          <w:szCs w:val="24"/>
          <w:lang w:val="ru-RU"/>
        </w:rPr>
        <w:t xml:space="preserve">     19</w:t>
      </w:r>
    </w:p>
    <w:p w14:paraId="5214CE3A">
      <w:pPr>
        <w:pStyle w:val="29"/>
        <w:pageBreakBefore w:val="0"/>
        <w:widowControl/>
        <w:numPr>
          <w:ilvl w:val="0"/>
          <w:numId w:val="1"/>
        </w:numPr>
        <w:kinsoku/>
        <w:wordWrap/>
        <w:overflowPunct/>
        <w:topLinePunct w:val="0"/>
        <w:autoSpaceDE/>
        <w:autoSpaceDN/>
        <w:bidi w:val="0"/>
        <w:adjustRightInd/>
        <w:snapToGrid/>
        <w:spacing w:before="0" w:after="0"/>
        <w:ind w:left="0" w:leftChars="0" w:firstLine="480" w:firstLineChars="200"/>
        <w:jc w:val="left"/>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Оценка воздействия на почву</w:t>
      </w:r>
      <w:r>
        <w:rPr>
          <w:rFonts w:hint="default" w:ascii="Times New Roman" w:hAnsi="Times New Roman" w:cs="Times New Roman"/>
          <w:b/>
          <w:bCs/>
          <w:sz w:val="24"/>
          <w:szCs w:val="24"/>
          <w:lang w:val="ru-RU"/>
        </w:rPr>
        <w:t xml:space="preserve">   21</w:t>
      </w:r>
      <w:r>
        <w:rPr>
          <w:rFonts w:hint="default" w:ascii="Times New Roman" w:hAnsi="Times New Roman" w:cs="Times New Roman"/>
          <w:sz w:val="24"/>
          <w:szCs w:val="24"/>
        </w:rPr>
        <w:br w:type="textWrapping"/>
      </w:r>
      <w:r>
        <w:rPr>
          <w:rFonts w:hint="default" w:ascii="Times New Roman" w:hAnsi="Times New Roman" w:cs="Times New Roman"/>
          <w:sz w:val="24"/>
          <w:szCs w:val="24"/>
        </w:rPr>
        <w:t>9.1. Современное состояние почвенного покрова</w:t>
      </w:r>
      <w:r>
        <w:rPr>
          <w:rFonts w:hint="default" w:ascii="Times New Roman" w:hAnsi="Times New Roman" w:cs="Times New Roman"/>
          <w:sz w:val="24"/>
          <w:szCs w:val="24"/>
          <w:lang w:val="ru-RU"/>
        </w:rPr>
        <w:t xml:space="preserve">    21</w:t>
      </w:r>
      <w:r>
        <w:rPr>
          <w:rFonts w:hint="default" w:ascii="Times New Roman" w:hAnsi="Times New Roman" w:cs="Times New Roman"/>
          <w:sz w:val="24"/>
          <w:szCs w:val="24"/>
        </w:rPr>
        <w:br w:type="textWrapping"/>
      </w:r>
      <w:r>
        <w:rPr>
          <w:rFonts w:hint="default" w:ascii="Times New Roman" w:hAnsi="Times New Roman" w:cs="Times New Roman"/>
          <w:sz w:val="24"/>
          <w:szCs w:val="24"/>
        </w:rPr>
        <w:t>9.2. Ожидаемое воздействие на почву</w:t>
      </w:r>
      <w:r>
        <w:rPr>
          <w:rFonts w:hint="default" w:ascii="Times New Roman" w:hAnsi="Times New Roman" w:cs="Times New Roman"/>
          <w:sz w:val="24"/>
          <w:szCs w:val="24"/>
          <w:lang w:val="ru-RU"/>
        </w:rPr>
        <w:t xml:space="preserve">     21</w:t>
      </w:r>
      <w:r>
        <w:rPr>
          <w:rFonts w:hint="default" w:ascii="Times New Roman" w:hAnsi="Times New Roman" w:cs="Times New Roman"/>
          <w:sz w:val="24"/>
          <w:szCs w:val="24"/>
        </w:rPr>
        <w:br w:type="textWrapping"/>
      </w:r>
      <w:r>
        <w:rPr>
          <w:rFonts w:hint="default" w:ascii="Times New Roman" w:hAnsi="Times New Roman" w:cs="Times New Roman"/>
          <w:sz w:val="24"/>
          <w:szCs w:val="24"/>
        </w:rPr>
        <w:t>9.3. Мероприятия по охране почв</w:t>
      </w:r>
      <w:r>
        <w:rPr>
          <w:rFonts w:hint="default" w:ascii="Times New Roman" w:hAnsi="Times New Roman" w:cs="Times New Roman"/>
          <w:sz w:val="24"/>
          <w:szCs w:val="24"/>
          <w:lang w:val="ru-RU"/>
        </w:rPr>
        <w:t xml:space="preserve">     22</w:t>
      </w:r>
      <w:r>
        <w:rPr>
          <w:rFonts w:hint="default" w:ascii="Times New Roman" w:hAnsi="Times New Roman" w:cs="Times New Roman"/>
          <w:sz w:val="24"/>
          <w:szCs w:val="24"/>
        </w:rPr>
        <w:br w:type="textWrapping"/>
      </w:r>
      <w:r>
        <w:rPr>
          <w:rFonts w:hint="default" w:ascii="Times New Roman" w:hAnsi="Times New Roman" w:cs="Times New Roman"/>
          <w:sz w:val="24"/>
          <w:szCs w:val="24"/>
        </w:rPr>
        <w:t>9.4. Мониторинг состояния почв</w:t>
      </w:r>
      <w:r>
        <w:rPr>
          <w:rFonts w:hint="default" w:ascii="Times New Roman" w:hAnsi="Times New Roman" w:cs="Times New Roman"/>
          <w:sz w:val="24"/>
          <w:szCs w:val="24"/>
          <w:lang w:val="ru-RU"/>
        </w:rPr>
        <w:t xml:space="preserve">     22</w:t>
      </w:r>
    </w:p>
    <w:p w14:paraId="358E3449">
      <w:pPr>
        <w:pStyle w:val="29"/>
        <w:pageBreakBefore w:val="0"/>
        <w:widowControl/>
        <w:numPr>
          <w:ilvl w:val="0"/>
          <w:numId w:val="1"/>
        </w:numPr>
        <w:kinsoku/>
        <w:wordWrap/>
        <w:overflowPunct/>
        <w:topLinePunct w:val="0"/>
        <w:autoSpaceDE/>
        <w:autoSpaceDN/>
        <w:bidi w:val="0"/>
        <w:adjustRightInd/>
        <w:snapToGrid/>
        <w:spacing w:before="0" w:after="0"/>
        <w:ind w:left="0" w:leftChars="0" w:firstLine="480" w:firstLineChars="200"/>
        <w:jc w:val="left"/>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Оценка воздействия на растительный мир</w:t>
      </w:r>
      <w:r>
        <w:rPr>
          <w:rFonts w:hint="default" w:ascii="Times New Roman" w:hAnsi="Times New Roman" w:cs="Times New Roman"/>
          <w:b/>
          <w:bCs/>
          <w:sz w:val="24"/>
          <w:szCs w:val="24"/>
          <w:lang w:val="ru-RU"/>
        </w:rPr>
        <w:t xml:space="preserve">     23</w:t>
      </w:r>
      <w:r>
        <w:rPr>
          <w:rFonts w:hint="default" w:ascii="Times New Roman" w:hAnsi="Times New Roman" w:cs="Times New Roman"/>
          <w:sz w:val="24"/>
          <w:szCs w:val="24"/>
        </w:rPr>
        <w:br w:type="textWrapping"/>
      </w:r>
      <w:r>
        <w:rPr>
          <w:rFonts w:hint="default" w:ascii="Times New Roman" w:hAnsi="Times New Roman" w:cs="Times New Roman"/>
          <w:sz w:val="24"/>
          <w:szCs w:val="24"/>
        </w:rPr>
        <w:t>10.1. Воздействие на растительные сообщества</w:t>
      </w:r>
      <w:r>
        <w:rPr>
          <w:rFonts w:hint="default" w:ascii="Times New Roman" w:hAnsi="Times New Roman" w:cs="Times New Roman"/>
          <w:sz w:val="24"/>
          <w:szCs w:val="24"/>
          <w:lang w:val="ru-RU"/>
        </w:rPr>
        <w:t xml:space="preserve">     23</w:t>
      </w:r>
      <w:r>
        <w:rPr>
          <w:rFonts w:hint="default" w:ascii="Times New Roman" w:hAnsi="Times New Roman" w:cs="Times New Roman"/>
          <w:sz w:val="24"/>
          <w:szCs w:val="24"/>
        </w:rPr>
        <w:br w:type="textWrapping"/>
      </w:r>
      <w:r>
        <w:rPr>
          <w:rFonts w:hint="default" w:ascii="Times New Roman" w:hAnsi="Times New Roman" w:cs="Times New Roman"/>
          <w:sz w:val="24"/>
          <w:szCs w:val="24"/>
        </w:rPr>
        <w:t>10.2. Обоснование использования растительных ресурсов</w:t>
      </w:r>
      <w:r>
        <w:rPr>
          <w:rFonts w:hint="default" w:ascii="Times New Roman" w:hAnsi="Times New Roman" w:cs="Times New Roman"/>
          <w:sz w:val="24"/>
          <w:szCs w:val="24"/>
          <w:lang w:val="ru-RU"/>
        </w:rPr>
        <w:t xml:space="preserve">     23</w:t>
      </w:r>
      <w:r>
        <w:rPr>
          <w:rFonts w:hint="default" w:ascii="Times New Roman" w:hAnsi="Times New Roman" w:cs="Times New Roman"/>
          <w:sz w:val="24"/>
          <w:szCs w:val="24"/>
        </w:rPr>
        <w:br w:type="textWrapping"/>
      </w:r>
      <w:r>
        <w:rPr>
          <w:rFonts w:hint="default" w:ascii="Times New Roman" w:hAnsi="Times New Roman" w:cs="Times New Roman"/>
          <w:sz w:val="24"/>
          <w:szCs w:val="24"/>
        </w:rPr>
        <w:t>10.3. Зона влияния на растительность</w:t>
      </w:r>
      <w:r>
        <w:rPr>
          <w:rFonts w:hint="default" w:ascii="Times New Roman" w:hAnsi="Times New Roman" w:cs="Times New Roman"/>
          <w:sz w:val="24"/>
          <w:szCs w:val="24"/>
          <w:lang w:val="ru-RU"/>
        </w:rPr>
        <w:t xml:space="preserve">     23</w:t>
      </w:r>
      <w:r>
        <w:rPr>
          <w:rFonts w:hint="default" w:ascii="Times New Roman" w:hAnsi="Times New Roman" w:cs="Times New Roman"/>
          <w:sz w:val="24"/>
          <w:szCs w:val="24"/>
        </w:rPr>
        <w:br w:type="textWrapping"/>
      </w:r>
      <w:r>
        <w:rPr>
          <w:rFonts w:hint="default" w:ascii="Times New Roman" w:hAnsi="Times New Roman" w:cs="Times New Roman"/>
          <w:sz w:val="24"/>
          <w:szCs w:val="24"/>
        </w:rPr>
        <w:t>10.4. Ожидаемые изменения растительного покрова</w:t>
      </w:r>
      <w:r>
        <w:rPr>
          <w:rFonts w:hint="default" w:ascii="Times New Roman" w:hAnsi="Times New Roman" w:cs="Times New Roman"/>
          <w:sz w:val="24"/>
          <w:szCs w:val="24"/>
          <w:lang w:val="ru-RU"/>
        </w:rPr>
        <w:t xml:space="preserve">     23</w:t>
      </w:r>
      <w:r>
        <w:rPr>
          <w:rFonts w:hint="default" w:ascii="Times New Roman" w:hAnsi="Times New Roman" w:cs="Times New Roman"/>
          <w:sz w:val="24"/>
          <w:szCs w:val="24"/>
        </w:rPr>
        <w:br w:type="textWrapping"/>
      </w:r>
      <w:r>
        <w:rPr>
          <w:rFonts w:hint="default" w:ascii="Times New Roman" w:hAnsi="Times New Roman" w:cs="Times New Roman"/>
          <w:sz w:val="24"/>
          <w:szCs w:val="24"/>
        </w:rPr>
        <w:t>10.5. Мероприятия по защите растительного мира</w:t>
      </w:r>
      <w:r>
        <w:rPr>
          <w:rFonts w:hint="default" w:ascii="Times New Roman" w:hAnsi="Times New Roman" w:cs="Times New Roman"/>
          <w:sz w:val="24"/>
          <w:szCs w:val="24"/>
          <w:lang w:val="ru-RU"/>
        </w:rPr>
        <w:t xml:space="preserve">     23</w:t>
      </w:r>
    </w:p>
    <w:p w14:paraId="1B1B74DB">
      <w:pPr>
        <w:pStyle w:val="29"/>
        <w:pageBreakBefore w:val="0"/>
        <w:widowControl/>
        <w:numPr>
          <w:ilvl w:val="0"/>
          <w:numId w:val="1"/>
        </w:numPr>
        <w:kinsoku/>
        <w:wordWrap/>
        <w:overflowPunct/>
        <w:topLinePunct w:val="0"/>
        <w:autoSpaceDE/>
        <w:autoSpaceDN/>
        <w:bidi w:val="0"/>
        <w:adjustRightInd/>
        <w:snapToGrid/>
        <w:spacing w:before="0" w:after="0"/>
        <w:ind w:left="0" w:leftChars="0" w:firstLine="480" w:firstLineChars="200"/>
        <w:jc w:val="left"/>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Воздействие на животный мир</w:t>
      </w:r>
      <w:r>
        <w:rPr>
          <w:rFonts w:hint="default" w:ascii="Times New Roman" w:hAnsi="Times New Roman" w:cs="Times New Roman"/>
          <w:b/>
          <w:bCs/>
          <w:sz w:val="24"/>
          <w:szCs w:val="24"/>
          <w:lang w:val="ru-RU"/>
        </w:rPr>
        <w:t xml:space="preserve">     25</w:t>
      </w:r>
      <w:r>
        <w:rPr>
          <w:rFonts w:hint="default" w:ascii="Times New Roman" w:hAnsi="Times New Roman" w:cs="Times New Roman"/>
          <w:sz w:val="24"/>
          <w:szCs w:val="24"/>
        </w:rPr>
        <w:br w:type="textWrapping"/>
      </w:r>
      <w:r>
        <w:rPr>
          <w:rFonts w:hint="default" w:ascii="Times New Roman" w:hAnsi="Times New Roman" w:cs="Times New Roman"/>
          <w:sz w:val="24"/>
          <w:szCs w:val="24"/>
        </w:rPr>
        <w:t>11.1. Мероприятия по защите животного мира</w:t>
      </w:r>
      <w:r>
        <w:rPr>
          <w:rFonts w:hint="default" w:ascii="Times New Roman" w:hAnsi="Times New Roman" w:cs="Times New Roman"/>
          <w:sz w:val="24"/>
          <w:szCs w:val="24"/>
          <w:lang w:val="ru-RU"/>
        </w:rPr>
        <w:t xml:space="preserve">     25</w:t>
      </w:r>
    </w:p>
    <w:p w14:paraId="33CFF57F">
      <w:pPr>
        <w:pStyle w:val="29"/>
        <w:pageBreakBefore w:val="0"/>
        <w:widowControl/>
        <w:numPr>
          <w:ilvl w:val="0"/>
          <w:numId w:val="1"/>
        </w:numPr>
        <w:kinsoku/>
        <w:wordWrap/>
        <w:overflowPunct/>
        <w:topLinePunct w:val="0"/>
        <w:autoSpaceDE/>
        <w:autoSpaceDN/>
        <w:bidi w:val="0"/>
        <w:adjustRightInd/>
        <w:snapToGrid/>
        <w:spacing w:before="0" w:after="0"/>
        <w:ind w:left="0" w:leftChars="0" w:firstLine="480" w:firstLineChars="200"/>
        <w:jc w:val="left"/>
        <w:textAlignment w:val="auto"/>
        <w:rPr>
          <w:rFonts w:hint="default" w:ascii="Times New Roman" w:hAnsi="Times New Roman" w:cs="Times New Roman"/>
          <w:sz w:val="24"/>
          <w:szCs w:val="24"/>
        </w:rPr>
      </w:pPr>
      <w:r>
        <w:rPr>
          <w:rFonts w:hint="default" w:ascii="Times New Roman" w:hAnsi="Times New Roman" w:cs="Times New Roman"/>
          <w:b/>
          <w:bCs/>
          <w:sz w:val="24"/>
          <w:szCs w:val="24"/>
        </w:rPr>
        <w:t>Социально-экономическая обстановка в регионе</w:t>
      </w:r>
      <w:r>
        <w:rPr>
          <w:rFonts w:hint="default" w:ascii="Times New Roman" w:hAnsi="Times New Roman" w:cs="Times New Roman"/>
          <w:b/>
          <w:bCs/>
          <w:sz w:val="24"/>
          <w:szCs w:val="24"/>
          <w:lang w:val="ru-RU"/>
        </w:rPr>
        <w:t xml:space="preserve">     26</w:t>
      </w:r>
      <w:r>
        <w:rPr>
          <w:rFonts w:hint="default" w:ascii="Times New Roman" w:hAnsi="Times New Roman" w:cs="Times New Roman"/>
          <w:sz w:val="24"/>
          <w:szCs w:val="24"/>
        </w:rPr>
        <w:br w:type="textWrapping"/>
      </w:r>
      <w:r>
        <w:rPr>
          <w:rFonts w:hint="default" w:ascii="Times New Roman" w:hAnsi="Times New Roman" w:cs="Times New Roman"/>
          <w:sz w:val="24"/>
          <w:szCs w:val="24"/>
        </w:rPr>
        <w:t>12.1. Обеспеченность объекта трудовыми ресурсами</w:t>
      </w:r>
      <w:r>
        <w:rPr>
          <w:rFonts w:hint="default" w:ascii="Times New Roman" w:hAnsi="Times New Roman" w:cs="Times New Roman"/>
          <w:sz w:val="24"/>
          <w:szCs w:val="24"/>
          <w:lang w:val="ru-RU"/>
        </w:rPr>
        <w:t xml:space="preserve">     26</w:t>
      </w:r>
      <w:r>
        <w:rPr>
          <w:rFonts w:hint="default" w:ascii="Times New Roman" w:hAnsi="Times New Roman" w:cs="Times New Roman"/>
          <w:sz w:val="24"/>
          <w:szCs w:val="24"/>
        </w:rPr>
        <w:br w:type="textWrapping"/>
      </w:r>
      <w:r>
        <w:rPr>
          <w:rFonts w:hint="default" w:ascii="Times New Roman" w:hAnsi="Times New Roman" w:cs="Times New Roman"/>
          <w:sz w:val="24"/>
          <w:szCs w:val="24"/>
        </w:rPr>
        <w:t>12.2. Влияние предприятия на региональное природопользование</w:t>
      </w:r>
      <w:r>
        <w:rPr>
          <w:rFonts w:hint="default" w:ascii="Times New Roman" w:hAnsi="Times New Roman" w:cs="Times New Roman"/>
          <w:sz w:val="24"/>
          <w:szCs w:val="24"/>
          <w:lang w:val="ru-RU"/>
        </w:rPr>
        <w:t xml:space="preserve">     26</w:t>
      </w:r>
      <w:r>
        <w:rPr>
          <w:rFonts w:hint="default" w:ascii="Times New Roman" w:hAnsi="Times New Roman" w:cs="Times New Roman"/>
          <w:sz w:val="24"/>
          <w:szCs w:val="24"/>
        </w:rPr>
        <w:br w:type="textWrapping"/>
      </w:r>
      <w:r>
        <w:rPr>
          <w:rFonts w:hint="default" w:ascii="Times New Roman" w:hAnsi="Times New Roman" w:cs="Times New Roman"/>
          <w:sz w:val="24"/>
          <w:szCs w:val="24"/>
        </w:rPr>
        <w:t>12.3. Прогноз изменений условий жизни местного населения</w:t>
      </w:r>
      <w:r>
        <w:rPr>
          <w:rFonts w:hint="default" w:ascii="Times New Roman" w:hAnsi="Times New Roman" w:cs="Times New Roman"/>
          <w:sz w:val="24"/>
          <w:szCs w:val="24"/>
          <w:lang w:val="ru-RU"/>
        </w:rPr>
        <w:t xml:space="preserve">     26</w:t>
      </w:r>
      <w:r>
        <w:rPr>
          <w:rFonts w:hint="default" w:ascii="Times New Roman" w:hAnsi="Times New Roman" w:cs="Times New Roman"/>
          <w:sz w:val="24"/>
          <w:szCs w:val="24"/>
        </w:rPr>
        <w:br w:type="textWrapping"/>
      </w:r>
      <w:r>
        <w:rPr>
          <w:rFonts w:hint="default" w:ascii="Times New Roman" w:hAnsi="Times New Roman" w:cs="Times New Roman"/>
          <w:sz w:val="24"/>
          <w:szCs w:val="24"/>
        </w:rPr>
        <w:t>12.4. Санитарно-эпидемиологическое состояние территории</w:t>
      </w:r>
      <w:r>
        <w:rPr>
          <w:rFonts w:hint="default" w:ascii="Times New Roman" w:hAnsi="Times New Roman" w:cs="Times New Roman"/>
          <w:sz w:val="24"/>
          <w:szCs w:val="24"/>
          <w:lang w:val="ru-RU"/>
        </w:rPr>
        <w:t xml:space="preserve">     27</w:t>
      </w:r>
      <w:r>
        <w:rPr>
          <w:rFonts w:hint="default" w:ascii="Times New Roman" w:hAnsi="Times New Roman" w:cs="Times New Roman"/>
          <w:sz w:val="24"/>
          <w:szCs w:val="24"/>
        </w:rPr>
        <w:br w:type="textWrapping"/>
      </w:r>
      <w:r>
        <w:rPr>
          <w:rFonts w:hint="default" w:ascii="Times New Roman" w:hAnsi="Times New Roman" w:cs="Times New Roman"/>
          <w:sz w:val="24"/>
          <w:szCs w:val="24"/>
        </w:rPr>
        <w:t>12.5. Предложения по регулированию социальных аспектов</w:t>
      </w:r>
      <w:r>
        <w:rPr>
          <w:rFonts w:hint="default" w:ascii="Times New Roman" w:hAnsi="Times New Roman" w:cs="Times New Roman"/>
          <w:sz w:val="24"/>
          <w:szCs w:val="24"/>
          <w:lang w:val="ru-RU"/>
        </w:rPr>
        <w:t xml:space="preserve">     27</w:t>
      </w:r>
    </w:p>
    <w:p w14:paraId="132A0825">
      <w:pPr>
        <w:pStyle w:val="29"/>
        <w:pageBreakBefore w:val="0"/>
        <w:widowControl/>
        <w:numPr>
          <w:ilvl w:val="0"/>
          <w:numId w:val="1"/>
        </w:numPr>
        <w:kinsoku/>
        <w:wordWrap/>
        <w:overflowPunct/>
        <w:topLinePunct w:val="0"/>
        <w:autoSpaceDE/>
        <w:autoSpaceDN/>
        <w:bidi w:val="0"/>
        <w:adjustRightInd/>
        <w:snapToGrid/>
        <w:spacing w:before="0" w:after="0"/>
        <w:ind w:left="0" w:leftChars="0" w:firstLine="480" w:firstLineChars="200"/>
        <w:jc w:val="left"/>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Оценка физических воздействий</w:t>
      </w:r>
      <w:r>
        <w:rPr>
          <w:rFonts w:hint="default" w:ascii="Times New Roman" w:hAnsi="Times New Roman" w:cs="Times New Roman"/>
          <w:b/>
          <w:bCs/>
          <w:sz w:val="24"/>
          <w:szCs w:val="24"/>
          <w:lang w:val="ru-RU"/>
        </w:rPr>
        <w:t xml:space="preserve">     28</w:t>
      </w:r>
    </w:p>
    <w:p w14:paraId="3184A3F7">
      <w:pPr>
        <w:pStyle w:val="29"/>
        <w:pageBreakBefore w:val="0"/>
        <w:widowControl/>
        <w:numPr>
          <w:ilvl w:val="0"/>
          <w:numId w:val="1"/>
        </w:numPr>
        <w:kinsoku/>
        <w:wordWrap/>
        <w:overflowPunct/>
        <w:topLinePunct w:val="0"/>
        <w:autoSpaceDE/>
        <w:autoSpaceDN/>
        <w:bidi w:val="0"/>
        <w:adjustRightInd/>
        <w:snapToGrid/>
        <w:spacing w:before="0" w:after="0"/>
        <w:ind w:left="0" w:leftChars="0" w:firstLine="480" w:firstLineChars="200"/>
        <w:jc w:val="left"/>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Комплексная оценка экологических рисков</w:t>
      </w:r>
      <w:r>
        <w:rPr>
          <w:rFonts w:hint="default" w:ascii="Times New Roman" w:hAnsi="Times New Roman" w:cs="Times New Roman"/>
          <w:b/>
          <w:bCs/>
          <w:sz w:val="24"/>
          <w:szCs w:val="24"/>
          <w:lang w:val="ru-RU"/>
        </w:rPr>
        <w:t xml:space="preserve">     30</w:t>
      </w:r>
    </w:p>
    <w:p w14:paraId="259710B2">
      <w:pPr>
        <w:pStyle w:val="28"/>
        <w:pageBreakBefore w:val="0"/>
        <w:widowControl/>
        <w:kinsoku/>
        <w:wordWrap/>
        <w:overflowPunct/>
        <w:topLinePunct w:val="0"/>
        <w:autoSpaceDE/>
        <w:autoSpaceDN/>
        <w:bidi w:val="0"/>
        <w:adjustRightInd/>
        <w:snapToGrid/>
        <w:spacing w:before="0" w:after="0"/>
        <w:ind w:left="0" w:leftChars="0" w:firstLine="480" w:firstLineChars="200"/>
        <w:jc w:val="left"/>
        <w:textAlignment w:val="auto"/>
        <w:rPr>
          <w:rFonts w:hint="default" w:ascii="Times New Roman" w:hAnsi="Times New Roman" w:cs="Times New Roman"/>
          <w:b/>
          <w:bCs/>
          <w:sz w:val="24"/>
          <w:szCs w:val="24"/>
          <w:lang w:val="ru-RU"/>
        </w:rPr>
      </w:pPr>
      <w:r>
        <w:rPr>
          <w:rFonts w:hint="default" w:ascii="Times New Roman" w:hAnsi="Times New Roman" w:cs="Times New Roman"/>
          <w:b/>
          <w:bCs/>
          <w:sz w:val="24"/>
          <w:szCs w:val="24"/>
        </w:rPr>
        <w:t>Заключение</w:t>
      </w:r>
      <w:r>
        <w:rPr>
          <w:rFonts w:hint="default" w:ascii="Times New Roman" w:hAnsi="Times New Roman" w:cs="Times New Roman"/>
          <w:b/>
          <w:bCs/>
          <w:sz w:val="24"/>
          <w:szCs w:val="24"/>
          <w:lang w:val="ru-RU"/>
        </w:rPr>
        <w:t xml:space="preserve">     32</w:t>
      </w:r>
      <w:r>
        <w:rPr>
          <w:rFonts w:hint="default" w:ascii="Times New Roman" w:hAnsi="Times New Roman" w:cs="Times New Roman"/>
          <w:sz w:val="24"/>
          <w:szCs w:val="24"/>
        </w:rPr>
        <w:br w:type="textWrapping"/>
      </w:r>
      <w:r>
        <w:rPr>
          <w:rFonts w:hint="default" w:ascii="Times New Roman" w:hAnsi="Times New Roman" w:cs="Times New Roman"/>
          <w:b/>
          <w:bCs/>
          <w:sz w:val="24"/>
          <w:szCs w:val="24"/>
        </w:rPr>
        <w:t>Список использованных источников</w:t>
      </w:r>
      <w:r>
        <w:rPr>
          <w:rFonts w:hint="default" w:ascii="Times New Roman" w:hAnsi="Times New Roman" w:cs="Times New Roman"/>
          <w:b/>
          <w:bCs/>
          <w:sz w:val="24"/>
          <w:szCs w:val="24"/>
          <w:lang w:val="ru-RU"/>
        </w:rPr>
        <w:t xml:space="preserve">     33</w:t>
      </w:r>
      <w:r>
        <w:rPr>
          <w:rFonts w:hint="default" w:ascii="Times New Roman" w:hAnsi="Times New Roman" w:cs="Times New Roman"/>
          <w:sz w:val="24"/>
          <w:szCs w:val="24"/>
        </w:rPr>
        <w:br w:type="textWrapping"/>
      </w:r>
      <w:r>
        <w:rPr>
          <w:rFonts w:hint="default" w:ascii="Times New Roman" w:hAnsi="Times New Roman" w:cs="Times New Roman"/>
          <w:b/>
          <w:bCs/>
          <w:sz w:val="24"/>
          <w:szCs w:val="24"/>
        </w:rPr>
        <w:t>Приложения</w:t>
      </w:r>
      <w:r>
        <w:rPr>
          <w:rFonts w:hint="default" w:ascii="Times New Roman" w:hAnsi="Times New Roman" w:cs="Times New Roman"/>
          <w:b/>
          <w:bCs/>
          <w:sz w:val="24"/>
          <w:szCs w:val="24"/>
          <w:lang w:val="ru-RU"/>
        </w:rPr>
        <w:t xml:space="preserve">     35</w:t>
      </w:r>
    </w:p>
    <w:p w14:paraId="35ABA4A5">
      <w:pPr>
        <w:spacing w:after="0"/>
        <w:jc w:val="center"/>
        <w:rPr>
          <w:rFonts w:hint="default" w:ascii="Times New Roman" w:hAnsi="Times New Roman" w:cs="Times New Roman"/>
          <w:b/>
          <w:bCs/>
          <w:sz w:val="24"/>
          <w:szCs w:val="24"/>
        </w:rPr>
      </w:pPr>
      <w:r>
        <w:rPr>
          <w:rFonts w:hint="default" w:ascii="Times New Roman" w:hAnsi="Times New Roman" w:cs="Times New Roman"/>
        </w:rPr>
        <w:br w:type="page"/>
      </w:r>
      <w:r>
        <w:rPr>
          <w:rFonts w:hint="default" w:ascii="Times New Roman" w:hAnsi="Times New Roman" w:cs="Times New Roman"/>
          <w:b/>
          <w:bCs/>
          <w:sz w:val="24"/>
          <w:szCs w:val="24"/>
        </w:rPr>
        <w:t>ОБОЗНАЧЕНИЯ И СОКРАЩЕНИЯ</w:t>
      </w:r>
    </w:p>
    <w:p w14:paraId="6661A105">
      <w:pPr>
        <w:spacing w:after="0"/>
        <w:ind w:firstLine="709"/>
        <w:rPr>
          <w:rFonts w:hint="default" w:ascii="Times New Roman" w:hAnsi="Times New Roman" w:cs="Times New Roman"/>
          <w:sz w:val="24"/>
          <w:szCs w:val="24"/>
        </w:rPr>
      </w:pPr>
    </w:p>
    <w:p w14:paraId="41D18878">
      <w:pPr>
        <w:spacing w:after="0"/>
        <w:ind w:firstLine="709"/>
        <w:rPr>
          <w:rFonts w:hint="default" w:ascii="Times New Roman" w:hAnsi="Times New Roman" w:cs="Times New Roman"/>
          <w:sz w:val="24"/>
          <w:szCs w:val="24"/>
        </w:rPr>
      </w:pPr>
      <w:r>
        <w:rPr>
          <w:rFonts w:hint="default" w:ascii="Times New Roman" w:hAnsi="Times New Roman" w:cs="Times New Roman"/>
          <w:sz w:val="24"/>
          <w:szCs w:val="24"/>
        </w:rPr>
        <w:t>В данном отчете применяются следующие обозначения и сокращения:</w:t>
      </w:r>
    </w:p>
    <w:bookmarkEnd w:id="4"/>
    <w:tbl>
      <w:tblPr>
        <w:tblStyle w:val="46"/>
        <w:tblW w:w="0" w:type="auto"/>
        <w:tblInd w:w="0" w:type="dxa"/>
        <w:tblLayout w:type="autofit"/>
        <w:tblCellMar>
          <w:top w:w="0" w:type="dxa"/>
          <w:left w:w="108" w:type="dxa"/>
          <w:bottom w:w="0" w:type="dxa"/>
          <w:right w:w="108" w:type="dxa"/>
        </w:tblCellMar>
      </w:tblPr>
      <w:tblGrid>
        <w:gridCol w:w="1369"/>
        <w:gridCol w:w="5378"/>
      </w:tblGrid>
      <w:tr w14:paraId="3210BC0E">
        <w:tblPrEx>
          <w:tblCellMar>
            <w:top w:w="0" w:type="dxa"/>
            <w:left w:w="108" w:type="dxa"/>
            <w:bottom w:w="0" w:type="dxa"/>
            <w:right w:w="108" w:type="dxa"/>
          </w:tblCellMar>
        </w:tblPrEx>
        <w:trPr>
          <w:tblHeader/>
        </w:trPr>
        <w:tc>
          <w:p w14:paraId="6F18FACA">
            <w:pPr>
              <w:pStyle w:val="29"/>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bookmarkStart w:id="5" w:name="обозначения-и-сокращения"/>
          </w:p>
        </w:tc>
        <w:tc>
          <w:p w14:paraId="38ABF290">
            <w:pPr>
              <w:pStyle w:val="29"/>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p>
        </w:tc>
      </w:tr>
      <w:tr w14:paraId="2DF41027">
        <w:tblPrEx>
          <w:tblCellMar>
            <w:top w:w="0" w:type="dxa"/>
            <w:left w:w="108" w:type="dxa"/>
            <w:bottom w:w="0" w:type="dxa"/>
            <w:right w:w="108" w:type="dxa"/>
          </w:tblCellMar>
        </w:tblPrEx>
        <w:tc>
          <w:p w14:paraId="71BE7DCC">
            <w:pPr>
              <w:pStyle w:val="29"/>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ООС</w:t>
            </w:r>
          </w:p>
        </w:tc>
        <w:tc>
          <w:p w14:paraId="470F7AC8">
            <w:pPr>
              <w:pStyle w:val="29"/>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окружающая среда</w:t>
            </w:r>
          </w:p>
        </w:tc>
      </w:tr>
      <w:tr w14:paraId="5BB4C604">
        <w:tblPrEx>
          <w:tblCellMar>
            <w:top w:w="0" w:type="dxa"/>
            <w:left w:w="108" w:type="dxa"/>
            <w:bottom w:w="0" w:type="dxa"/>
            <w:right w:w="108" w:type="dxa"/>
          </w:tblCellMar>
        </w:tblPrEx>
        <w:tc>
          <w:p w14:paraId="15FFF8DE">
            <w:pPr>
              <w:pStyle w:val="29"/>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РООС</w:t>
            </w:r>
          </w:p>
        </w:tc>
        <w:tc>
          <w:p w14:paraId="26ADD323">
            <w:pPr>
              <w:pStyle w:val="29"/>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раздел «Охрана окружающей среды»</w:t>
            </w:r>
          </w:p>
        </w:tc>
      </w:tr>
      <w:tr w14:paraId="562EC068">
        <w:tblPrEx>
          <w:tblCellMar>
            <w:top w:w="0" w:type="dxa"/>
            <w:left w:w="108" w:type="dxa"/>
            <w:bottom w:w="0" w:type="dxa"/>
            <w:right w:w="108" w:type="dxa"/>
          </w:tblCellMar>
        </w:tblPrEx>
        <w:tc>
          <w:p w14:paraId="3335FFC1">
            <w:pPr>
              <w:pStyle w:val="29"/>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ЗВ</w:t>
            </w:r>
          </w:p>
        </w:tc>
        <w:tc>
          <w:p w14:paraId="37856B1A">
            <w:pPr>
              <w:pStyle w:val="29"/>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загрязняющие вещества</w:t>
            </w:r>
          </w:p>
        </w:tc>
      </w:tr>
      <w:tr w14:paraId="7C858C8E">
        <w:tblPrEx>
          <w:tblCellMar>
            <w:top w:w="0" w:type="dxa"/>
            <w:left w:w="108" w:type="dxa"/>
            <w:bottom w:w="0" w:type="dxa"/>
            <w:right w:w="108" w:type="dxa"/>
          </w:tblCellMar>
        </w:tblPrEx>
        <w:tc>
          <w:p w14:paraId="36B9CE15">
            <w:pPr>
              <w:pStyle w:val="29"/>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ПДК</w:t>
            </w:r>
          </w:p>
        </w:tc>
        <w:tc>
          <w:p w14:paraId="39F98627">
            <w:pPr>
              <w:pStyle w:val="29"/>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предельно допустимая концентрация</w:t>
            </w:r>
          </w:p>
        </w:tc>
      </w:tr>
      <w:tr w14:paraId="04E1692C">
        <w:tblPrEx>
          <w:tblCellMar>
            <w:top w:w="0" w:type="dxa"/>
            <w:left w:w="108" w:type="dxa"/>
            <w:bottom w:w="0" w:type="dxa"/>
            <w:right w:w="108" w:type="dxa"/>
          </w:tblCellMar>
        </w:tblPrEx>
        <w:tc>
          <w:p w14:paraId="203BD95B">
            <w:pPr>
              <w:pStyle w:val="29"/>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ТБО</w:t>
            </w:r>
          </w:p>
        </w:tc>
        <w:tc>
          <w:p w14:paraId="4F213E67">
            <w:pPr>
              <w:pStyle w:val="29"/>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тв</w:t>
            </w:r>
            <w:r>
              <w:rPr>
                <w:rFonts w:hint="default" w:ascii="Times New Roman" w:hAnsi="Times New Roman" w:cs="Times New Roman"/>
                <w:sz w:val="24"/>
                <w:szCs w:val="24"/>
                <w:lang w:val="ru-RU"/>
              </w:rPr>
              <w:t>е</w:t>
            </w:r>
            <w:r>
              <w:rPr>
                <w:rFonts w:hint="default" w:ascii="Times New Roman" w:hAnsi="Times New Roman" w:cs="Times New Roman"/>
                <w:sz w:val="24"/>
                <w:szCs w:val="24"/>
              </w:rPr>
              <w:t>рдые бытовые отходы</w:t>
            </w:r>
          </w:p>
        </w:tc>
      </w:tr>
      <w:tr w14:paraId="2D0F4F05">
        <w:tblPrEx>
          <w:tblCellMar>
            <w:top w:w="0" w:type="dxa"/>
            <w:left w:w="108" w:type="dxa"/>
            <w:bottom w:w="0" w:type="dxa"/>
            <w:right w:w="108" w:type="dxa"/>
          </w:tblCellMar>
        </w:tblPrEx>
        <w:tc>
          <w:p w14:paraId="7D2C8E12">
            <w:pPr>
              <w:pStyle w:val="29"/>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СЗЗ</w:t>
            </w:r>
          </w:p>
        </w:tc>
        <w:tc>
          <w:p w14:paraId="0B99349C">
            <w:pPr>
              <w:pStyle w:val="29"/>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санитарно-защитная зона</w:t>
            </w:r>
          </w:p>
        </w:tc>
      </w:tr>
      <w:tr w14:paraId="1FDBBC61">
        <w:tblPrEx>
          <w:tblCellMar>
            <w:top w:w="0" w:type="dxa"/>
            <w:left w:w="108" w:type="dxa"/>
            <w:bottom w:w="0" w:type="dxa"/>
            <w:right w:w="108" w:type="dxa"/>
          </w:tblCellMar>
        </w:tblPrEx>
        <w:tc>
          <w:p w14:paraId="5E99B3FB">
            <w:pPr>
              <w:pStyle w:val="29"/>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ЭК РК</w:t>
            </w:r>
          </w:p>
        </w:tc>
        <w:tc>
          <w:p w14:paraId="7DA3C36C">
            <w:pPr>
              <w:pStyle w:val="29"/>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Экологический кодекс Республики Казахстан</w:t>
            </w:r>
          </w:p>
          <w:p w14:paraId="02234D45">
            <w:pPr>
              <w:pStyle w:val="29"/>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p>
          <w:p w14:paraId="01689AF1">
            <w:pPr>
              <w:pStyle w:val="29"/>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p>
        </w:tc>
      </w:tr>
      <w:bookmarkEnd w:id="5"/>
    </w:tbl>
    <w:p w14:paraId="732563BC">
      <w:pPr>
        <w:spacing w:line="259" w:lineRule="auto"/>
        <w:jc w:val="center"/>
        <w:rPr>
          <w:rFonts w:hint="default" w:ascii="Times New Roman" w:hAnsi="Times New Roman" w:cs="Times New Roman"/>
          <w:b/>
          <w:bCs/>
          <w:sz w:val="24"/>
          <w:szCs w:val="24"/>
        </w:rPr>
      </w:pPr>
      <w:bookmarkStart w:id="6" w:name="введение"/>
      <w:r>
        <w:rPr>
          <w:rFonts w:hint="default" w:ascii="Times New Roman" w:hAnsi="Times New Roman" w:cs="Times New Roman"/>
          <w:sz w:val="24"/>
          <w:szCs w:val="24"/>
        </w:rPr>
        <w:br w:type="page"/>
      </w:r>
      <w:r>
        <w:rPr>
          <w:rFonts w:hint="default" w:ascii="Times New Roman" w:hAnsi="Times New Roman" w:cs="Times New Roman"/>
          <w:b/>
          <w:bCs/>
          <w:sz w:val="24"/>
          <w:szCs w:val="24"/>
        </w:rPr>
        <w:t>ВВЕДЕНИЕ</w:t>
      </w:r>
    </w:p>
    <w:p w14:paraId="10775A97">
      <w:pPr>
        <w:pStyle w:val="4"/>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p>
    <w:p w14:paraId="1F1CE598">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Раздел «Охрана окружающей среды» подготовлен для обоснования экологических аспектов эксплуатации арендованной открытой площадки ТОО «Пассажирская Компания «Туран Экспресс» в г. Алматы (Турксибский район, ул. Сортировочная, д. 1/2). Деятельность объекта характеризуется минимальным воздействием на окружающую среду: </w:t>
      </w:r>
      <w:r>
        <w:rPr>
          <w:rFonts w:hint="default" w:ascii="Times New Roman" w:hAnsi="Times New Roman" w:cs="Times New Roman"/>
          <w:b/>
          <w:bCs/>
          <w:sz w:val="24"/>
          <w:szCs w:val="24"/>
        </w:rPr>
        <w:t>стационарные источники выбросов отсутствуют</w:t>
      </w:r>
      <w:r>
        <w:rPr>
          <w:rFonts w:hint="default" w:ascii="Times New Roman" w:hAnsi="Times New Roman" w:cs="Times New Roman"/>
          <w:sz w:val="24"/>
          <w:szCs w:val="24"/>
        </w:rPr>
        <w:t xml:space="preserve">, технологические процессы, связанные с сжиганием топлива или использованием химических веществ, не осуществляются. </w:t>
      </w:r>
      <w:r>
        <w:rPr>
          <w:rFonts w:hint="default" w:ascii="Times New Roman" w:hAnsi="Times New Roman" w:cs="Times New Roman"/>
          <w:b/>
          <w:bCs/>
          <w:sz w:val="24"/>
          <w:szCs w:val="24"/>
        </w:rPr>
        <w:t>Водопотребление и водоотведение в пределах площадки не предусмотрены</w:t>
      </w:r>
      <w:r>
        <w:rPr>
          <w:rFonts w:hint="default" w:ascii="Times New Roman" w:hAnsi="Times New Roman" w:cs="Times New Roman"/>
          <w:sz w:val="24"/>
          <w:szCs w:val="24"/>
        </w:rPr>
        <w:t xml:space="preserve"> – санитарно-бытовые нужды персонала обеспечиваются на инфраструктуре балансодержателя (арендодателя). Основной экологический аспект эксплуатации – это образование </w:t>
      </w:r>
      <w:r>
        <w:rPr>
          <w:rFonts w:hint="default" w:ascii="Times New Roman" w:hAnsi="Times New Roman" w:cs="Times New Roman"/>
          <w:b/>
          <w:bCs/>
          <w:sz w:val="24"/>
          <w:szCs w:val="24"/>
        </w:rPr>
        <w:t>твердых бытовых отходов (ТБО)</w:t>
      </w:r>
      <w:r>
        <w:rPr>
          <w:rFonts w:hint="default" w:ascii="Times New Roman" w:hAnsi="Times New Roman" w:cs="Times New Roman"/>
          <w:sz w:val="24"/>
          <w:szCs w:val="24"/>
        </w:rPr>
        <w:t xml:space="preserve"> от жизнедеятельности работников и поддержание санитарного состояния территории. </w:t>
      </w:r>
      <w:r>
        <w:rPr>
          <w:rFonts w:hint="default" w:ascii="Times New Roman" w:hAnsi="Times New Roman" w:cs="Times New Roman"/>
          <w:sz w:val="24"/>
          <w:szCs w:val="24"/>
          <w:lang w:val="ru-RU"/>
        </w:rPr>
        <w:t xml:space="preserve">В производственном процессе образуется </w:t>
      </w:r>
      <w:r>
        <w:rPr>
          <w:rFonts w:hint="default" w:ascii="Times New Roman" w:hAnsi="Times New Roman" w:cs="Times New Roman"/>
          <w:b/>
          <w:bCs/>
          <w:sz w:val="24"/>
          <w:szCs w:val="24"/>
          <w:lang w:val="ru-RU"/>
        </w:rPr>
        <w:t>металлолом</w:t>
      </w:r>
      <w:r>
        <w:rPr>
          <w:rFonts w:hint="default" w:ascii="Times New Roman" w:hAnsi="Times New Roman" w:cs="Times New Roman"/>
          <w:sz w:val="24"/>
          <w:szCs w:val="24"/>
          <w:lang w:val="ru-RU"/>
        </w:rPr>
        <w:t xml:space="preserve">, временно собирающийся и накапливающийся на площадке </w:t>
      </w:r>
      <w:r>
        <w:rPr>
          <w:rFonts w:hint="default" w:ascii="Times New Roman" w:hAnsi="Times New Roman" w:cs="Times New Roman"/>
          <w:b/>
          <w:bCs/>
          <w:sz w:val="24"/>
          <w:szCs w:val="24"/>
          <w:lang w:val="ru-RU"/>
        </w:rPr>
        <w:t>площадью 150 м</w:t>
      </w:r>
      <w:r>
        <w:rPr>
          <w:rFonts w:hint="default" w:ascii="Times New Roman" w:hAnsi="Times New Roman" w:cs="Times New Roman"/>
          <w:b/>
          <w:bCs/>
          <w:sz w:val="24"/>
          <w:szCs w:val="24"/>
          <w:vertAlign w:val="superscript"/>
          <w:lang w:val="ru-RU"/>
        </w:rPr>
        <w:t>2</w:t>
      </w:r>
      <w:r>
        <w:rPr>
          <w:rFonts w:hint="default" w:ascii="Times New Roman" w:hAnsi="Times New Roman" w:cs="Times New Roman"/>
          <w:sz w:val="24"/>
          <w:szCs w:val="24"/>
          <w:lang w:val="ru-RU"/>
        </w:rPr>
        <w:t xml:space="preserve"> предприятия для передачи на переработку другим спецпредприятиям в объеме </w:t>
      </w:r>
      <w:r>
        <w:rPr>
          <w:rFonts w:hint="default" w:ascii="Times New Roman" w:hAnsi="Times New Roman" w:cs="Times New Roman"/>
          <w:b/>
          <w:bCs/>
          <w:sz w:val="24"/>
          <w:szCs w:val="24"/>
          <w:lang w:val="ru-RU"/>
        </w:rPr>
        <w:t>до 1000 т/год</w:t>
      </w:r>
      <w:r>
        <w:rPr>
          <w:rFonts w:hint="default" w:ascii="Times New Roman" w:hAnsi="Times New Roman" w:cs="Times New Roman"/>
          <w:sz w:val="24"/>
          <w:szCs w:val="24"/>
          <w:lang w:val="ru-RU"/>
        </w:rPr>
        <w:t xml:space="preserve">. </w:t>
      </w:r>
      <w:r>
        <w:rPr>
          <w:rFonts w:hint="default" w:ascii="Times New Roman" w:hAnsi="Times New Roman" w:cs="Times New Roman"/>
          <w:sz w:val="24"/>
          <w:szCs w:val="24"/>
        </w:rPr>
        <w:t xml:space="preserve">Материалы по природно-климатическим условиям и характеристика почв приведены на основе </w:t>
      </w:r>
      <w:r>
        <w:rPr>
          <w:rFonts w:hint="default" w:ascii="Times New Roman" w:hAnsi="Times New Roman" w:cs="Times New Roman"/>
          <w:sz w:val="24"/>
          <w:szCs w:val="24"/>
          <w:lang w:val="ru-RU"/>
        </w:rPr>
        <w:t xml:space="preserve">фондовых </w:t>
      </w:r>
      <w:r>
        <w:rPr>
          <w:rFonts w:hint="default" w:ascii="Times New Roman" w:hAnsi="Times New Roman" w:cs="Times New Roman"/>
          <w:sz w:val="24"/>
          <w:szCs w:val="24"/>
        </w:rPr>
        <w:t xml:space="preserve">данных </w:t>
      </w:r>
      <w:r>
        <w:rPr>
          <w:rFonts w:hint="default" w:ascii="Times New Roman" w:hAnsi="Times New Roman" w:cs="Times New Roman"/>
          <w:sz w:val="24"/>
          <w:szCs w:val="24"/>
          <w:lang w:val="ru-RU"/>
        </w:rPr>
        <w:t>и данных РГП «Казгидромет»</w:t>
      </w:r>
      <w:r>
        <w:rPr>
          <w:rFonts w:hint="default" w:ascii="Times New Roman" w:hAnsi="Times New Roman" w:cs="Times New Roman"/>
          <w:sz w:val="24"/>
          <w:szCs w:val="24"/>
        </w:rPr>
        <w:t>.</w:t>
      </w:r>
    </w:p>
    <w:p w14:paraId="5C13C421">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Согласно Экологическому кодексу РК объект не подлежит обязательной государственной экологической экспертизе (ОВОС) и относится к </w:t>
      </w:r>
      <w:r>
        <w:rPr>
          <w:rFonts w:hint="default" w:ascii="Times New Roman" w:hAnsi="Times New Roman" w:cs="Times New Roman"/>
          <w:b/>
          <w:bCs/>
          <w:sz w:val="24"/>
          <w:szCs w:val="24"/>
          <w:lang w:val="en-US"/>
        </w:rPr>
        <w:t>III</w:t>
      </w:r>
      <w:r>
        <w:rPr>
          <w:rFonts w:hint="default" w:ascii="Times New Roman" w:hAnsi="Times New Roman" w:cs="Times New Roman"/>
          <w:b/>
          <w:bCs/>
          <w:sz w:val="24"/>
          <w:szCs w:val="24"/>
        </w:rPr>
        <w:t xml:space="preserve"> категории</w:t>
      </w:r>
      <w:r>
        <w:rPr>
          <w:rFonts w:hint="default" w:ascii="Times New Roman" w:hAnsi="Times New Roman" w:cs="Times New Roman"/>
          <w:sz w:val="24"/>
          <w:szCs w:val="24"/>
        </w:rPr>
        <w:t xml:space="preserve"> по уровню воздействия на окружающую среду (наименьшее воздействие). Нормативы допустимых выбросов для таких объектов не устанавливаются (п.11 ст.39 ЭК РК [1]), экологическое регулирование осуществляется посредством подачи декларации о воздействии. РООС разработан в рамках упрощенной экологической оценки для включения полученных данных в экологическую декларацию.</w:t>
      </w:r>
    </w:p>
    <w:p w14:paraId="5B13E7C5">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p>
    <w:p w14:paraId="0210F40D">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bookmarkStart w:id="25" w:name="_GoBack"/>
      <w:bookmarkEnd w:id="25"/>
    </w:p>
    <w:p w14:paraId="598AF082">
      <w:pPr>
        <w:spacing w:line="259" w:lineRule="auto"/>
        <w:jc w:val="center"/>
        <w:rPr>
          <w:rFonts w:hint="default" w:ascii="Times New Roman" w:hAnsi="Times New Roman" w:cs="Times New Roman"/>
          <w:b/>
          <w:bCs/>
          <w:sz w:val="24"/>
          <w:szCs w:val="24"/>
          <w:lang w:val="ru-RU"/>
        </w:rPr>
      </w:pPr>
      <w:r>
        <w:rPr>
          <w:rFonts w:hint="default" w:ascii="Times New Roman" w:hAnsi="Times New Roman" w:cs="Times New Roman"/>
          <w:sz w:val="24"/>
          <w:szCs w:val="24"/>
        </w:rPr>
        <w:br w:type="page"/>
      </w:r>
      <w:r>
        <w:rPr>
          <w:rFonts w:hint="default" w:ascii="Times New Roman" w:hAnsi="Times New Roman" w:cs="Times New Roman"/>
          <w:b/>
          <w:bCs/>
          <w:sz w:val="24"/>
          <w:szCs w:val="24"/>
        </w:rPr>
        <w:t xml:space="preserve">1 ОБЩИЕ СВЕДЕНИЯ О ПРЕДПРИЯТИИ И </w:t>
      </w:r>
      <w:r>
        <w:rPr>
          <w:rFonts w:hint="default" w:ascii="Times New Roman" w:hAnsi="Times New Roman" w:cs="Times New Roman"/>
          <w:b/>
          <w:bCs/>
          <w:sz w:val="24"/>
          <w:szCs w:val="24"/>
          <w:lang w:val="ru-RU"/>
        </w:rPr>
        <w:t>ОБЪЕКТЕ</w:t>
      </w:r>
    </w:p>
    <w:p w14:paraId="3274D6F3">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p>
    <w:bookmarkEnd w:id="6"/>
    <w:p w14:paraId="223E6D15">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bookmarkStart w:id="7" w:name="общие-сведения-о-предприятии-и-объекте"/>
      <w:r>
        <w:rPr>
          <w:rFonts w:hint="default" w:ascii="Times New Roman" w:hAnsi="Times New Roman" w:cs="Times New Roman"/>
          <w:b/>
          <w:bCs/>
          <w:sz w:val="24"/>
          <w:szCs w:val="24"/>
        </w:rPr>
        <w:t>Наименование предприятия:</w:t>
      </w:r>
      <w:r>
        <w:rPr>
          <w:rFonts w:hint="default" w:ascii="Times New Roman" w:hAnsi="Times New Roman" w:cs="Times New Roman"/>
          <w:sz w:val="24"/>
          <w:szCs w:val="24"/>
        </w:rPr>
        <w:t xml:space="preserve"> ТОО «Пассажирская Компания «Туран Экспресс».</w:t>
      </w:r>
    </w:p>
    <w:p w14:paraId="53A9775D">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Юридический адрес:</w:t>
      </w:r>
      <w:r>
        <w:rPr>
          <w:rFonts w:hint="default" w:ascii="Times New Roman" w:hAnsi="Times New Roman" w:cs="Times New Roman"/>
          <w:sz w:val="24"/>
          <w:szCs w:val="24"/>
        </w:rPr>
        <w:t xml:space="preserve"> 050050, Республика Казахстан, г. Алматы, ул. Ахтанова, 43.</w:t>
      </w:r>
      <w:r>
        <w:rPr>
          <w:rFonts w:hint="default" w:ascii="Times New Roman" w:hAnsi="Times New Roman" w:cs="Times New Roman"/>
          <w:sz w:val="24"/>
          <w:szCs w:val="24"/>
          <w:lang w:val="kk-KZ"/>
        </w:rPr>
        <w:t xml:space="preserve"> </w:t>
      </w:r>
      <w:r>
        <w:rPr>
          <w:rFonts w:hint="default" w:ascii="Times New Roman" w:hAnsi="Times New Roman" w:cs="Times New Roman"/>
          <w:b/>
          <w:bCs/>
          <w:sz w:val="24"/>
          <w:szCs w:val="24"/>
        </w:rPr>
        <w:t>БИН:</w:t>
      </w:r>
      <w:r>
        <w:rPr>
          <w:rFonts w:hint="default" w:ascii="Times New Roman" w:hAnsi="Times New Roman" w:cs="Times New Roman"/>
          <w:sz w:val="24"/>
          <w:szCs w:val="24"/>
        </w:rPr>
        <w:t xml:space="preserve"> 060540004487. </w:t>
      </w:r>
      <w:r>
        <w:rPr>
          <w:rFonts w:hint="default" w:ascii="Times New Roman" w:hAnsi="Times New Roman" w:cs="Times New Roman"/>
          <w:b/>
          <w:bCs/>
          <w:sz w:val="24"/>
          <w:szCs w:val="24"/>
        </w:rPr>
        <w:t>Руководитель:</w:t>
      </w:r>
      <w:r>
        <w:rPr>
          <w:rFonts w:hint="default" w:ascii="Times New Roman" w:hAnsi="Times New Roman" w:cs="Times New Roman"/>
          <w:sz w:val="24"/>
          <w:szCs w:val="24"/>
        </w:rPr>
        <w:t xml:space="preserve"> Генеральный директор Ботабеков Р.Б.</w:t>
      </w:r>
    </w:p>
    <w:p w14:paraId="142726D1">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Местонахождение объекта:</w:t>
      </w:r>
      <w:r>
        <w:rPr>
          <w:rFonts w:hint="default" w:ascii="Times New Roman" w:hAnsi="Times New Roman" w:cs="Times New Roman"/>
          <w:sz w:val="24"/>
          <w:szCs w:val="24"/>
        </w:rPr>
        <w:t xml:space="preserve"> Республика Казахстан, г. Алматы, Турксибский район, ул. Сортировочная, д. 1/2.</w:t>
      </w:r>
    </w:p>
    <w:p w14:paraId="76BB5D1C">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Характеристика объекта:</w:t>
      </w:r>
      <w:r>
        <w:rPr>
          <w:rFonts w:hint="default" w:ascii="Times New Roman" w:hAnsi="Times New Roman" w:cs="Times New Roman"/>
          <w:sz w:val="24"/>
          <w:szCs w:val="24"/>
        </w:rPr>
        <w:t xml:space="preserve"> арендованный земельный участок, тип – открытая производственно-складская площадка под навесом. </w:t>
      </w:r>
      <w:r>
        <w:rPr>
          <w:rFonts w:hint="default" w:ascii="Times New Roman" w:hAnsi="Times New Roman" w:cs="Times New Roman"/>
          <w:b/>
          <w:bCs/>
          <w:sz w:val="24"/>
          <w:szCs w:val="24"/>
        </w:rPr>
        <w:t>Площадь участка:</w:t>
      </w:r>
      <w:r>
        <w:rPr>
          <w:rFonts w:hint="default" w:ascii="Times New Roman" w:hAnsi="Times New Roman" w:cs="Times New Roman"/>
          <w:sz w:val="24"/>
          <w:szCs w:val="24"/>
        </w:rPr>
        <w:t xml:space="preserve"> 1524,92 м² (согласно договору имущественного найма №55044-ЭТП).</w:t>
      </w:r>
      <w:r>
        <w:rPr>
          <w:rFonts w:hint="default" w:ascii="Times New Roman" w:hAnsi="Times New Roman" w:cs="Times New Roman"/>
          <w:sz w:val="24"/>
          <w:szCs w:val="24"/>
          <w:lang w:val="ru-RU"/>
        </w:rPr>
        <w:t xml:space="preserve"> </w:t>
      </w:r>
      <w:r>
        <w:rPr>
          <w:rFonts w:hint="default" w:ascii="Times New Roman" w:hAnsi="Times New Roman" w:cs="Times New Roman"/>
          <w:sz w:val="24"/>
          <w:szCs w:val="24"/>
        </w:rPr>
        <w:t xml:space="preserve">По информации заказчика, фактически используемая зона размещения контейнеров и рабочая зона персонала меньше общей площади участка </w:t>
      </w:r>
      <w:r>
        <w:rPr>
          <w:rFonts w:hint="default" w:ascii="Times New Roman" w:hAnsi="Times New Roman" w:cs="Times New Roman"/>
          <w:sz w:val="24"/>
          <w:szCs w:val="24"/>
          <w:lang w:val="kk-KZ"/>
        </w:rPr>
        <w:t xml:space="preserve">и составляет </w:t>
      </w:r>
      <w:r>
        <w:rPr>
          <w:rFonts w:hint="default" w:ascii="Times New Roman" w:hAnsi="Times New Roman" w:cs="Times New Roman"/>
          <w:sz w:val="24"/>
          <w:szCs w:val="24"/>
          <w:lang w:val="ru-RU"/>
        </w:rPr>
        <w:t>100-150 м</w:t>
      </w:r>
      <w:r>
        <w:rPr>
          <w:rFonts w:hint="default" w:ascii="Times New Roman" w:hAnsi="Times New Roman" w:cs="Times New Roman"/>
          <w:sz w:val="24"/>
          <w:szCs w:val="24"/>
          <w:vertAlign w:val="superscript"/>
          <w:lang w:val="ru-RU"/>
        </w:rPr>
        <w:t>2</w:t>
      </w:r>
      <w:r>
        <w:rPr>
          <w:rFonts w:hint="default" w:ascii="Times New Roman" w:hAnsi="Times New Roman" w:cs="Times New Roman"/>
          <w:sz w:val="24"/>
          <w:szCs w:val="24"/>
        </w:rPr>
        <w:t>.</w:t>
      </w:r>
    </w:p>
    <w:p w14:paraId="6206DE5A">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Численность персонала, задействованного на площадке:</w:t>
      </w:r>
      <w:r>
        <w:rPr>
          <w:rFonts w:hint="default" w:ascii="Times New Roman" w:hAnsi="Times New Roman" w:cs="Times New Roman"/>
          <w:sz w:val="24"/>
          <w:szCs w:val="24"/>
        </w:rPr>
        <w:t xml:space="preserve"> 6 человек. Площадка эксплуатируется в постоянном режиме (повседневная деятельность персонала в пределах одной смены). </w:t>
      </w:r>
    </w:p>
    <w:p w14:paraId="6F4CDEE6">
      <w:pPr>
        <w:spacing w:after="0"/>
        <w:ind w:firstLine="709"/>
        <w:jc w:val="both"/>
        <w:rPr>
          <w:rFonts w:hint="default" w:ascii="Times New Roman" w:hAnsi="Times New Roman" w:cs="Times New Roman"/>
          <w:sz w:val="24"/>
          <w:szCs w:val="24"/>
          <w:highlight w:val="none"/>
          <w:lang w:val="kk-KZ"/>
        </w:rPr>
      </w:pPr>
      <w:r>
        <w:rPr>
          <w:rFonts w:hint="default" w:ascii="Times New Roman" w:hAnsi="Times New Roman" w:cs="Times New Roman"/>
          <w:b/>
          <w:bCs/>
          <w:sz w:val="24"/>
          <w:szCs w:val="24"/>
          <w:lang w:val="ru-RU"/>
        </w:rPr>
        <w:t xml:space="preserve">Категория опасности предприятия: </w:t>
      </w:r>
      <w:r>
        <w:rPr>
          <w:rFonts w:hint="default" w:ascii="Times New Roman" w:hAnsi="Times New Roman" w:cs="Times New Roman"/>
          <w:b w:val="0"/>
          <w:bCs w:val="0"/>
          <w:sz w:val="24"/>
          <w:szCs w:val="24"/>
          <w:highlight w:val="none"/>
          <w:lang w:val="ru-RU"/>
        </w:rPr>
        <w:t>к</w:t>
      </w:r>
      <w:r>
        <w:rPr>
          <w:rFonts w:hint="default" w:ascii="Times New Roman" w:hAnsi="Times New Roman" w:cs="Times New Roman"/>
          <w:sz w:val="24"/>
          <w:szCs w:val="24"/>
          <w:highlight w:val="none"/>
        </w:rPr>
        <w:t xml:space="preserve">атегория опасности предприятия определяется в соответствии с Приложением </w:t>
      </w:r>
      <w:r>
        <w:rPr>
          <w:rFonts w:hint="default" w:ascii="Times New Roman" w:hAnsi="Times New Roman" w:cs="Times New Roman"/>
          <w:sz w:val="24"/>
          <w:szCs w:val="24"/>
          <w:highlight w:val="none"/>
          <w:lang w:val="ru-RU"/>
        </w:rPr>
        <w:t xml:space="preserve">2 </w:t>
      </w:r>
      <w:r>
        <w:rPr>
          <w:rFonts w:hint="default" w:ascii="Times New Roman" w:hAnsi="Times New Roman" w:cs="Times New Roman"/>
          <w:sz w:val="24"/>
          <w:szCs w:val="24"/>
          <w:highlight w:val="none"/>
        </w:rPr>
        <w:t xml:space="preserve">к </w:t>
      </w:r>
      <w:r>
        <w:rPr>
          <w:rFonts w:hint="default" w:ascii="Times New Roman" w:hAnsi="Times New Roman" w:cs="Times New Roman"/>
          <w:sz w:val="24"/>
          <w:szCs w:val="24"/>
          <w:highlight w:val="none"/>
          <w:lang w:val="ru-RU"/>
        </w:rPr>
        <w:t>ЭК РК.</w:t>
      </w:r>
      <w:r>
        <w:rPr>
          <w:rFonts w:hint="default" w:ascii="Times New Roman" w:hAnsi="Times New Roman" w:cs="Times New Roman"/>
          <w:sz w:val="24"/>
          <w:szCs w:val="24"/>
          <w:highlight w:val="none"/>
        </w:rPr>
        <w:t xml:space="preserve"> </w:t>
      </w:r>
      <w:r>
        <w:rPr>
          <w:rFonts w:hint="default" w:ascii="Times New Roman" w:hAnsi="Times New Roman" w:cs="Times New Roman"/>
          <w:sz w:val="24"/>
          <w:szCs w:val="24"/>
          <w:highlight w:val="none"/>
          <w:lang w:val="ru-RU"/>
        </w:rPr>
        <w:t xml:space="preserve">Для </w:t>
      </w:r>
      <w:r>
        <w:rPr>
          <w:rFonts w:hint="default" w:ascii="Times New Roman" w:hAnsi="Times New Roman" w:cs="Times New Roman"/>
          <w:sz w:val="24"/>
          <w:szCs w:val="24"/>
          <w:highlight w:val="none"/>
        </w:rPr>
        <w:t>ТОО «Пассажирская Компания «Туран Экспресс»</w:t>
      </w:r>
      <w:r>
        <w:rPr>
          <w:rFonts w:hint="default" w:ascii="Times New Roman" w:hAnsi="Times New Roman" w:cs="Times New Roman"/>
          <w:sz w:val="24"/>
          <w:szCs w:val="24"/>
          <w:highlight w:val="none"/>
          <w:lang w:val="ru-RU"/>
        </w:rPr>
        <w:t xml:space="preserve"> </w:t>
      </w:r>
      <w:r>
        <w:rPr>
          <w:rFonts w:hint="default" w:ascii="Times New Roman" w:hAnsi="Times New Roman" w:cs="Times New Roman"/>
          <w:sz w:val="24"/>
          <w:szCs w:val="24"/>
          <w:highlight w:val="none"/>
        </w:rPr>
        <w:t xml:space="preserve">должна быть принята </w:t>
      </w:r>
      <w:r>
        <w:rPr>
          <w:rFonts w:hint="default" w:ascii="Times New Roman" w:hAnsi="Times New Roman" w:cs="Times New Roman"/>
          <w:sz w:val="24"/>
          <w:szCs w:val="24"/>
          <w:highlight w:val="none"/>
          <w:lang w:val="en-US"/>
        </w:rPr>
        <w:t>III</w:t>
      </w:r>
      <w:r>
        <w:rPr>
          <w:rFonts w:hint="default" w:ascii="Times New Roman" w:hAnsi="Times New Roman" w:cs="Times New Roman"/>
          <w:sz w:val="24"/>
          <w:szCs w:val="24"/>
          <w:highlight w:val="none"/>
          <w:lang w:val="kk-KZ"/>
        </w:rPr>
        <w:t xml:space="preserve"> категория в соответствии с пп.</w:t>
      </w:r>
      <w:r>
        <w:rPr>
          <w:rFonts w:hint="default" w:ascii="Times New Roman" w:hAnsi="Times New Roman" w:cs="Times New Roman"/>
          <w:sz w:val="24"/>
          <w:szCs w:val="24"/>
          <w:highlight w:val="none"/>
          <w:lang w:val="ru-RU"/>
        </w:rPr>
        <w:t>3</w:t>
      </w:r>
      <w:r>
        <w:rPr>
          <w:rFonts w:hint="default" w:ascii="Times New Roman" w:hAnsi="Times New Roman" w:cs="Times New Roman"/>
          <w:sz w:val="24"/>
          <w:szCs w:val="24"/>
          <w:highlight w:val="none"/>
          <w:lang w:val="kk-KZ"/>
        </w:rPr>
        <w:t xml:space="preserve">) п.2 </w:t>
      </w:r>
      <w:r>
        <w:rPr>
          <w:rFonts w:hint="default" w:ascii="Times New Roman" w:hAnsi="Times New Roman" w:cs="Times New Roman"/>
          <w:sz w:val="24"/>
          <w:szCs w:val="24"/>
          <w:highlight w:val="none"/>
          <w:lang w:val="ru-RU"/>
        </w:rPr>
        <w:t xml:space="preserve">Раздела 3 </w:t>
      </w:r>
      <w:r>
        <w:rPr>
          <w:rFonts w:hint="default" w:ascii="Times New Roman" w:hAnsi="Times New Roman" w:cs="Times New Roman"/>
          <w:sz w:val="24"/>
          <w:szCs w:val="24"/>
          <w:highlight w:val="none"/>
          <w:lang w:val="kk-KZ"/>
        </w:rPr>
        <w:t>«</w:t>
      </w:r>
      <w:r>
        <w:rPr>
          <w:rFonts w:hint="default" w:ascii="Times New Roman" w:hAnsi="Times New Roman" w:cs="Times New Roman"/>
          <w:sz w:val="24"/>
          <w:szCs w:val="24"/>
          <w:highlight w:val="none"/>
          <w:lang w:val="ru-RU"/>
        </w:rPr>
        <w:t>накопление на объекте 10 тонн и более неопасных отходов</w:t>
      </w:r>
      <w:r>
        <w:rPr>
          <w:rFonts w:hint="default" w:ascii="Times New Roman" w:hAnsi="Times New Roman" w:cs="Times New Roman"/>
          <w:sz w:val="24"/>
          <w:szCs w:val="24"/>
          <w:highlight w:val="none"/>
          <w:lang w:val="kk-KZ"/>
        </w:rPr>
        <w:t>»</w:t>
      </w:r>
      <w:r>
        <w:rPr>
          <w:rFonts w:hint="default" w:ascii="Times New Roman" w:hAnsi="Times New Roman" w:cs="Times New Roman"/>
          <w:sz w:val="24"/>
          <w:szCs w:val="24"/>
          <w:highlight w:val="none"/>
          <w:lang w:val="ru-RU"/>
        </w:rPr>
        <w:t xml:space="preserve"> и также в соответствии с </w:t>
      </w:r>
      <w:r>
        <w:rPr>
          <w:rFonts w:hint="default" w:ascii="Times New Roman" w:hAnsi="Times New Roman" w:cs="Times New Roman"/>
          <w:sz w:val="24"/>
          <w:szCs w:val="24"/>
          <w:highlight w:val="none"/>
        </w:rPr>
        <w:t>Приложением к Инструкции по определению категории объекта, оказывающего негативное воздействие на окружающую среду (утв. Приказом Министра экологии и природных ресурсов РК от 13 ноября 2023 г. № 317)</w:t>
      </w:r>
      <w:r>
        <w:rPr>
          <w:rFonts w:hint="default" w:ascii="Times New Roman" w:hAnsi="Times New Roman" w:cs="Times New Roman"/>
          <w:sz w:val="24"/>
          <w:szCs w:val="24"/>
          <w:highlight w:val="none"/>
          <w:lang w:val="ru-RU"/>
        </w:rPr>
        <w:t xml:space="preserve"> по п.12 пп 7) «накопление на объекте отходов: для неопасных отходов - от 10 до 100000 т/год».</w:t>
      </w:r>
    </w:p>
    <w:p w14:paraId="323B06B2">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highlight w:val="yellow"/>
          <w:lang w:val="kk-KZ"/>
        </w:rPr>
      </w:pPr>
    </w:p>
    <w:p w14:paraId="462ABCA0">
      <w:pPr>
        <w:pStyle w:val="3"/>
        <w:pageBreakBefore w:val="0"/>
        <w:widowControl/>
        <w:kinsoku/>
        <w:wordWrap/>
        <w:overflowPunct/>
        <w:topLinePunct w:val="0"/>
        <w:autoSpaceDE/>
        <w:autoSpaceDN/>
        <w:bidi w:val="0"/>
        <w:adjustRightInd/>
        <w:snapToGrid/>
        <w:spacing w:before="0" w:after="0"/>
        <w:ind w:left="0" w:leftChars="0" w:firstLine="480" w:firstLineChars="200"/>
        <w:jc w:val="center"/>
        <w:textAlignment w:val="auto"/>
        <w:rPr>
          <w:rFonts w:hint="default" w:ascii="Times New Roman" w:hAnsi="Times New Roman" w:cs="Times New Roman"/>
          <w:b/>
          <w:bCs/>
          <w:sz w:val="24"/>
          <w:szCs w:val="24"/>
          <w:lang w:val="ru-RU"/>
        </w:rPr>
      </w:pPr>
      <w:r>
        <w:rPr>
          <w:rFonts w:hint="default" w:ascii="Times New Roman" w:hAnsi="Times New Roman" w:cs="Times New Roman"/>
          <w:sz w:val="24"/>
          <w:szCs w:val="24"/>
        </w:rPr>
        <w:br w:type="page"/>
      </w:r>
      <w:r>
        <w:rPr>
          <w:rFonts w:hint="default" w:ascii="Times New Roman" w:hAnsi="Times New Roman" w:cs="Times New Roman"/>
          <w:b/>
          <w:bCs/>
          <w:sz w:val="24"/>
          <w:szCs w:val="24"/>
          <w:lang w:val="ru-RU"/>
        </w:rPr>
        <w:t>2 МЕСТОПОЛОЖЕНИЕ ОБЪЕКТА (СХЕМА)</w:t>
      </w:r>
    </w:p>
    <w:bookmarkEnd w:id="7"/>
    <w:p w14:paraId="0AE3351E">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bookmarkStart w:id="8" w:name="местоположение-объекта-схема"/>
    </w:p>
    <w:p w14:paraId="172C943F">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Объект расположен в промышленно-складской зоне Турксибского района г. Алматы. Территория площадки ограждена, обеспечена электроснабжением (подключение к городской сети) и наружным освещением. Покрытие площадки – преимущественно щебень с отсевом; местами возможны участки твердого покрытия (бетон, асфальт на пандусах или подъездах) в зависимости от фактического состояния территории. Вблизи площадки отсутствуют жилые дома; ближайшие селитебные территории отделены другими производственными и складскими зонами.</w:t>
      </w:r>
    </w:p>
    <w:p w14:paraId="31ACAE31">
      <w:pPr>
        <w:pStyle w:val="3"/>
        <w:rPr>
          <w:rFonts w:hint="default" w:ascii="Times New Roman" w:hAnsi="Times New Roman" w:cs="Times New Roman"/>
          <w:sz w:val="24"/>
          <w:szCs w:val="24"/>
        </w:rPr>
      </w:pPr>
    </w:p>
    <w:p w14:paraId="7F1FC2DD">
      <w:pPr>
        <w:pStyle w:val="3"/>
        <w:rPr>
          <w:rFonts w:hint="default" w:ascii="Times New Roman" w:hAnsi="Times New Roman" w:cs="Times New Roman"/>
          <w:sz w:val="24"/>
          <w:szCs w:val="24"/>
        </w:rPr>
      </w:pPr>
      <w:r>
        <w:drawing>
          <wp:inline distT="0" distB="0" distL="114300" distR="114300">
            <wp:extent cx="5759450" cy="3239770"/>
            <wp:effectExtent l="0" t="0" r="12700" b="177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9"/>
                    <a:stretch>
                      <a:fillRect/>
                    </a:stretch>
                  </pic:blipFill>
                  <pic:spPr>
                    <a:xfrm>
                      <a:off x="0" y="0"/>
                      <a:ext cx="5760000" cy="3240000"/>
                    </a:xfrm>
                    <a:prstGeom prst="rect">
                      <a:avLst/>
                    </a:prstGeom>
                  </pic:spPr>
                </pic:pic>
              </a:graphicData>
            </a:graphic>
          </wp:inline>
        </w:drawing>
      </w:r>
    </w:p>
    <w:p w14:paraId="036B1621">
      <w:pPr>
        <w:pStyle w:val="3"/>
        <w:pageBreakBefore w:val="0"/>
        <w:widowControl/>
        <w:kinsoku/>
        <w:wordWrap/>
        <w:overflowPunct/>
        <w:topLinePunct w:val="0"/>
        <w:autoSpaceDE/>
        <w:autoSpaceDN/>
        <w:bidi w:val="0"/>
        <w:adjustRightInd/>
        <w:snapToGrid/>
        <w:spacing w:before="0" w:after="0"/>
        <w:ind w:left="0" w:leftChars="0" w:firstLine="480" w:firstLineChars="200"/>
        <w:jc w:val="center"/>
        <w:textAlignment w:val="auto"/>
        <w:rPr>
          <w:rFonts w:hint="default" w:ascii="Times New Roman" w:hAnsi="Times New Roman" w:cs="Times New Roman"/>
          <w:i w:val="0"/>
          <w:iCs w:val="0"/>
          <w:sz w:val="24"/>
          <w:szCs w:val="24"/>
        </w:rPr>
      </w:pPr>
      <w:r>
        <w:rPr>
          <w:rFonts w:hint="default" w:ascii="Times New Roman" w:hAnsi="Times New Roman" w:cs="Times New Roman"/>
          <w:i w:val="0"/>
          <w:iCs w:val="0"/>
          <w:sz w:val="24"/>
          <w:szCs w:val="24"/>
        </w:rPr>
        <w:t>Рисунок 1 – Схема (спутниковый снимок) расположения площадки по адресу: ул. Сортировочная, д. 1/2, г. Алматы.</w:t>
      </w:r>
    </w:p>
    <w:p w14:paraId="28D8E4DC">
      <w:pPr>
        <w:pStyle w:val="3"/>
        <w:pageBreakBefore w:val="0"/>
        <w:widowControl/>
        <w:kinsoku/>
        <w:wordWrap/>
        <w:overflowPunct/>
        <w:topLinePunct w:val="0"/>
        <w:autoSpaceDE/>
        <w:autoSpaceDN/>
        <w:bidi w:val="0"/>
        <w:adjustRightInd/>
        <w:snapToGrid/>
        <w:spacing w:before="0" w:after="0"/>
        <w:ind w:left="0" w:leftChars="0" w:firstLine="480" w:firstLineChars="200"/>
        <w:jc w:val="center"/>
        <w:textAlignment w:val="auto"/>
        <w:rPr>
          <w:rFonts w:hint="default" w:ascii="Times New Roman" w:hAnsi="Times New Roman" w:cs="Times New Roman"/>
          <w:i/>
          <w:iCs/>
          <w:sz w:val="24"/>
          <w:szCs w:val="24"/>
        </w:rPr>
      </w:pPr>
    </w:p>
    <w:p w14:paraId="663A6283">
      <w:pPr>
        <w:pStyle w:val="3"/>
        <w:pageBreakBefore w:val="0"/>
        <w:widowControl/>
        <w:kinsoku/>
        <w:wordWrap/>
        <w:overflowPunct/>
        <w:topLinePunct w:val="0"/>
        <w:autoSpaceDE/>
        <w:autoSpaceDN/>
        <w:bidi w:val="0"/>
        <w:adjustRightInd/>
        <w:snapToGrid/>
        <w:spacing w:before="0" w:after="0"/>
        <w:ind w:left="0" w:leftChars="0" w:firstLine="480" w:firstLineChars="200"/>
        <w:jc w:val="center"/>
        <w:textAlignment w:val="auto"/>
        <w:rPr>
          <w:rFonts w:hint="default" w:ascii="Times New Roman" w:hAnsi="Times New Roman" w:cs="Times New Roman"/>
          <w:b/>
          <w:bCs/>
          <w:i w:val="0"/>
          <w:iCs w:val="0"/>
          <w:sz w:val="24"/>
          <w:szCs w:val="24"/>
          <w:lang w:val="ru-RU"/>
        </w:rPr>
      </w:pPr>
      <w:r>
        <w:rPr>
          <w:rFonts w:hint="default" w:ascii="Times New Roman" w:hAnsi="Times New Roman" w:cs="Times New Roman"/>
          <w:i/>
          <w:iCs/>
          <w:sz w:val="24"/>
          <w:szCs w:val="24"/>
        </w:rPr>
        <w:br w:type="page"/>
      </w:r>
      <w:r>
        <w:rPr>
          <w:rFonts w:hint="default" w:ascii="Times New Roman" w:hAnsi="Times New Roman" w:cs="Times New Roman"/>
          <w:b/>
          <w:bCs/>
          <w:i w:val="0"/>
          <w:iCs w:val="0"/>
          <w:sz w:val="24"/>
          <w:szCs w:val="24"/>
          <w:lang w:val="ru-RU"/>
        </w:rPr>
        <w:t>3 ХАРАКТЕРИСТИКА ДЕЯТЕЛЬНОСТИ ПРЕДПРИЯТИЯ</w:t>
      </w:r>
    </w:p>
    <w:bookmarkEnd w:id="8"/>
    <w:p w14:paraId="65094DCB">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b/>
          <w:bCs/>
          <w:sz w:val="24"/>
          <w:szCs w:val="24"/>
        </w:rPr>
      </w:pPr>
      <w:bookmarkStart w:id="9" w:name="характеристика-деятельности-предприятия"/>
    </w:p>
    <w:p w14:paraId="6333DD1E">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3.1 Производственная мощность предприятия.</w:t>
      </w:r>
      <w:r>
        <w:rPr>
          <w:rFonts w:hint="default" w:ascii="Times New Roman" w:hAnsi="Times New Roman" w:cs="Times New Roman"/>
          <w:sz w:val="24"/>
          <w:szCs w:val="24"/>
        </w:rPr>
        <w:t xml:space="preserve"> Данная площадка используется для хозяйственных нужд предприятия и </w:t>
      </w:r>
      <w:r>
        <w:rPr>
          <w:rFonts w:hint="default" w:ascii="Times New Roman" w:hAnsi="Times New Roman" w:cs="Times New Roman"/>
          <w:b/>
          <w:bCs/>
          <w:sz w:val="24"/>
          <w:szCs w:val="24"/>
        </w:rPr>
        <w:t>не имеет производственных мощностей</w:t>
      </w:r>
      <w:r>
        <w:rPr>
          <w:rFonts w:hint="default" w:ascii="Times New Roman" w:hAnsi="Times New Roman" w:cs="Times New Roman"/>
          <w:sz w:val="24"/>
          <w:szCs w:val="24"/>
        </w:rPr>
        <w:t xml:space="preserve"> как таковых. Специализированные технологические процессы на объекте отсутствуют. Территория служит местом временного хранения имущества и материалов компании. Каких-либо видов продукции объект не выпускает; производственная нагрузка минимальна.</w:t>
      </w:r>
    </w:p>
    <w:p w14:paraId="3CA2DB35">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3.2 Инженерное обеспечение.</w:t>
      </w:r>
      <w:r>
        <w:rPr>
          <w:rFonts w:hint="default" w:ascii="Times New Roman" w:hAnsi="Times New Roman" w:cs="Times New Roman"/>
          <w:sz w:val="24"/>
          <w:szCs w:val="24"/>
        </w:rPr>
        <w:t xml:space="preserve"> Площадка обеспечена электрической энергией для освещения и возможного подключения инструмента (подведена линия электропередачи стандартного напряжения). </w:t>
      </w:r>
      <w:r>
        <w:rPr>
          <w:rFonts w:hint="default" w:ascii="Times New Roman" w:hAnsi="Times New Roman" w:cs="Times New Roman"/>
          <w:b/>
          <w:bCs/>
          <w:sz w:val="24"/>
          <w:szCs w:val="24"/>
        </w:rPr>
        <w:t>Систем водоснабжения и канализации на площадке нет</w:t>
      </w:r>
      <w:r>
        <w:rPr>
          <w:rFonts w:hint="default" w:ascii="Times New Roman" w:hAnsi="Times New Roman" w:cs="Times New Roman"/>
          <w:sz w:val="24"/>
          <w:szCs w:val="24"/>
        </w:rPr>
        <w:t xml:space="preserve"> – потребность в воде для персонала и бытовые стоки обеспечиваются вне участка (на территории арендодателя). Отопления, вентиляции и других инженерных коммуникаций на открытой площадке не предусмотрено.</w:t>
      </w:r>
    </w:p>
    <w:p w14:paraId="6E5D2698">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3.3 Режим работы и численность сотрудников.</w:t>
      </w:r>
      <w:r>
        <w:rPr>
          <w:rFonts w:hint="default" w:ascii="Times New Roman" w:hAnsi="Times New Roman" w:cs="Times New Roman"/>
          <w:sz w:val="24"/>
          <w:szCs w:val="24"/>
        </w:rPr>
        <w:t xml:space="preserve"> Эксплуатация площадки осуществляется в дневное время. Персонал (6 человек) работает, как правило, в одну смену по стандартному графику, без организации ночных работ. В случае необходимости (например, прием или отправка имущества) могут привлекаться автотранспортные средства, но регулярного круглосуточного режима работы нет. Имеющегося штата сотрудников достаточно для текущей деятельности; потребность в дополнительных трудовых ресурсах не возникает.</w:t>
      </w:r>
    </w:p>
    <w:p w14:paraId="3906876C">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3.4 Бытовое обслуживание персонала.</w:t>
      </w:r>
      <w:r>
        <w:rPr>
          <w:rFonts w:hint="default" w:ascii="Times New Roman" w:hAnsi="Times New Roman" w:cs="Times New Roman"/>
          <w:sz w:val="24"/>
          <w:szCs w:val="24"/>
        </w:rPr>
        <w:t xml:space="preserve"> Поскольку объект представляет собой открытую площадку без стационарных зданий, бытовые условия для работников обеспечиваются за счет инфраструктуры арендодателя. Персонал пользуется санузлами, помещениями для приема пищи и отдыха, расположенными вне площадки (в административном здании балансодержателя, либо по месту постоянной дислокации работников). На самой площадке имеются только минимальные условия – навес от осадков, контейнер для отходов. Таким образом, соблюдение санитарно-гигиенических норм для персонала достигается использованием внешней инфраструктуры.</w:t>
      </w:r>
    </w:p>
    <w:p w14:paraId="1CAEAC3A">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3.5 Ремонтные работы.</w:t>
      </w:r>
      <w:r>
        <w:rPr>
          <w:rFonts w:hint="default" w:ascii="Times New Roman" w:hAnsi="Times New Roman" w:cs="Times New Roman"/>
          <w:sz w:val="24"/>
          <w:szCs w:val="24"/>
        </w:rPr>
        <w:t xml:space="preserve"> Специализированные ремонтно-технические работы на данной площадке не проводятся. Обслуживание и ремонт автотранспорта, погрузочной техники или оборудования, принадлежащего предприятию, выполняется вне площадки – на сторонних СТО или в местах постоянного базирования техники. </w:t>
      </w:r>
      <w:r>
        <w:rPr>
          <w:rFonts w:hint="default" w:ascii="Times New Roman" w:hAnsi="Times New Roman" w:cs="Times New Roman"/>
          <w:b/>
          <w:bCs/>
          <w:sz w:val="24"/>
          <w:szCs w:val="24"/>
        </w:rPr>
        <w:t>Заправка топливом, замена масел или иных технических жидкостей на территории объекта запрещены</w:t>
      </w:r>
      <w:r>
        <w:rPr>
          <w:rFonts w:hint="default" w:ascii="Times New Roman" w:hAnsi="Times New Roman" w:cs="Times New Roman"/>
          <w:sz w:val="24"/>
          <w:szCs w:val="24"/>
        </w:rPr>
        <w:t xml:space="preserve"> в целях соблюдения экологической и пожарной безопасности. В случае необходимости проведения мелких ремонтных операций (например, сборочные либо монтажные работы) используется переносной инструмент, не требующий специального стационарного оснащения.</w:t>
      </w:r>
    </w:p>
    <w:p w14:paraId="648F5F8A">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p>
    <w:p w14:paraId="7417BFA7">
      <w:pPr>
        <w:pStyle w:val="3"/>
        <w:pageBreakBefore w:val="0"/>
        <w:widowControl/>
        <w:kinsoku/>
        <w:wordWrap/>
        <w:overflowPunct/>
        <w:topLinePunct w:val="0"/>
        <w:autoSpaceDE/>
        <w:autoSpaceDN/>
        <w:bidi w:val="0"/>
        <w:adjustRightInd/>
        <w:snapToGrid/>
        <w:spacing w:before="0" w:after="0"/>
        <w:ind w:left="0" w:leftChars="0" w:firstLine="480" w:firstLineChars="200"/>
        <w:jc w:val="center"/>
        <w:textAlignment w:val="auto"/>
        <w:rPr>
          <w:rFonts w:hint="default" w:ascii="Times New Roman" w:hAnsi="Times New Roman" w:cs="Times New Roman"/>
          <w:b/>
          <w:bCs/>
          <w:sz w:val="24"/>
          <w:szCs w:val="24"/>
          <w:lang w:val="ru-RU"/>
        </w:rPr>
      </w:pPr>
      <w:r>
        <w:rPr>
          <w:rFonts w:hint="default" w:ascii="Times New Roman" w:hAnsi="Times New Roman" w:cs="Times New Roman"/>
          <w:sz w:val="24"/>
          <w:szCs w:val="24"/>
        </w:rPr>
        <w:br w:type="page"/>
      </w:r>
      <w:r>
        <w:rPr>
          <w:rFonts w:hint="default" w:ascii="Times New Roman" w:hAnsi="Times New Roman" w:cs="Times New Roman"/>
          <w:b/>
          <w:bCs/>
          <w:sz w:val="24"/>
          <w:szCs w:val="24"/>
          <w:lang w:val="ru-RU"/>
        </w:rPr>
        <w:t>4 ХАРАКТЕРИСТИКА ПРИРОДНО-КЛИМАТИЧЕСКИХ УСЛОВИЙ РАЙОНА РАСПОЛОЖЕНИЯ</w:t>
      </w:r>
    </w:p>
    <w:bookmarkEnd w:id="9"/>
    <w:p w14:paraId="7B761D62">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b/>
          <w:bCs/>
          <w:sz w:val="24"/>
          <w:szCs w:val="24"/>
        </w:rPr>
      </w:pPr>
      <w:bookmarkStart w:id="10" w:name="X06c431e54f1b0f144d9a0f6464a270d037bede6"/>
    </w:p>
    <w:p w14:paraId="1E1223DD">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Климатические условия.</w:t>
      </w:r>
      <w:r>
        <w:rPr>
          <w:rFonts w:hint="default" w:ascii="Times New Roman" w:hAnsi="Times New Roman" w:cs="Times New Roman"/>
          <w:sz w:val="24"/>
          <w:szCs w:val="24"/>
        </w:rPr>
        <w:t xml:space="preserve"> Район г. Алматы характеризуется резко континентальным климатом с выраженной сезонностью. Зима относительно мягкая, нередко происходят оттепели; лето жаркое и продолжительное. Средняя температура наиболее холодной пятидневки зимы составляет около </w:t>
      </w:r>
      <w:r>
        <w:rPr>
          <w:rFonts w:hint="default" w:ascii="Times New Roman" w:hAnsi="Times New Roman" w:cs="Times New Roman"/>
          <w:b/>
          <w:bCs/>
          <w:sz w:val="24"/>
          <w:szCs w:val="24"/>
        </w:rPr>
        <w:t>–25°С</w:t>
      </w:r>
      <w:r>
        <w:rPr>
          <w:rFonts w:hint="default" w:ascii="Times New Roman" w:hAnsi="Times New Roman" w:cs="Times New Roman"/>
          <w:sz w:val="24"/>
          <w:szCs w:val="24"/>
        </w:rPr>
        <w:t xml:space="preserve">, тогда как средняя максимальная температура самого жаркого месяца (июля) достигает </w:t>
      </w:r>
      <w:r>
        <w:rPr>
          <w:rFonts w:hint="default" w:ascii="Times New Roman" w:hAnsi="Times New Roman" w:cs="Times New Roman"/>
          <w:b/>
          <w:bCs/>
          <w:sz w:val="24"/>
          <w:szCs w:val="24"/>
        </w:rPr>
        <w:t>+29…+30°С</w:t>
      </w:r>
      <w:r>
        <w:rPr>
          <w:rFonts w:hint="default" w:ascii="Times New Roman" w:hAnsi="Times New Roman" w:cs="Times New Roman"/>
          <w:sz w:val="24"/>
          <w:szCs w:val="24"/>
        </w:rPr>
        <w:t>. Отопительный период длится ~166 суток, безморозный период – около 5 месяцев (в среднем 150 дней). В зимнее время возможны резкие смены похолоданий и потеплений, что сопровождается гололедом и оттепелями.</w:t>
      </w:r>
    </w:p>
    <w:p w14:paraId="6E288BDF">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Ветер и метеорологические условия.</w:t>
      </w:r>
      <w:r>
        <w:rPr>
          <w:rFonts w:hint="default" w:ascii="Times New Roman" w:hAnsi="Times New Roman" w:cs="Times New Roman"/>
          <w:sz w:val="24"/>
          <w:szCs w:val="24"/>
        </w:rPr>
        <w:t xml:space="preserve"> Средние годовые скорости ветра в городе Алматы невелики – порядка </w:t>
      </w:r>
      <w:r>
        <w:rPr>
          <w:rFonts w:hint="default" w:ascii="Times New Roman" w:hAnsi="Times New Roman" w:cs="Times New Roman"/>
          <w:b/>
          <w:bCs/>
          <w:sz w:val="24"/>
          <w:szCs w:val="24"/>
        </w:rPr>
        <w:t>1,0–1,1 м/с</w:t>
      </w:r>
      <w:r>
        <w:rPr>
          <w:rFonts w:hint="default" w:ascii="Times New Roman" w:hAnsi="Times New Roman" w:cs="Times New Roman"/>
          <w:sz w:val="24"/>
          <w:szCs w:val="24"/>
        </w:rPr>
        <w:t xml:space="preserve">, с усилением летом до ~3 м/с (максимально повторяющиеся значения) и значительным ослаблением зимой (преобладание штилевых условий). Суммарная повторяемость штилей и очень слабых ветров составляет около </w:t>
      </w:r>
      <w:r>
        <w:rPr>
          <w:rFonts w:hint="default" w:ascii="Times New Roman" w:hAnsi="Times New Roman" w:cs="Times New Roman"/>
          <w:b/>
          <w:bCs/>
          <w:sz w:val="24"/>
          <w:szCs w:val="24"/>
        </w:rPr>
        <w:t>28%</w:t>
      </w:r>
      <w:r>
        <w:rPr>
          <w:rFonts w:hint="default" w:ascii="Times New Roman" w:hAnsi="Times New Roman" w:cs="Times New Roman"/>
          <w:sz w:val="24"/>
          <w:szCs w:val="24"/>
        </w:rPr>
        <w:t xml:space="preserve"> за год, причем зимой доля маловетреной погоды достигает </w:t>
      </w:r>
      <w:r>
        <w:rPr>
          <w:rFonts w:hint="default" w:ascii="Times New Roman" w:hAnsi="Times New Roman" w:cs="Times New Roman"/>
          <w:b/>
          <w:bCs/>
          <w:sz w:val="24"/>
          <w:szCs w:val="24"/>
        </w:rPr>
        <w:t>~77% дней</w:t>
      </w:r>
      <w:r>
        <w:rPr>
          <w:rFonts w:hint="default" w:ascii="Times New Roman" w:hAnsi="Times New Roman" w:cs="Times New Roman"/>
          <w:sz w:val="24"/>
          <w:szCs w:val="24"/>
        </w:rPr>
        <w:t xml:space="preserve">. Преобладающие направления ветра как зимой, так и летом – южные и юго-восточные, что обусловлено горно-долинной циркуляцией воздуха. Сильные ветры (порывы ≥15 м/с) – редкое явление, наблюдаются в среднем не более 10–15 дней в году (летом 2–3 дня ежегодно, зимой – 1–3 дня раз в 10 лет). При летних шквалах иногда возникают пыльные бури. В целом же почвенно-климатические условия города (небольшие скорости ветра, значительные осадки, растительность) ограничивают развитие пыльных бурь – в среднем регистрируется не более </w:t>
      </w:r>
      <w:r>
        <w:rPr>
          <w:rFonts w:hint="default" w:ascii="Times New Roman" w:hAnsi="Times New Roman" w:cs="Times New Roman"/>
          <w:b/>
          <w:bCs/>
          <w:sz w:val="24"/>
          <w:szCs w:val="24"/>
        </w:rPr>
        <w:t>7–8 пыльных бурь в год</w:t>
      </w:r>
      <w:r>
        <w:rPr>
          <w:rFonts w:hint="default" w:ascii="Times New Roman" w:hAnsi="Times New Roman" w:cs="Times New Roman"/>
          <w:sz w:val="24"/>
          <w:szCs w:val="24"/>
        </w:rPr>
        <w:t>.</w:t>
      </w:r>
    </w:p>
    <w:p w14:paraId="2FEEA0B6">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Осадки и влажность.</w:t>
      </w:r>
      <w:r>
        <w:rPr>
          <w:rFonts w:hint="default" w:ascii="Times New Roman" w:hAnsi="Times New Roman" w:cs="Times New Roman"/>
          <w:sz w:val="24"/>
          <w:szCs w:val="24"/>
        </w:rPr>
        <w:t xml:space="preserve"> Город Алматы расположен в предгорьях, для которых характерно значительное количество атмосферных осадков. </w:t>
      </w:r>
      <w:r>
        <w:rPr>
          <w:rFonts w:hint="default" w:ascii="Times New Roman" w:hAnsi="Times New Roman" w:cs="Times New Roman"/>
          <w:b/>
          <w:bCs/>
          <w:sz w:val="24"/>
          <w:szCs w:val="24"/>
        </w:rPr>
        <w:t>Годовая сумма осадков</w:t>
      </w:r>
      <w:r>
        <w:rPr>
          <w:rFonts w:hint="default" w:ascii="Times New Roman" w:hAnsi="Times New Roman" w:cs="Times New Roman"/>
          <w:sz w:val="24"/>
          <w:szCs w:val="24"/>
        </w:rPr>
        <w:t xml:space="preserve"> составляет порядка </w:t>
      </w:r>
      <w:r>
        <w:rPr>
          <w:rFonts w:hint="default" w:ascii="Times New Roman" w:hAnsi="Times New Roman" w:cs="Times New Roman"/>
          <w:b/>
          <w:bCs/>
          <w:sz w:val="24"/>
          <w:szCs w:val="24"/>
        </w:rPr>
        <w:t>700–800 мм</w:t>
      </w:r>
      <w:r>
        <w:rPr>
          <w:rFonts w:hint="default" w:ascii="Times New Roman" w:hAnsi="Times New Roman" w:cs="Times New Roman"/>
          <w:sz w:val="24"/>
          <w:szCs w:val="24"/>
        </w:rPr>
        <w:t>. Максимум осадков приходится на весенний период – около 40–45% годового количества (особенно обильны осадки в апреле-мае, месячные нормы ~100 мм). Летом выпадает около 20% годовых осадков, дожди обычно ливневого характера. Осенью и зимой осадки более скудны (по 15–20% в каждый период); в холодное время часть осадков выпадает в виде снега. Средняя высота снежного покрова в январе–феврале достигает 10–15 см, максимум – до 30–35 см, к марту снег обычно сходит. В целом снежный покров неустойчивый вследствие частых оттепелей.</w:t>
      </w:r>
    </w:p>
    <w:p w14:paraId="08130A92">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Другие природные факторы.</w:t>
      </w:r>
      <w:r>
        <w:rPr>
          <w:rFonts w:hint="default" w:ascii="Times New Roman" w:hAnsi="Times New Roman" w:cs="Times New Roman"/>
          <w:sz w:val="24"/>
          <w:szCs w:val="24"/>
        </w:rPr>
        <w:t xml:space="preserve"> Район расположения объекта относится к сейсмоактивной зоне (южная часть Алматинской области – 9-балльная сейсмичность). Однако рассматриваемый объект не включает капитальных строений, поэтому сейсмический риск для него минимален. Территория не подвержена опасным геологическим процессам (карст, оползни) ввиду равнинного рельефа в зоне городской черты. Почвы и грунты местности – преимущественно аллювиальные отложения с плодородным верхним слоем, но в городской зоне они сильно трансформированы антропогенной деятельностью.</w:t>
      </w:r>
    </w:p>
    <w:p w14:paraId="579C06FB">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val="0"/>
          <w:sz w:val="24"/>
        </w:rPr>
        <w:t>Ниже приведены климатографические характеристики (направление и скорость ветра, температура воздуха, осадки и снежный покров)</w:t>
      </w:r>
      <w:r>
        <w:rPr>
          <w:rFonts w:hint="default" w:ascii="Times New Roman" w:hAnsi="Times New Roman" w:cs="Times New Roman"/>
          <w:sz w:val="24"/>
          <w:szCs w:val="24"/>
        </w:rPr>
        <w:t xml:space="preserve"> (см. </w:t>
      </w:r>
      <w:r>
        <w:rPr>
          <w:rFonts w:hint="default" w:ascii="Times New Roman" w:hAnsi="Times New Roman" w:cs="Times New Roman"/>
          <w:b w:val="0"/>
          <w:bCs w:val="0"/>
          <w:sz w:val="24"/>
          <w:szCs w:val="24"/>
        </w:rPr>
        <w:t>Рис. 2</w:t>
      </w:r>
      <w:r>
        <w:rPr>
          <w:rFonts w:hint="default" w:ascii="Times New Roman" w:hAnsi="Times New Roman" w:cs="Times New Roman"/>
          <w:sz w:val="24"/>
          <w:szCs w:val="24"/>
        </w:rPr>
        <w:t xml:space="preserve"> и таблицы 4.1–4.5). </w:t>
      </w:r>
    </w:p>
    <w:p w14:paraId="4BD35D58">
      <w:pPr>
        <w:spacing w:after="120"/>
        <w:ind w:firstLine="567"/>
        <w:jc w:val="both"/>
        <w:rPr>
          <w:rFonts w:hint="default" w:ascii="Times New Roman" w:hAnsi="Times New Roman" w:cs="Times New Roman"/>
        </w:rPr>
      </w:pPr>
    </w:p>
    <w:p w14:paraId="1CEB5D9F">
      <w:pPr>
        <w:jc w:val="center"/>
        <w:rPr>
          <w:rFonts w:hint="default" w:ascii="Times New Roman" w:hAnsi="Times New Roman" w:cs="Times New Roman"/>
        </w:rPr>
      </w:pPr>
      <w:r>
        <w:rPr>
          <w:rFonts w:hint="default" w:ascii="Times New Roman" w:hAnsi="Times New Roman" w:cs="Times New Roman"/>
        </w:rPr>
        <w:drawing>
          <wp:inline distT="0" distB="0" distL="114300" distR="114300">
            <wp:extent cx="3302000" cy="4578985"/>
            <wp:effectExtent l="0" t="0" r="12700"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0"/>
                    <a:stretch>
                      <a:fillRect/>
                    </a:stretch>
                  </pic:blipFill>
                  <pic:spPr>
                    <a:xfrm>
                      <a:off x="0" y="0"/>
                      <a:ext cx="3302000" cy="4578985"/>
                    </a:xfrm>
                    <a:prstGeom prst="rect">
                      <a:avLst/>
                    </a:prstGeom>
                  </pic:spPr>
                </pic:pic>
              </a:graphicData>
            </a:graphic>
          </wp:inline>
        </w:drawing>
      </w:r>
    </w:p>
    <w:p w14:paraId="7ED845F4">
      <w:pPr>
        <w:spacing w:after="200"/>
        <w:jc w:val="center"/>
        <w:rPr>
          <w:rFonts w:hint="default" w:ascii="Times New Roman" w:hAnsi="Times New Roman" w:cs="Times New Roman"/>
          <w:i w:val="0"/>
          <w:iCs/>
        </w:rPr>
      </w:pPr>
      <w:r>
        <w:rPr>
          <w:rFonts w:hint="default" w:ascii="Times New Roman" w:hAnsi="Times New Roman" w:cs="Times New Roman"/>
          <w:i w:val="0"/>
          <w:iCs/>
          <w:sz w:val="22"/>
        </w:rPr>
        <w:t>Рисунок 2 – Среднегодовая повторяемость направления ветра (г. Алматы)</w:t>
      </w:r>
    </w:p>
    <w:p w14:paraId="038A6603">
      <w:pPr>
        <w:spacing w:after="60"/>
        <w:jc w:val="both"/>
        <w:rPr>
          <w:rFonts w:hint="default" w:ascii="Times New Roman" w:hAnsi="Times New Roman" w:cs="Times New Roman"/>
        </w:rPr>
      </w:pPr>
      <w:r>
        <w:rPr>
          <w:rFonts w:hint="default" w:ascii="Times New Roman" w:hAnsi="Times New Roman" w:cs="Times New Roman"/>
          <w:b w:val="0"/>
          <w:sz w:val="24"/>
        </w:rPr>
        <w:t>Таблица 4.1 – Средняя годовая повторяемость (%) направлений ветра и штилей</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4"/>
        <w:gridCol w:w="983"/>
        <w:gridCol w:w="949"/>
        <w:gridCol w:w="1002"/>
        <w:gridCol w:w="971"/>
        <w:gridCol w:w="996"/>
        <w:gridCol w:w="943"/>
        <w:gridCol w:w="977"/>
        <w:gridCol w:w="1071"/>
      </w:tblGrid>
      <w:tr w14:paraId="534AD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8" w:type="dxa"/>
          </w:tcPr>
          <w:p w14:paraId="30793AEB">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С</w:t>
            </w:r>
          </w:p>
        </w:tc>
        <w:tc>
          <w:tcPr>
            <w:tcW w:w="1108" w:type="dxa"/>
          </w:tcPr>
          <w:p w14:paraId="343666CD">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СВ</w:t>
            </w:r>
          </w:p>
        </w:tc>
        <w:tc>
          <w:tcPr>
            <w:tcW w:w="1108" w:type="dxa"/>
          </w:tcPr>
          <w:p w14:paraId="05D27BB4">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В</w:t>
            </w:r>
          </w:p>
        </w:tc>
        <w:tc>
          <w:tcPr>
            <w:tcW w:w="1108" w:type="dxa"/>
          </w:tcPr>
          <w:p w14:paraId="0F017C0A">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ЮВ</w:t>
            </w:r>
          </w:p>
        </w:tc>
        <w:tc>
          <w:tcPr>
            <w:tcW w:w="1108" w:type="dxa"/>
          </w:tcPr>
          <w:p w14:paraId="683E808E">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Ю</w:t>
            </w:r>
          </w:p>
        </w:tc>
        <w:tc>
          <w:tcPr>
            <w:tcW w:w="1108" w:type="dxa"/>
          </w:tcPr>
          <w:p w14:paraId="75005C7C">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ЮЗ</w:t>
            </w:r>
          </w:p>
        </w:tc>
        <w:tc>
          <w:tcPr>
            <w:tcW w:w="1108" w:type="dxa"/>
          </w:tcPr>
          <w:p w14:paraId="53C71E63">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З</w:t>
            </w:r>
          </w:p>
        </w:tc>
        <w:tc>
          <w:tcPr>
            <w:tcW w:w="1108" w:type="dxa"/>
          </w:tcPr>
          <w:p w14:paraId="369D5498">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СЗ</w:t>
            </w:r>
          </w:p>
        </w:tc>
        <w:tc>
          <w:tcPr>
            <w:tcW w:w="1108" w:type="dxa"/>
          </w:tcPr>
          <w:p w14:paraId="1E4E402C">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Штиль</w:t>
            </w:r>
          </w:p>
        </w:tc>
      </w:tr>
      <w:tr w14:paraId="7FE0E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8" w:type="dxa"/>
          </w:tcPr>
          <w:p w14:paraId="320C40E7">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23</w:t>
            </w:r>
          </w:p>
        </w:tc>
        <w:tc>
          <w:tcPr>
            <w:tcW w:w="1108" w:type="dxa"/>
          </w:tcPr>
          <w:p w14:paraId="7C979A26">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9</w:t>
            </w:r>
          </w:p>
        </w:tc>
        <w:tc>
          <w:tcPr>
            <w:tcW w:w="1108" w:type="dxa"/>
          </w:tcPr>
          <w:p w14:paraId="7BFCC155">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6</w:t>
            </w:r>
          </w:p>
        </w:tc>
        <w:tc>
          <w:tcPr>
            <w:tcW w:w="1108" w:type="dxa"/>
          </w:tcPr>
          <w:p w14:paraId="40F8C5B5">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24</w:t>
            </w:r>
          </w:p>
        </w:tc>
        <w:tc>
          <w:tcPr>
            <w:tcW w:w="1108" w:type="dxa"/>
          </w:tcPr>
          <w:p w14:paraId="57A31F7A">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15</w:t>
            </w:r>
          </w:p>
        </w:tc>
        <w:tc>
          <w:tcPr>
            <w:tcW w:w="1108" w:type="dxa"/>
          </w:tcPr>
          <w:p w14:paraId="46DACCDA">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9</w:t>
            </w:r>
          </w:p>
        </w:tc>
        <w:tc>
          <w:tcPr>
            <w:tcW w:w="1108" w:type="dxa"/>
          </w:tcPr>
          <w:p w14:paraId="3CAD87FF">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6</w:t>
            </w:r>
          </w:p>
        </w:tc>
        <w:tc>
          <w:tcPr>
            <w:tcW w:w="1108" w:type="dxa"/>
          </w:tcPr>
          <w:p w14:paraId="3321F7FC">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8</w:t>
            </w:r>
          </w:p>
        </w:tc>
        <w:tc>
          <w:tcPr>
            <w:tcW w:w="1108" w:type="dxa"/>
          </w:tcPr>
          <w:p w14:paraId="652116C1">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28</w:t>
            </w:r>
          </w:p>
        </w:tc>
      </w:tr>
    </w:tbl>
    <w:p w14:paraId="1036D4BC">
      <w:pPr>
        <w:spacing w:after="60"/>
        <w:jc w:val="both"/>
        <w:rPr>
          <w:rFonts w:hint="default" w:ascii="Times New Roman" w:hAnsi="Times New Roman" w:cs="Times New Roman"/>
          <w:b w:val="0"/>
          <w:sz w:val="24"/>
        </w:rPr>
      </w:pPr>
    </w:p>
    <w:p w14:paraId="33E92A43">
      <w:pPr>
        <w:spacing w:after="60"/>
        <w:jc w:val="both"/>
        <w:rPr>
          <w:rFonts w:hint="default" w:ascii="Times New Roman" w:hAnsi="Times New Roman" w:cs="Times New Roman"/>
        </w:rPr>
      </w:pPr>
      <w:r>
        <w:rPr>
          <w:rFonts w:hint="default" w:ascii="Times New Roman" w:hAnsi="Times New Roman" w:cs="Times New Roman"/>
          <w:b w:val="0"/>
          <w:sz w:val="24"/>
        </w:rPr>
        <w:t>Таблица 4.2 – Температура воздуха (г. Алматы)</w:t>
      </w:r>
    </w:p>
    <w:tbl>
      <w:tblPr>
        <w:tblStyle w:val="27"/>
        <w:tblW w:w="94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1"/>
        <w:gridCol w:w="634"/>
        <w:gridCol w:w="678"/>
        <w:gridCol w:w="620"/>
        <w:gridCol w:w="620"/>
        <w:gridCol w:w="620"/>
        <w:gridCol w:w="620"/>
        <w:gridCol w:w="620"/>
        <w:gridCol w:w="647"/>
        <w:gridCol w:w="620"/>
        <w:gridCol w:w="620"/>
        <w:gridCol w:w="651"/>
        <w:gridCol w:w="815"/>
      </w:tblGrid>
      <w:tr w14:paraId="566EA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31" w:type="dxa"/>
          </w:tcPr>
          <w:p w14:paraId="4FA8A4E4">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Показатель</w:t>
            </w:r>
          </w:p>
        </w:tc>
        <w:tc>
          <w:tcPr>
            <w:tcW w:w="634" w:type="dxa"/>
          </w:tcPr>
          <w:p w14:paraId="3CB65250">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I</w:t>
            </w:r>
          </w:p>
        </w:tc>
        <w:tc>
          <w:tcPr>
            <w:tcW w:w="678" w:type="dxa"/>
          </w:tcPr>
          <w:p w14:paraId="7E07973F">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II</w:t>
            </w:r>
          </w:p>
        </w:tc>
        <w:tc>
          <w:tcPr>
            <w:tcW w:w="620" w:type="dxa"/>
          </w:tcPr>
          <w:p w14:paraId="42059DA5">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III</w:t>
            </w:r>
          </w:p>
        </w:tc>
        <w:tc>
          <w:tcPr>
            <w:tcW w:w="620" w:type="dxa"/>
          </w:tcPr>
          <w:p w14:paraId="2C1BF6ED">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IV</w:t>
            </w:r>
          </w:p>
        </w:tc>
        <w:tc>
          <w:tcPr>
            <w:tcW w:w="620" w:type="dxa"/>
          </w:tcPr>
          <w:p w14:paraId="493C2C37">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V</w:t>
            </w:r>
          </w:p>
        </w:tc>
        <w:tc>
          <w:tcPr>
            <w:tcW w:w="620" w:type="dxa"/>
          </w:tcPr>
          <w:p w14:paraId="34582B5D">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VI</w:t>
            </w:r>
          </w:p>
        </w:tc>
        <w:tc>
          <w:tcPr>
            <w:tcW w:w="620" w:type="dxa"/>
          </w:tcPr>
          <w:p w14:paraId="78735382">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VII</w:t>
            </w:r>
          </w:p>
        </w:tc>
        <w:tc>
          <w:tcPr>
            <w:tcW w:w="647" w:type="dxa"/>
          </w:tcPr>
          <w:p w14:paraId="2349B79A">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VIII</w:t>
            </w:r>
          </w:p>
        </w:tc>
        <w:tc>
          <w:tcPr>
            <w:tcW w:w="620" w:type="dxa"/>
          </w:tcPr>
          <w:p w14:paraId="1EB287CA">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IХ</w:t>
            </w:r>
          </w:p>
        </w:tc>
        <w:tc>
          <w:tcPr>
            <w:tcW w:w="620" w:type="dxa"/>
          </w:tcPr>
          <w:p w14:paraId="028BEB83">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Х</w:t>
            </w:r>
          </w:p>
        </w:tc>
        <w:tc>
          <w:tcPr>
            <w:tcW w:w="651" w:type="dxa"/>
          </w:tcPr>
          <w:p w14:paraId="29D4386A">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ХI</w:t>
            </w:r>
          </w:p>
        </w:tc>
        <w:tc>
          <w:tcPr>
            <w:tcW w:w="815" w:type="dxa"/>
          </w:tcPr>
          <w:p w14:paraId="04BEE107">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ХII</w:t>
            </w:r>
          </w:p>
        </w:tc>
      </w:tr>
      <w:tr w14:paraId="3723D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31" w:type="dxa"/>
          </w:tcPr>
          <w:p w14:paraId="254BB04E">
            <w:pPr>
              <w:spacing w:after="0" w:line="240" w:lineRule="auto"/>
              <w:jc w:val="left"/>
              <w:rPr>
                <w:rFonts w:hint="default" w:ascii="Times New Roman" w:hAnsi="Times New Roman" w:cs="Times New Roman"/>
                <w:sz w:val="22"/>
                <w:szCs w:val="22"/>
              </w:rPr>
            </w:pPr>
            <w:r>
              <w:rPr>
                <w:rFonts w:hint="default" w:ascii="Times New Roman" w:hAnsi="Times New Roman" w:eastAsia="Times New Roman" w:cs="Times New Roman"/>
                <w:sz w:val="22"/>
                <w:szCs w:val="22"/>
              </w:rPr>
              <w:t>Средняя месячная температура, °C</w:t>
            </w:r>
          </w:p>
        </w:tc>
        <w:tc>
          <w:tcPr>
            <w:tcW w:w="634" w:type="dxa"/>
            <w:vAlign w:val="center"/>
          </w:tcPr>
          <w:p w14:paraId="42619601">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-3,1</w:t>
            </w:r>
          </w:p>
        </w:tc>
        <w:tc>
          <w:tcPr>
            <w:tcW w:w="678" w:type="dxa"/>
            <w:vAlign w:val="center"/>
          </w:tcPr>
          <w:p w14:paraId="1828E4FD">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-1,5</w:t>
            </w:r>
          </w:p>
        </w:tc>
        <w:tc>
          <w:tcPr>
            <w:tcW w:w="620" w:type="dxa"/>
            <w:vAlign w:val="center"/>
          </w:tcPr>
          <w:p w14:paraId="69761097">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5,3</w:t>
            </w:r>
          </w:p>
        </w:tc>
        <w:tc>
          <w:tcPr>
            <w:tcW w:w="620" w:type="dxa"/>
            <w:vAlign w:val="center"/>
          </w:tcPr>
          <w:p w14:paraId="275667BB">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10,9</w:t>
            </w:r>
          </w:p>
        </w:tc>
        <w:tc>
          <w:tcPr>
            <w:tcW w:w="620" w:type="dxa"/>
            <w:vAlign w:val="center"/>
          </w:tcPr>
          <w:p w14:paraId="6D6C0DC7">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17,5</w:t>
            </w:r>
          </w:p>
        </w:tc>
        <w:tc>
          <w:tcPr>
            <w:tcW w:w="620" w:type="dxa"/>
            <w:vAlign w:val="center"/>
          </w:tcPr>
          <w:p w14:paraId="56AFE120">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21,9</w:t>
            </w:r>
          </w:p>
        </w:tc>
        <w:tc>
          <w:tcPr>
            <w:tcW w:w="620" w:type="dxa"/>
            <w:vAlign w:val="center"/>
          </w:tcPr>
          <w:p w14:paraId="26F29960">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23,1</w:t>
            </w:r>
          </w:p>
        </w:tc>
        <w:tc>
          <w:tcPr>
            <w:tcW w:w="647" w:type="dxa"/>
            <w:vAlign w:val="center"/>
          </w:tcPr>
          <w:p w14:paraId="6109B06D">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23,3</w:t>
            </w:r>
          </w:p>
        </w:tc>
        <w:tc>
          <w:tcPr>
            <w:tcW w:w="620" w:type="dxa"/>
            <w:vAlign w:val="center"/>
          </w:tcPr>
          <w:p w14:paraId="4D73297D">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17,9</w:t>
            </w:r>
          </w:p>
        </w:tc>
        <w:tc>
          <w:tcPr>
            <w:tcW w:w="620" w:type="dxa"/>
            <w:vAlign w:val="center"/>
          </w:tcPr>
          <w:p w14:paraId="5DC417BB">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9,5</w:t>
            </w:r>
          </w:p>
        </w:tc>
        <w:tc>
          <w:tcPr>
            <w:tcW w:w="651" w:type="dxa"/>
            <w:vAlign w:val="center"/>
          </w:tcPr>
          <w:p w14:paraId="0E7A6B86">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3,5</w:t>
            </w:r>
          </w:p>
        </w:tc>
        <w:tc>
          <w:tcPr>
            <w:tcW w:w="815" w:type="dxa"/>
            <w:vAlign w:val="center"/>
          </w:tcPr>
          <w:p w14:paraId="38463145">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-3,5</w:t>
            </w:r>
          </w:p>
        </w:tc>
      </w:tr>
      <w:tr w14:paraId="155F3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31" w:type="dxa"/>
          </w:tcPr>
          <w:p w14:paraId="39859E49">
            <w:pPr>
              <w:spacing w:after="0" w:line="240" w:lineRule="auto"/>
              <w:jc w:val="left"/>
              <w:rPr>
                <w:rFonts w:hint="default" w:ascii="Times New Roman" w:hAnsi="Times New Roman" w:cs="Times New Roman"/>
                <w:sz w:val="22"/>
                <w:szCs w:val="22"/>
              </w:rPr>
            </w:pPr>
            <w:r>
              <w:rPr>
                <w:rFonts w:hint="default" w:ascii="Times New Roman" w:hAnsi="Times New Roman" w:eastAsia="Times New Roman" w:cs="Times New Roman"/>
                <w:sz w:val="22"/>
                <w:szCs w:val="22"/>
              </w:rPr>
              <w:t>Средняя максимальная температура, °C</w:t>
            </w:r>
          </w:p>
        </w:tc>
        <w:tc>
          <w:tcPr>
            <w:tcW w:w="634" w:type="dxa"/>
            <w:vAlign w:val="center"/>
          </w:tcPr>
          <w:p w14:paraId="51D9837B">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2,3</w:t>
            </w:r>
          </w:p>
        </w:tc>
        <w:tc>
          <w:tcPr>
            <w:tcW w:w="678" w:type="dxa"/>
            <w:vAlign w:val="center"/>
          </w:tcPr>
          <w:p w14:paraId="371DDC42">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4,1</w:t>
            </w:r>
          </w:p>
        </w:tc>
        <w:tc>
          <w:tcPr>
            <w:tcW w:w="620" w:type="dxa"/>
            <w:vAlign w:val="center"/>
          </w:tcPr>
          <w:p w14:paraId="1E7B213D">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11,0</w:t>
            </w:r>
          </w:p>
        </w:tc>
        <w:tc>
          <w:tcPr>
            <w:tcW w:w="620" w:type="dxa"/>
            <w:vAlign w:val="center"/>
          </w:tcPr>
          <w:p w14:paraId="4A960E28">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16,9</w:t>
            </w:r>
          </w:p>
        </w:tc>
        <w:tc>
          <w:tcPr>
            <w:tcW w:w="620" w:type="dxa"/>
            <w:vAlign w:val="center"/>
          </w:tcPr>
          <w:p w14:paraId="22E48B92">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23,6</w:t>
            </w:r>
          </w:p>
        </w:tc>
        <w:tc>
          <w:tcPr>
            <w:tcW w:w="620" w:type="dxa"/>
            <w:vAlign w:val="center"/>
          </w:tcPr>
          <w:p w14:paraId="162F9589">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28,0</w:t>
            </w:r>
          </w:p>
        </w:tc>
        <w:tc>
          <w:tcPr>
            <w:tcW w:w="620" w:type="dxa"/>
            <w:vAlign w:val="center"/>
          </w:tcPr>
          <w:p w14:paraId="7D7216A3">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29,1</w:t>
            </w:r>
          </w:p>
        </w:tc>
        <w:tc>
          <w:tcPr>
            <w:tcW w:w="647" w:type="dxa"/>
            <w:vAlign w:val="center"/>
          </w:tcPr>
          <w:p w14:paraId="6A9E3ED2">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29,7</w:t>
            </w:r>
          </w:p>
        </w:tc>
        <w:tc>
          <w:tcPr>
            <w:tcW w:w="620" w:type="dxa"/>
            <w:vAlign w:val="center"/>
          </w:tcPr>
          <w:p w14:paraId="71093D1D">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24,5</w:t>
            </w:r>
          </w:p>
        </w:tc>
        <w:tc>
          <w:tcPr>
            <w:tcW w:w="620" w:type="dxa"/>
            <w:vAlign w:val="center"/>
          </w:tcPr>
          <w:p w14:paraId="1731A01F">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15,7</w:t>
            </w:r>
          </w:p>
        </w:tc>
        <w:tc>
          <w:tcPr>
            <w:tcW w:w="651" w:type="dxa"/>
            <w:vAlign w:val="center"/>
          </w:tcPr>
          <w:p w14:paraId="66338DB0">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8,7</w:t>
            </w:r>
          </w:p>
        </w:tc>
        <w:tc>
          <w:tcPr>
            <w:tcW w:w="815" w:type="dxa"/>
            <w:vAlign w:val="center"/>
          </w:tcPr>
          <w:p w14:paraId="45356293">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1,5</w:t>
            </w:r>
          </w:p>
        </w:tc>
      </w:tr>
      <w:tr w14:paraId="66699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31" w:type="dxa"/>
          </w:tcPr>
          <w:p w14:paraId="5B627500">
            <w:pPr>
              <w:spacing w:after="0" w:line="240" w:lineRule="auto"/>
              <w:jc w:val="left"/>
              <w:rPr>
                <w:rFonts w:hint="default" w:ascii="Times New Roman" w:hAnsi="Times New Roman" w:cs="Times New Roman"/>
                <w:sz w:val="22"/>
                <w:szCs w:val="22"/>
              </w:rPr>
            </w:pPr>
            <w:r>
              <w:rPr>
                <w:rFonts w:hint="default" w:ascii="Times New Roman" w:hAnsi="Times New Roman" w:eastAsia="Times New Roman" w:cs="Times New Roman"/>
                <w:sz w:val="22"/>
                <w:szCs w:val="22"/>
              </w:rPr>
              <w:t>Средняя минимальная температура, °C</w:t>
            </w:r>
          </w:p>
        </w:tc>
        <w:tc>
          <w:tcPr>
            <w:tcW w:w="634" w:type="dxa"/>
            <w:vAlign w:val="center"/>
          </w:tcPr>
          <w:p w14:paraId="42D0E581">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-6,6</w:t>
            </w:r>
          </w:p>
        </w:tc>
        <w:tc>
          <w:tcPr>
            <w:tcW w:w="678" w:type="dxa"/>
            <w:vAlign w:val="center"/>
          </w:tcPr>
          <w:p w14:paraId="00D76E80">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-5,6</w:t>
            </w:r>
          </w:p>
        </w:tc>
        <w:tc>
          <w:tcPr>
            <w:tcW w:w="620" w:type="dxa"/>
            <w:vAlign w:val="center"/>
          </w:tcPr>
          <w:p w14:paraId="16613884">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0,5</w:t>
            </w:r>
          </w:p>
        </w:tc>
        <w:tc>
          <w:tcPr>
            <w:tcW w:w="620" w:type="dxa"/>
            <w:vAlign w:val="center"/>
          </w:tcPr>
          <w:p w14:paraId="75190323">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5,6</w:t>
            </w:r>
          </w:p>
        </w:tc>
        <w:tc>
          <w:tcPr>
            <w:tcW w:w="620" w:type="dxa"/>
            <w:vAlign w:val="center"/>
          </w:tcPr>
          <w:p w14:paraId="3648843A">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11,7</w:t>
            </w:r>
          </w:p>
        </w:tc>
        <w:tc>
          <w:tcPr>
            <w:tcW w:w="620" w:type="dxa"/>
            <w:vAlign w:val="center"/>
          </w:tcPr>
          <w:p w14:paraId="34C9E0FA">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16</w:t>
            </w:r>
          </w:p>
        </w:tc>
        <w:tc>
          <w:tcPr>
            <w:tcW w:w="620" w:type="dxa"/>
            <w:vAlign w:val="center"/>
          </w:tcPr>
          <w:p w14:paraId="3147ECDC">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17,5</w:t>
            </w:r>
          </w:p>
        </w:tc>
        <w:tc>
          <w:tcPr>
            <w:tcW w:w="647" w:type="dxa"/>
            <w:vAlign w:val="center"/>
          </w:tcPr>
          <w:p w14:paraId="387C999B">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17,4</w:t>
            </w:r>
          </w:p>
        </w:tc>
        <w:tc>
          <w:tcPr>
            <w:tcW w:w="620" w:type="dxa"/>
            <w:vAlign w:val="center"/>
          </w:tcPr>
          <w:p w14:paraId="597304C1">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11,8</w:t>
            </w:r>
          </w:p>
        </w:tc>
        <w:tc>
          <w:tcPr>
            <w:tcW w:w="620" w:type="dxa"/>
            <w:vAlign w:val="center"/>
          </w:tcPr>
          <w:p w14:paraId="1BC25DAF">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4,5</w:t>
            </w:r>
          </w:p>
        </w:tc>
        <w:tc>
          <w:tcPr>
            <w:tcW w:w="651" w:type="dxa"/>
            <w:vAlign w:val="center"/>
          </w:tcPr>
          <w:p w14:paraId="1640162A">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-0,1</w:t>
            </w:r>
          </w:p>
        </w:tc>
        <w:tc>
          <w:tcPr>
            <w:tcW w:w="815" w:type="dxa"/>
            <w:vAlign w:val="center"/>
          </w:tcPr>
          <w:p w14:paraId="523AE018">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-6,7</w:t>
            </w:r>
          </w:p>
        </w:tc>
      </w:tr>
    </w:tbl>
    <w:p w14:paraId="4A63ED11">
      <w:pPr>
        <w:spacing w:after="60"/>
        <w:jc w:val="both"/>
        <w:rPr>
          <w:rFonts w:hint="default" w:ascii="Times New Roman" w:hAnsi="Times New Roman" w:cs="Times New Roman"/>
          <w:b w:val="0"/>
          <w:sz w:val="24"/>
        </w:rPr>
      </w:pPr>
    </w:p>
    <w:p w14:paraId="3A1AD72C">
      <w:pPr>
        <w:spacing w:after="60"/>
        <w:jc w:val="both"/>
        <w:rPr>
          <w:rFonts w:hint="default" w:ascii="Times New Roman" w:hAnsi="Times New Roman" w:cs="Times New Roman"/>
          <w:b w:val="0"/>
          <w:sz w:val="24"/>
        </w:rPr>
      </w:pPr>
    </w:p>
    <w:p w14:paraId="5C9AC0F1">
      <w:pPr>
        <w:spacing w:after="60"/>
        <w:jc w:val="both"/>
        <w:rPr>
          <w:rFonts w:hint="default" w:ascii="Times New Roman" w:hAnsi="Times New Roman" w:cs="Times New Roman"/>
          <w:b w:val="0"/>
          <w:sz w:val="24"/>
        </w:rPr>
      </w:pPr>
    </w:p>
    <w:p w14:paraId="6D000D89">
      <w:pPr>
        <w:spacing w:after="60"/>
        <w:jc w:val="both"/>
        <w:rPr>
          <w:rFonts w:hint="default" w:ascii="Times New Roman" w:hAnsi="Times New Roman" w:cs="Times New Roman"/>
        </w:rPr>
      </w:pPr>
      <w:r>
        <w:rPr>
          <w:rFonts w:hint="default" w:ascii="Times New Roman" w:hAnsi="Times New Roman" w:cs="Times New Roman"/>
          <w:b w:val="0"/>
          <w:sz w:val="24"/>
        </w:rPr>
        <w:t>Таблица 4.3 – Осадки (мм) и снежный покров (см), г. Алматы</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8"/>
        <w:gridCol w:w="574"/>
        <w:gridCol w:w="574"/>
        <w:gridCol w:w="670"/>
        <w:gridCol w:w="638"/>
        <w:gridCol w:w="638"/>
        <w:gridCol w:w="670"/>
        <w:gridCol w:w="638"/>
        <w:gridCol w:w="688"/>
        <w:gridCol w:w="588"/>
        <w:gridCol w:w="574"/>
        <w:gridCol w:w="588"/>
        <w:gridCol w:w="638"/>
      </w:tblGrid>
      <w:tr w14:paraId="6903A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7" w:type="dxa"/>
          </w:tcPr>
          <w:p w14:paraId="46405ED3">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Показатель</w:t>
            </w:r>
          </w:p>
        </w:tc>
        <w:tc>
          <w:tcPr>
            <w:tcW w:w="767" w:type="dxa"/>
          </w:tcPr>
          <w:p w14:paraId="35F81EC3">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I</w:t>
            </w:r>
          </w:p>
        </w:tc>
        <w:tc>
          <w:tcPr>
            <w:tcW w:w="767" w:type="dxa"/>
          </w:tcPr>
          <w:p w14:paraId="56E4617A">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II</w:t>
            </w:r>
          </w:p>
        </w:tc>
        <w:tc>
          <w:tcPr>
            <w:tcW w:w="767" w:type="dxa"/>
          </w:tcPr>
          <w:p w14:paraId="15E40F91">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III</w:t>
            </w:r>
          </w:p>
        </w:tc>
        <w:tc>
          <w:tcPr>
            <w:tcW w:w="767" w:type="dxa"/>
          </w:tcPr>
          <w:p w14:paraId="3BC6A21B">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IV</w:t>
            </w:r>
          </w:p>
        </w:tc>
        <w:tc>
          <w:tcPr>
            <w:tcW w:w="767" w:type="dxa"/>
          </w:tcPr>
          <w:p w14:paraId="3DEAD3BD">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V</w:t>
            </w:r>
          </w:p>
        </w:tc>
        <w:tc>
          <w:tcPr>
            <w:tcW w:w="767" w:type="dxa"/>
          </w:tcPr>
          <w:p w14:paraId="04B68FD2">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VI</w:t>
            </w:r>
          </w:p>
        </w:tc>
        <w:tc>
          <w:tcPr>
            <w:tcW w:w="767" w:type="dxa"/>
          </w:tcPr>
          <w:p w14:paraId="41ED286C">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VII</w:t>
            </w:r>
          </w:p>
        </w:tc>
        <w:tc>
          <w:tcPr>
            <w:tcW w:w="767" w:type="dxa"/>
          </w:tcPr>
          <w:p w14:paraId="61FF0F9B">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VIII</w:t>
            </w:r>
          </w:p>
        </w:tc>
        <w:tc>
          <w:tcPr>
            <w:tcW w:w="767" w:type="dxa"/>
          </w:tcPr>
          <w:p w14:paraId="374EC172">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IХ</w:t>
            </w:r>
          </w:p>
        </w:tc>
        <w:tc>
          <w:tcPr>
            <w:tcW w:w="767" w:type="dxa"/>
          </w:tcPr>
          <w:p w14:paraId="06116E55">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Х</w:t>
            </w:r>
          </w:p>
        </w:tc>
        <w:tc>
          <w:tcPr>
            <w:tcW w:w="767" w:type="dxa"/>
          </w:tcPr>
          <w:p w14:paraId="2833DD07">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ХI</w:t>
            </w:r>
          </w:p>
        </w:tc>
        <w:tc>
          <w:tcPr>
            <w:tcW w:w="767" w:type="dxa"/>
          </w:tcPr>
          <w:p w14:paraId="5AD5A6EA">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b/>
                <w:sz w:val="22"/>
                <w:szCs w:val="22"/>
              </w:rPr>
              <w:t>ХII</w:t>
            </w:r>
          </w:p>
        </w:tc>
      </w:tr>
      <w:tr w14:paraId="2BB98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7" w:type="dxa"/>
          </w:tcPr>
          <w:p w14:paraId="78F466D6">
            <w:pPr>
              <w:spacing w:after="0" w:line="240" w:lineRule="auto"/>
              <w:jc w:val="left"/>
              <w:rPr>
                <w:rFonts w:hint="default" w:ascii="Times New Roman" w:hAnsi="Times New Roman" w:cs="Times New Roman"/>
                <w:sz w:val="22"/>
                <w:szCs w:val="22"/>
              </w:rPr>
            </w:pPr>
            <w:r>
              <w:rPr>
                <w:rFonts w:hint="default" w:ascii="Times New Roman" w:hAnsi="Times New Roman" w:eastAsia="Times New Roman" w:cs="Times New Roman"/>
                <w:sz w:val="22"/>
                <w:szCs w:val="22"/>
              </w:rPr>
              <w:t>Месячное количество осадков, мм</w:t>
            </w:r>
          </w:p>
        </w:tc>
        <w:tc>
          <w:tcPr>
            <w:tcW w:w="767" w:type="dxa"/>
            <w:vAlign w:val="center"/>
          </w:tcPr>
          <w:p w14:paraId="5F817FAD">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45</w:t>
            </w:r>
          </w:p>
        </w:tc>
        <w:tc>
          <w:tcPr>
            <w:tcW w:w="767" w:type="dxa"/>
            <w:vAlign w:val="center"/>
          </w:tcPr>
          <w:p w14:paraId="4DABBCFE">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49</w:t>
            </w:r>
          </w:p>
        </w:tc>
        <w:tc>
          <w:tcPr>
            <w:tcW w:w="767" w:type="dxa"/>
            <w:vAlign w:val="center"/>
          </w:tcPr>
          <w:p w14:paraId="225973F6">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85</w:t>
            </w:r>
          </w:p>
        </w:tc>
        <w:tc>
          <w:tcPr>
            <w:tcW w:w="767" w:type="dxa"/>
            <w:vAlign w:val="center"/>
          </w:tcPr>
          <w:p w14:paraId="0A1F35FE">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107</w:t>
            </w:r>
          </w:p>
        </w:tc>
        <w:tc>
          <w:tcPr>
            <w:tcW w:w="767" w:type="dxa"/>
            <w:vAlign w:val="center"/>
          </w:tcPr>
          <w:p w14:paraId="67CC1895">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101</w:t>
            </w:r>
          </w:p>
        </w:tc>
        <w:tc>
          <w:tcPr>
            <w:tcW w:w="767" w:type="dxa"/>
            <w:vAlign w:val="center"/>
          </w:tcPr>
          <w:p w14:paraId="4807841B">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78</w:t>
            </w:r>
          </w:p>
        </w:tc>
        <w:tc>
          <w:tcPr>
            <w:tcW w:w="767" w:type="dxa"/>
            <w:vAlign w:val="center"/>
          </w:tcPr>
          <w:p w14:paraId="4E03A998">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59</w:t>
            </w:r>
          </w:p>
        </w:tc>
        <w:tc>
          <w:tcPr>
            <w:tcW w:w="767" w:type="dxa"/>
            <w:vAlign w:val="center"/>
          </w:tcPr>
          <w:p w14:paraId="4C60A1EE">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31</w:t>
            </w:r>
          </w:p>
        </w:tc>
        <w:tc>
          <w:tcPr>
            <w:tcW w:w="767" w:type="dxa"/>
            <w:vAlign w:val="center"/>
          </w:tcPr>
          <w:p w14:paraId="50492D1B">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32</w:t>
            </w:r>
          </w:p>
        </w:tc>
        <w:tc>
          <w:tcPr>
            <w:tcW w:w="767" w:type="dxa"/>
            <w:vAlign w:val="center"/>
          </w:tcPr>
          <w:p w14:paraId="6673F982">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75</w:t>
            </w:r>
          </w:p>
        </w:tc>
        <w:tc>
          <w:tcPr>
            <w:tcW w:w="767" w:type="dxa"/>
            <w:vAlign w:val="center"/>
          </w:tcPr>
          <w:p w14:paraId="3CFBA4AE">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65</w:t>
            </w:r>
          </w:p>
        </w:tc>
        <w:tc>
          <w:tcPr>
            <w:tcW w:w="767" w:type="dxa"/>
            <w:vAlign w:val="center"/>
          </w:tcPr>
          <w:p w14:paraId="470100C7">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47</w:t>
            </w:r>
          </w:p>
        </w:tc>
      </w:tr>
      <w:tr w14:paraId="4777E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7" w:type="dxa"/>
          </w:tcPr>
          <w:p w14:paraId="4729454A">
            <w:pPr>
              <w:spacing w:after="0" w:line="240" w:lineRule="auto"/>
              <w:jc w:val="left"/>
              <w:rPr>
                <w:rFonts w:hint="default" w:ascii="Times New Roman" w:hAnsi="Times New Roman" w:cs="Times New Roman"/>
                <w:sz w:val="22"/>
                <w:szCs w:val="22"/>
              </w:rPr>
            </w:pPr>
            <w:r>
              <w:rPr>
                <w:rFonts w:hint="default" w:ascii="Times New Roman" w:hAnsi="Times New Roman" w:eastAsia="Times New Roman" w:cs="Times New Roman"/>
                <w:sz w:val="22"/>
                <w:szCs w:val="22"/>
              </w:rPr>
              <w:t>Максимальное суточное количество осадков, мм</w:t>
            </w:r>
          </w:p>
        </w:tc>
        <w:tc>
          <w:tcPr>
            <w:tcW w:w="767" w:type="dxa"/>
            <w:vAlign w:val="center"/>
          </w:tcPr>
          <w:p w14:paraId="66994F93">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16</w:t>
            </w:r>
          </w:p>
        </w:tc>
        <w:tc>
          <w:tcPr>
            <w:tcW w:w="767" w:type="dxa"/>
            <w:vAlign w:val="center"/>
          </w:tcPr>
          <w:p w14:paraId="21B461F9">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31</w:t>
            </w:r>
          </w:p>
        </w:tc>
        <w:tc>
          <w:tcPr>
            <w:tcW w:w="767" w:type="dxa"/>
            <w:vAlign w:val="center"/>
          </w:tcPr>
          <w:p w14:paraId="7BEBF111">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31,0</w:t>
            </w:r>
          </w:p>
        </w:tc>
        <w:tc>
          <w:tcPr>
            <w:tcW w:w="767" w:type="dxa"/>
            <w:vAlign w:val="center"/>
          </w:tcPr>
          <w:p w14:paraId="2EEF3B7A">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29</w:t>
            </w:r>
          </w:p>
        </w:tc>
        <w:tc>
          <w:tcPr>
            <w:tcW w:w="767" w:type="dxa"/>
            <w:vAlign w:val="center"/>
          </w:tcPr>
          <w:p w14:paraId="1A980378">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34</w:t>
            </w:r>
          </w:p>
        </w:tc>
        <w:tc>
          <w:tcPr>
            <w:tcW w:w="767" w:type="dxa"/>
            <w:vAlign w:val="center"/>
          </w:tcPr>
          <w:p w14:paraId="4E003F58">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43,0</w:t>
            </w:r>
          </w:p>
        </w:tc>
        <w:tc>
          <w:tcPr>
            <w:tcW w:w="767" w:type="dxa"/>
            <w:vAlign w:val="center"/>
          </w:tcPr>
          <w:p w14:paraId="7DF124BE">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24</w:t>
            </w:r>
          </w:p>
        </w:tc>
        <w:tc>
          <w:tcPr>
            <w:tcW w:w="767" w:type="dxa"/>
            <w:vAlign w:val="center"/>
          </w:tcPr>
          <w:p w14:paraId="5F2524C4">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54</w:t>
            </w:r>
          </w:p>
        </w:tc>
        <w:tc>
          <w:tcPr>
            <w:tcW w:w="767" w:type="dxa"/>
            <w:vAlign w:val="center"/>
          </w:tcPr>
          <w:p w14:paraId="574AE8EB">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38</w:t>
            </w:r>
          </w:p>
        </w:tc>
        <w:tc>
          <w:tcPr>
            <w:tcW w:w="767" w:type="dxa"/>
            <w:vAlign w:val="center"/>
          </w:tcPr>
          <w:p w14:paraId="238794E0">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29</w:t>
            </w:r>
          </w:p>
        </w:tc>
        <w:tc>
          <w:tcPr>
            <w:tcW w:w="767" w:type="dxa"/>
            <w:vAlign w:val="center"/>
          </w:tcPr>
          <w:p w14:paraId="39A0459A">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35</w:t>
            </w:r>
          </w:p>
        </w:tc>
        <w:tc>
          <w:tcPr>
            <w:tcW w:w="767" w:type="dxa"/>
            <w:vAlign w:val="center"/>
          </w:tcPr>
          <w:p w14:paraId="2A0E5A8B">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21</w:t>
            </w:r>
          </w:p>
        </w:tc>
      </w:tr>
      <w:tr w14:paraId="60C5B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7" w:type="dxa"/>
          </w:tcPr>
          <w:p w14:paraId="79CC1AE1">
            <w:pPr>
              <w:spacing w:after="0" w:line="240" w:lineRule="auto"/>
              <w:jc w:val="left"/>
              <w:rPr>
                <w:rFonts w:hint="default" w:ascii="Times New Roman" w:hAnsi="Times New Roman" w:cs="Times New Roman"/>
                <w:sz w:val="22"/>
                <w:szCs w:val="22"/>
              </w:rPr>
            </w:pPr>
            <w:r>
              <w:rPr>
                <w:rFonts w:hint="default" w:ascii="Times New Roman" w:hAnsi="Times New Roman" w:eastAsia="Times New Roman" w:cs="Times New Roman"/>
                <w:sz w:val="22"/>
                <w:szCs w:val="22"/>
              </w:rPr>
              <w:t>Средняя высота снежного покрова, см</w:t>
            </w:r>
          </w:p>
        </w:tc>
        <w:tc>
          <w:tcPr>
            <w:tcW w:w="767" w:type="dxa"/>
            <w:vAlign w:val="center"/>
          </w:tcPr>
          <w:p w14:paraId="41663F37">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11</w:t>
            </w:r>
          </w:p>
        </w:tc>
        <w:tc>
          <w:tcPr>
            <w:tcW w:w="767" w:type="dxa"/>
            <w:vAlign w:val="center"/>
          </w:tcPr>
          <w:p w14:paraId="1113176A">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13</w:t>
            </w:r>
          </w:p>
        </w:tc>
        <w:tc>
          <w:tcPr>
            <w:tcW w:w="767" w:type="dxa"/>
            <w:vAlign w:val="center"/>
          </w:tcPr>
          <w:p w14:paraId="139E8319">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8,0</w:t>
            </w:r>
          </w:p>
        </w:tc>
        <w:tc>
          <w:tcPr>
            <w:tcW w:w="767" w:type="dxa"/>
            <w:vAlign w:val="center"/>
          </w:tcPr>
          <w:p w14:paraId="7C6E6086">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5</w:t>
            </w:r>
          </w:p>
        </w:tc>
        <w:tc>
          <w:tcPr>
            <w:tcW w:w="767" w:type="dxa"/>
            <w:vAlign w:val="center"/>
          </w:tcPr>
          <w:p w14:paraId="3B4CD6C9">
            <w:pPr>
              <w:spacing w:after="0" w:line="240" w:lineRule="auto"/>
              <w:jc w:val="center"/>
              <w:rPr>
                <w:rFonts w:hint="default" w:ascii="Times New Roman" w:hAnsi="Times New Roman" w:cs="Times New Roman"/>
                <w:sz w:val="22"/>
                <w:szCs w:val="22"/>
              </w:rPr>
            </w:pPr>
          </w:p>
        </w:tc>
        <w:tc>
          <w:tcPr>
            <w:tcW w:w="767" w:type="dxa"/>
            <w:vAlign w:val="center"/>
          </w:tcPr>
          <w:p w14:paraId="12A1C376">
            <w:pPr>
              <w:spacing w:after="0" w:line="240" w:lineRule="auto"/>
              <w:jc w:val="center"/>
              <w:rPr>
                <w:rFonts w:hint="default" w:ascii="Times New Roman" w:hAnsi="Times New Roman" w:cs="Times New Roman"/>
                <w:sz w:val="22"/>
                <w:szCs w:val="22"/>
              </w:rPr>
            </w:pPr>
          </w:p>
        </w:tc>
        <w:tc>
          <w:tcPr>
            <w:tcW w:w="767" w:type="dxa"/>
            <w:vAlign w:val="center"/>
          </w:tcPr>
          <w:p w14:paraId="3174B47D">
            <w:pPr>
              <w:spacing w:after="0" w:line="240" w:lineRule="auto"/>
              <w:jc w:val="center"/>
              <w:rPr>
                <w:rFonts w:hint="default" w:ascii="Times New Roman" w:hAnsi="Times New Roman" w:cs="Times New Roman"/>
                <w:sz w:val="22"/>
                <w:szCs w:val="22"/>
              </w:rPr>
            </w:pPr>
          </w:p>
        </w:tc>
        <w:tc>
          <w:tcPr>
            <w:tcW w:w="767" w:type="dxa"/>
            <w:vAlign w:val="center"/>
          </w:tcPr>
          <w:p w14:paraId="40DE6E46">
            <w:pPr>
              <w:spacing w:after="0" w:line="240" w:lineRule="auto"/>
              <w:jc w:val="center"/>
              <w:rPr>
                <w:rFonts w:hint="default" w:ascii="Times New Roman" w:hAnsi="Times New Roman" w:cs="Times New Roman"/>
                <w:sz w:val="22"/>
                <w:szCs w:val="22"/>
              </w:rPr>
            </w:pPr>
          </w:p>
        </w:tc>
        <w:tc>
          <w:tcPr>
            <w:tcW w:w="767" w:type="dxa"/>
            <w:vAlign w:val="center"/>
          </w:tcPr>
          <w:p w14:paraId="23550108">
            <w:pPr>
              <w:spacing w:after="0" w:line="240" w:lineRule="auto"/>
              <w:jc w:val="center"/>
              <w:rPr>
                <w:rFonts w:hint="default" w:ascii="Times New Roman" w:hAnsi="Times New Roman" w:cs="Times New Roman"/>
                <w:sz w:val="22"/>
                <w:szCs w:val="22"/>
              </w:rPr>
            </w:pPr>
          </w:p>
        </w:tc>
        <w:tc>
          <w:tcPr>
            <w:tcW w:w="767" w:type="dxa"/>
            <w:vAlign w:val="center"/>
          </w:tcPr>
          <w:p w14:paraId="2F2905DA">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1</w:t>
            </w:r>
          </w:p>
        </w:tc>
        <w:tc>
          <w:tcPr>
            <w:tcW w:w="767" w:type="dxa"/>
            <w:vAlign w:val="center"/>
          </w:tcPr>
          <w:p w14:paraId="47493203">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5</w:t>
            </w:r>
          </w:p>
        </w:tc>
        <w:tc>
          <w:tcPr>
            <w:tcW w:w="767" w:type="dxa"/>
            <w:vAlign w:val="center"/>
          </w:tcPr>
          <w:p w14:paraId="06B5E0DF">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11</w:t>
            </w:r>
          </w:p>
        </w:tc>
      </w:tr>
      <w:tr w14:paraId="36035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7" w:type="dxa"/>
          </w:tcPr>
          <w:p w14:paraId="6BCED16A">
            <w:pPr>
              <w:spacing w:after="0" w:line="240" w:lineRule="auto"/>
              <w:jc w:val="left"/>
              <w:rPr>
                <w:rFonts w:hint="default" w:ascii="Times New Roman" w:hAnsi="Times New Roman" w:cs="Times New Roman"/>
                <w:sz w:val="22"/>
                <w:szCs w:val="22"/>
              </w:rPr>
            </w:pPr>
            <w:r>
              <w:rPr>
                <w:rFonts w:hint="default" w:ascii="Times New Roman" w:hAnsi="Times New Roman" w:eastAsia="Times New Roman" w:cs="Times New Roman"/>
                <w:sz w:val="22"/>
                <w:szCs w:val="22"/>
              </w:rPr>
              <w:t>Максимальная высота снежного покрова, см</w:t>
            </w:r>
          </w:p>
        </w:tc>
        <w:tc>
          <w:tcPr>
            <w:tcW w:w="767" w:type="dxa"/>
            <w:vAlign w:val="center"/>
          </w:tcPr>
          <w:p w14:paraId="41B022F1">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33</w:t>
            </w:r>
          </w:p>
        </w:tc>
        <w:tc>
          <w:tcPr>
            <w:tcW w:w="767" w:type="dxa"/>
            <w:vAlign w:val="center"/>
          </w:tcPr>
          <w:p w14:paraId="40E5B952">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32</w:t>
            </w:r>
          </w:p>
        </w:tc>
        <w:tc>
          <w:tcPr>
            <w:tcW w:w="767" w:type="dxa"/>
            <w:vAlign w:val="center"/>
          </w:tcPr>
          <w:p w14:paraId="26D4CA01">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30</w:t>
            </w:r>
          </w:p>
        </w:tc>
        <w:tc>
          <w:tcPr>
            <w:tcW w:w="767" w:type="dxa"/>
            <w:vAlign w:val="center"/>
          </w:tcPr>
          <w:p w14:paraId="408F2943">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14</w:t>
            </w:r>
          </w:p>
        </w:tc>
        <w:tc>
          <w:tcPr>
            <w:tcW w:w="767" w:type="dxa"/>
            <w:vAlign w:val="center"/>
          </w:tcPr>
          <w:p w14:paraId="7B5E4F27">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w:t>
            </w:r>
          </w:p>
        </w:tc>
        <w:tc>
          <w:tcPr>
            <w:tcW w:w="767" w:type="dxa"/>
            <w:vAlign w:val="center"/>
          </w:tcPr>
          <w:p w14:paraId="521521AD">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w:t>
            </w:r>
          </w:p>
        </w:tc>
        <w:tc>
          <w:tcPr>
            <w:tcW w:w="767" w:type="dxa"/>
            <w:vAlign w:val="center"/>
          </w:tcPr>
          <w:p w14:paraId="3EEADDC9">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w:t>
            </w:r>
          </w:p>
        </w:tc>
        <w:tc>
          <w:tcPr>
            <w:tcW w:w="767" w:type="dxa"/>
            <w:vAlign w:val="center"/>
          </w:tcPr>
          <w:p w14:paraId="51FF2A48">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w:t>
            </w:r>
          </w:p>
        </w:tc>
        <w:tc>
          <w:tcPr>
            <w:tcW w:w="767" w:type="dxa"/>
            <w:vAlign w:val="center"/>
          </w:tcPr>
          <w:p w14:paraId="39DD3D53">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w:t>
            </w:r>
          </w:p>
        </w:tc>
        <w:tc>
          <w:tcPr>
            <w:tcW w:w="767" w:type="dxa"/>
            <w:vAlign w:val="center"/>
          </w:tcPr>
          <w:p w14:paraId="0979E0E1">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3</w:t>
            </w:r>
          </w:p>
        </w:tc>
        <w:tc>
          <w:tcPr>
            <w:tcW w:w="767" w:type="dxa"/>
            <w:vAlign w:val="center"/>
          </w:tcPr>
          <w:p w14:paraId="4E1EC8B2">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20</w:t>
            </w:r>
          </w:p>
        </w:tc>
        <w:tc>
          <w:tcPr>
            <w:tcW w:w="767" w:type="dxa"/>
            <w:vAlign w:val="center"/>
          </w:tcPr>
          <w:p w14:paraId="7F9DA0C0">
            <w:pPr>
              <w:spacing w:after="0" w:line="240" w:lineRule="auto"/>
              <w:jc w:val="center"/>
              <w:rPr>
                <w:rFonts w:hint="default" w:ascii="Times New Roman" w:hAnsi="Times New Roman" w:cs="Times New Roman"/>
                <w:sz w:val="22"/>
                <w:szCs w:val="22"/>
              </w:rPr>
            </w:pPr>
            <w:r>
              <w:rPr>
                <w:rFonts w:hint="default" w:ascii="Times New Roman" w:hAnsi="Times New Roman" w:eastAsia="Times New Roman" w:cs="Times New Roman"/>
                <w:sz w:val="22"/>
                <w:szCs w:val="22"/>
              </w:rPr>
              <w:t>28</w:t>
            </w:r>
          </w:p>
        </w:tc>
      </w:tr>
    </w:tbl>
    <w:p w14:paraId="1B12C9E1">
      <w:pPr>
        <w:spacing w:after="60"/>
        <w:jc w:val="both"/>
        <w:rPr>
          <w:rFonts w:hint="default" w:ascii="Times New Roman" w:hAnsi="Times New Roman" w:cs="Times New Roman"/>
          <w:b w:val="0"/>
          <w:sz w:val="24"/>
        </w:rPr>
      </w:pPr>
    </w:p>
    <w:p w14:paraId="793FA5A9">
      <w:pPr>
        <w:spacing w:after="60"/>
        <w:jc w:val="both"/>
        <w:rPr>
          <w:rFonts w:hint="default" w:ascii="Times New Roman" w:hAnsi="Times New Roman" w:cs="Times New Roman"/>
        </w:rPr>
      </w:pPr>
      <w:r>
        <w:rPr>
          <w:rFonts w:hint="default" w:ascii="Times New Roman" w:hAnsi="Times New Roman" w:cs="Times New Roman"/>
          <w:b w:val="0"/>
          <w:sz w:val="24"/>
        </w:rPr>
        <w:t>Таблица 4.4 – Средняя месячная скорость ветра (м/с), г. Алматы</w:t>
      </w:r>
    </w:p>
    <w:tbl>
      <w:tblPr>
        <w:tblStyle w:val="27"/>
        <w:tblW w:w="91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4"/>
        <w:gridCol w:w="659"/>
        <w:gridCol w:w="659"/>
        <w:gridCol w:w="652"/>
        <w:gridCol w:w="659"/>
        <w:gridCol w:w="659"/>
        <w:gridCol w:w="659"/>
        <w:gridCol w:w="681"/>
        <w:gridCol w:w="714"/>
        <w:gridCol w:w="648"/>
        <w:gridCol w:w="659"/>
        <w:gridCol w:w="660"/>
        <w:gridCol w:w="682"/>
      </w:tblGrid>
      <w:tr w14:paraId="6FDAE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4" w:type="dxa"/>
          </w:tcPr>
          <w:p w14:paraId="0C8AC7F8">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Месяц</w:t>
            </w:r>
          </w:p>
        </w:tc>
        <w:tc>
          <w:tcPr>
            <w:tcW w:w="659" w:type="dxa"/>
          </w:tcPr>
          <w:p w14:paraId="2F96999B">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I</w:t>
            </w:r>
          </w:p>
        </w:tc>
        <w:tc>
          <w:tcPr>
            <w:tcW w:w="659" w:type="dxa"/>
          </w:tcPr>
          <w:p w14:paraId="7B4971C1">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II</w:t>
            </w:r>
          </w:p>
        </w:tc>
        <w:tc>
          <w:tcPr>
            <w:tcW w:w="652" w:type="dxa"/>
          </w:tcPr>
          <w:p w14:paraId="70792DC2">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III</w:t>
            </w:r>
          </w:p>
        </w:tc>
        <w:tc>
          <w:tcPr>
            <w:tcW w:w="659" w:type="dxa"/>
          </w:tcPr>
          <w:p w14:paraId="0AB0683E">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IV</w:t>
            </w:r>
          </w:p>
        </w:tc>
        <w:tc>
          <w:tcPr>
            <w:tcW w:w="659" w:type="dxa"/>
          </w:tcPr>
          <w:p w14:paraId="08DCEAEE">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V</w:t>
            </w:r>
          </w:p>
        </w:tc>
        <w:tc>
          <w:tcPr>
            <w:tcW w:w="659" w:type="dxa"/>
          </w:tcPr>
          <w:p w14:paraId="3D01F080">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VI</w:t>
            </w:r>
          </w:p>
        </w:tc>
        <w:tc>
          <w:tcPr>
            <w:tcW w:w="681" w:type="dxa"/>
          </w:tcPr>
          <w:p w14:paraId="4CA6F1B9">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VII</w:t>
            </w:r>
          </w:p>
        </w:tc>
        <w:tc>
          <w:tcPr>
            <w:tcW w:w="714" w:type="dxa"/>
          </w:tcPr>
          <w:p w14:paraId="24677168">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VIII</w:t>
            </w:r>
          </w:p>
        </w:tc>
        <w:tc>
          <w:tcPr>
            <w:tcW w:w="648" w:type="dxa"/>
          </w:tcPr>
          <w:p w14:paraId="7163B6CB">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IХ</w:t>
            </w:r>
          </w:p>
        </w:tc>
        <w:tc>
          <w:tcPr>
            <w:tcW w:w="659" w:type="dxa"/>
          </w:tcPr>
          <w:p w14:paraId="1A936820">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Х</w:t>
            </w:r>
          </w:p>
        </w:tc>
        <w:tc>
          <w:tcPr>
            <w:tcW w:w="660" w:type="dxa"/>
          </w:tcPr>
          <w:p w14:paraId="077DA4A5">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ХI</w:t>
            </w:r>
          </w:p>
        </w:tc>
        <w:tc>
          <w:tcPr>
            <w:tcW w:w="682" w:type="dxa"/>
          </w:tcPr>
          <w:p w14:paraId="54A77F0D">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ХII</w:t>
            </w:r>
          </w:p>
        </w:tc>
      </w:tr>
      <w:tr w14:paraId="57188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4" w:type="dxa"/>
          </w:tcPr>
          <w:p w14:paraId="78E703BD">
            <w:pPr>
              <w:spacing w:after="0" w:line="240" w:lineRule="auto"/>
              <w:jc w:val="left"/>
              <w:rPr>
                <w:rFonts w:hint="default" w:ascii="Times New Roman" w:hAnsi="Times New Roman" w:cs="Times New Roman"/>
              </w:rPr>
            </w:pPr>
            <w:r>
              <w:rPr>
                <w:rFonts w:hint="default" w:ascii="Times New Roman" w:hAnsi="Times New Roman" w:eastAsia="Times New Roman" w:cs="Times New Roman"/>
                <w:sz w:val="22"/>
              </w:rPr>
              <w:t>Средняя скорость ветра, м/с</w:t>
            </w:r>
          </w:p>
        </w:tc>
        <w:tc>
          <w:tcPr>
            <w:tcW w:w="659" w:type="dxa"/>
            <w:vAlign w:val="center"/>
          </w:tcPr>
          <w:p w14:paraId="1CF46F89">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0,8</w:t>
            </w:r>
          </w:p>
        </w:tc>
        <w:tc>
          <w:tcPr>
            <w:tcW w:w="659" w:type="dxa"/>
            <w:vAlign w:val="center"/>
          </w:tcPr>
          <w:p w14:paraId="2074F042">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0,8</w:t>
            </w:r>
          </w:p>
        </w:tc>
        <w:tc>
          <w:tcPr>
            <w:tcW w:w="652" w:type="dxa"/>
            <w:vAlign w:val="center"/>
          </w:tcPr>
          <w:p w14:paraId="5B64D465">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w:t>
            </w:r>
          </w:p>
        </w:tc>
        <w:tc>
          <w:tcPr>
            <w:tcW w:w="659" w:type="dxa"/>
            <w:vAlign w:val="center"/>
          </w:tcPr>
          <w:p w14:paraId="134C5068">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1,1</w:t>
            </w:r>
          </w:p>
        </w:tc>
        <w:tc>
          <w:tcPr>
            <w:tcW w:w="659" w:type="dxa"/>
            <w:vAlign w:val="center"/>
          </w:tcPr>
          <w:p w14:paraId="7C8E86BF">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1,1</w:t>
            </w:r>
          </w:p>
        </w:tc>
        <w:tc>
          <w:tcPr>
            <w:tcW w:w="659" w:type="dxa"/>
            <w:vAlign w:val="center"/>
          </w:tcPr>
          <w:p w14:paraId="37CC886D">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1,1</w:t>
            </w:r>
          </w:p>
        </w:tc>
        <w:tc>
          <w:tcPr>
            <w:tcW w:w="681" w:type="dxa"/>
            <w:vAlign w:val="center"/>
          </w:tcPr>
          <w:p w14:paraId="4F990AD6">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1,1</w:t>
            </w:r>
          </w:p>
        </w:tc>
        <w:tc>
          <w:tcPr>
            <w:tcW w:w="714" w:type="dxa"/>
            <w:vAlign w:val="center"/>
          </w:tcPr>
          <w:p w14:paraId="0833A112">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1,1</w:t>
            </w:r>
          </w:p>
        </w:tc>
        <w:tc>
          <w:tcPr>
            <w:tcW w:w="648" w:type="dxa"/>
            <w:vAlign w:val="center"/>
          </w:tcPr>
          <w:p w14:paraId="03C87219">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w:t>
            </w:r>
          </w:p>
        </w:tc>
        <w:tc>
          <w:tcPr>
            <w:tcW w:w="659" w:type="dxa"/>
            <w:vAlign w:val="center"/>
          </w:tcPr>
          <w:p w14:paraId="601326B5">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0,8</w:t>
            </w:r>
          </w:p>
        </w:tc>
        <w:tc>
          <w:tcPr>
            <w:tcW w:w="660" w:type="dxa"/>
            <w:vAlign w:val="center"/>
          </w:tcPr>
          <w:p w14:paraId="7F294FFB">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0,8</w:t>
            </w:r>
          </w:p>
        </w:tc>
        <w:tc>
          <w:tcPr>
            <w:tcW w:w="682" w:type="dxa"/>
            <w:vAlign w:val="center"/>
          </w:tcPr>
          <w:p w14:paraId="0A8A5189">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0,6</w:t>
            </w:r>
          </w:p>
        </w:tc>
      </w:tr>
    </w:tbl>
    <w:p w14:paraId="5062A24C">
      <w:pPr>
        <w:spacing w:after="60"/>
        <w:jc w:val="both"/>
        <w:rPr>
          <w:rFonts w:hint="default" w:ascii="Times New Roman" w:hAnsi="Times New Roman" w:cs="Times New Roman"/>
          <w:b w:val="0"/>
          <w:sz w:val="24"/>
        </w:rPr>
      </w:pPr>
    </w:p>
    <w:p w14:paraId="614385E3">
      <w:pPr>
        <w:spacing w:after="60"/>
        <w:jc w:val="both"/>
        <w:rPr>
          <w:rFonts w:hint="default" w:ascii="Times New Roman" w:hAnsi="Times New Roman" w:cs="Times New Roman"/>
        </w:rPr>
      </w:pPr>
      <w:r>
        <w:rPr>
          <w:rFonts w:hint="default" w:ascii="Times New Roman" w:hAnsi="Times New Roman" w:cs="Times New Roman"/>
          <w:b w:val="0"/>
          <w:sz w:val="24"/>
        </w:rPr>
        <w:t>Таблица 4.5 – Средняя месячная повторяемость направления ветра и штилей (%), г. Алматы</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13"/>
        <w:gridCol w:w="683"/>
        <w:gridCol w:w="731"/>
        <w:gridCol w:w="683"/>
        <w:gridCol w:w="781"/>
        <w:gridCol w:w="699"/>
        <w:gridCol w:w="764"/>
        <w:gridCol w:w="626"/>
        <w:gridCol w:w="714"/>
        <w:gridCol w:w="962"/>
      </w:tblGrid>
      <w:tr w14:paraId="2286C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7" w:type="dxa"/>
          </w:tcPr>
          <w:p w14:paraId="73A09FE8">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Месяц/направление</w:t>
            </w:r>
          </w:p>
        </w:tc>
        <w:tc>
          <w:tcPr>
            <w:tcW w:w="997" w:type="dxa"/>
            <w:vAlign w:val="center"/>
          </w:tcPr>
          <w:p w14:paraId="4A46C923">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С</w:t>
            </w:r>
          </w:p>
        </w:tc>
        <w:tc>
          <w:tcPr>
            <w:tcW w:w="997" w:type="dxa"/>
            <w:vAlign w:val="center"/>
          </w:tcPr>
          <w:p w14:paraId="06BEBDDC">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СВ</w:t>
            </w:r>
          </w:p>
        </w:tc>
        <w:tc>
          <w:tcPr>
            <w:tcW w:w="997" w:type="dxa"/>
            <w:vAlign w:val="center"/>
          </w:tcPr>
          <w:p w14:paraId="4109B83F">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В</w:t>
            </w:r>
          </w:p>
        </w:tc>
        <w:tc>
          <w:tcPr>
            <w:tcW w:w="997" w:type="dxa"/>
            <w:vAlign w:val="center"/>
          </w:tcPr>
          <w:p w14:paraId="4B252E76">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ЮВ</w:t>
            </w:r>
          </w:p>
        </w:tc>
        <w:tc>
          <w:tcPr>
            <w:tcW w:w="997" w:type="dxa"/>
            <w:vAlign w:val="center"/>
          </w:tcPr>
          <w:p w14:paraId="3C3406CE">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Ю</w:t>
            </w:r>
          </w:p>
        </w:tc>
        <w:tc>
          <w:tcPr>
            <w:tcW w:w="997" w:type="dxa"/>
            <w:vAlign w:val="center"/>
          </w:tcPr>
          <w:p w14:paraId="0933C99F">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ЮЗ</w:t>
            </w:r>
          </w:p>
        </w:tc>
        <w:tc>
          <w:tcPr>
            <w:tcW w:w="997" w:type="dxa"/>
            <w:vAlign w:val="center"/>
          </w:tcPr>
          <w:p w14:paraId="4E091D3B">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З</w:t>
            </w:r>
          </w:p>
        </w:tc>
        <w:tc>
          <w:tcPr>
            <w:tcW w:w="997" w:type="dxa"/>
            <w:vAlign w:val="center"/>
          </w:tcPr>
          <w:p w14:paraId="1B5CAD4B">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СЗ</w:t>
            </w:r>
          </w:p>
        </w:tc>
        <w:tc>
          <w:tcPr>
            <w:tcW w:w="997" w:type="dxa"/>
            <w:vAlign w:val="center"/>
          </w:tcPr>
          <w:p w14:paraId="3BF5D5AA">
            <w:pPr>
              <w:spacing w:after="0" w:line="240" w:lineRule="auto"/>
              <w:jc w:val="center"/>
              <w:rPr>
                <w:rFonts w:hint="default" w:ascii="Times New Roman" w:hAnsi="Times New Roman" w:cs="Times New Roman"/>
              </w:rPr>
            </w:pPr>
            <w:r>
              <w:rPr>
                <w:rFonts w:hint="default" w:ascii="Times New Roman" w:hAnsi="Times New Roman" w:eastAsia="Times New Roman" w:cs="Times New Roman"/>
                <w:b/>
                <w:sz w:val="22"/>
              </w:rPr>
              <w:t>Штиль</w:t>
            </w:r>
          </w:p>
        </w:tc>
      </w:tr>
      <w:tr w14:paraId="3B1B0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7" w:type="dxa"/>
          </w:tcPr>
          <w:p w14:paraId="7144943A">
            <w:pPr>
              <w:spacing w:after="0" w:line="240" w:lineRule="auto"/>
              <w:jc w:val="left"/>
              <w:rPr>
                <w:rFonts w:hint="default" w:ascii="Times New Roman" w:hAnsi="Times New Roman" w:cs="Times New Roman"/>
              </w:rPr>
            </w:pPr>
            <w:r>
              <w:rPr>
                <w:rFonts w:hint="default" w:ascii="Times New Roman" w:hAnsi="Times New Roman" w:eastAsia="Times New Roman" w:cs="Times New Roman"/>
                <w:sz w:val="22"/>
              </w:rPr>
              <w:t>Январь</w:t>
            </w:r>
          </w:p>
        </w:tc>
        <w:tc>
          <w:tcPr>
            <w:tcW w:w="997" w:type="dxa"/>
            <w:vAlign w:val="center"/>
          </w:tcPr>
          <w:p w14:paraId="69F76DC2">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27</w:t>
            </w:r>
          </w:p>
        </w:tc>
        <w:tc>
          <w:tcPr>
            <w:tcW w:w="997" w:type="dxa"/>
            <w:vAlign w:val="center"/>
          </w:tcPr>
          <w:p w14:paraId="17159E90">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6</w:t>
            </w:r>
          </w:p>
        </w:tc>
        <w:tc>
          <w:tcPr>
            <w:tcW w:w="997" w:type="dxa"/>
            <w:vAlign w:val="center"/>
          </w:tcPr>
          <w:p w14:paraId="149BF495">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4</w:t>
            </w:r>
          </w:p>
        </w:tc>
        <w:tc>
          <w:tcPr>
            <w:tcW w:w="997" w:type="dxa"/>
            <w:vAlign w:val="center"/>
          </w:tcPr>
          <w:p w14:paraId="3BFDC4FB">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22</w:t>
            </w:r>
          </w:p>
        </w:tc>
        <w:tc>
          <w:tcPr>
            <w:tcW w:w="997" w:type="dxa"/>
            <w:vAlign w:val="center"/>
          </w:tcPr>
          <w:p w14:paraId="2202AE57">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15</w:t>
            </w:r>
          </w:p>
        </w:tc>
        <w:tc>
          <w:tcPr>
            <w:tcW w:w="997" w:type="dxa"/>
            <w:vAlign w:val="center"/>
          </w:tcPr>
          <w:p w14:paraId="398E1A78">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11</w:t>
            </w:r>
          </w:p>
        </w:tc>
        <w:tc>
          <w:tcPr>
            <w:tcW w:w="997" w:type="dxa"/>
            <w:vAlign w:val="center"/>
          </w:tcPr>
          <w:p w14:paraId="50F3AAD9">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6</w:t>
            </w:r>
          </w:p>
        </w:tc>
        <w:tc>
          <w:tcPr>
            <w:tcW w:w="997" w:type="dxa"/>
            <w:vAlign w:val="center"/>
          </w:tcPr>
          <w:p w14:paraId="3481C9EA">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9</w:t>
            </w:r>
          </w:p>
        </w:tc>
        <w:tc>
          <w:tcPr>
            <w:tcW w:w="997" w:type="dxa"/>
            <w:vAlign w:val="center"/>
          </w:tcPr>
          <w:p w14:paraId="7156323B">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34</w:t>
            </w:r>
          </w:p>
        </w:tc>
      </w:tr>
      <w:tr w14:paraId="7325B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7" w:type="dxa"/>
          </w:tcPr>
          <w:p w14:paraId="70A8F315">
            <w:pPr>
              <w:spacing w:after="0" w:line="240" w:lineRule="auto"/>
              <w:jc w:val="left"/>
              <w:rPr>
                <w:rFonts w:hint="default" w:ascii="Times New Roman" w:hAnsi="Times New Roman" w:cs="Times New Roman"/>
              </w:rPr>
            </w:pPr>
            <w:r>
              <w:rPr>
                <w:rFonts w:hint="default" w:ascii="Times New Roman" w:hAnsi="Times New Roman" w:eastAsia="Times New Roman" w:cs="Times New Roman"/>
                <w:sz w:val="22"/>
              </w:rPr>
              <w:t>Февраль</w:t>
            </w:r>
          </w:p>
        </w:tc>
        <w:tc>
          <w:tcPr>
            <w:tcW w:w="997" w:type="dxa"/>
            <w:vAlign w:val="center"/>
          </w:tcPr>
          <w:p w14:paraId="03687876">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27</w:t>
            </w:r>
          </w:p>
        </w:tc>
        <w:tc>
          <w:tcPr>
            <w:tcW w:w="997" w:type="dxa"/>
            <w:vAlign w:val="center"/>
          </w:tcPr>
          <w:p w14:paraId="7EB862E5">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8</w:t>
            </w:r>
          </w:p>
        </w:tc>
        <w:tc>
          <w:tcPr>
            <w:tcW w:w="997" w:type="dxa"/>
            <w:vAlign w:val="center"/>
          </w:tcPr>
          <w:p w14:paraId="5EA39426">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4</w:t>
            </w:r>
          </w:p>
        </w:tc>
        <w:tc>
          <w:tcPr>
            <w:tcW w:w="997" w:type="dxa"/>
            <w:vAlign w:val="center"/>
          </w:tcPr>
          <w:p w14:paraId="3EC80040">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20</w:t>
            </w:r>
          </w:p>
        </w:tc>
        <w:tc>
          <w:tcPr>
            <w:tcW w:w="997" w:type="dxa"/>
            <w:vAlign w:val="center"/>
          </w:tcPr>
          <w:p w14:paraId="6900E0CD">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14</w:t>
            </w:r>
          </w:p>
        </w:tc>
        <w:tc>
          <w:tcPr>
            <w:tcW w:w="997" w:type="dxa"/>
            <w:vAlign w:val="center"/>
          </w:tcPr>
          <w:p w14:paraId="1C6B3F61">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11</w:t>
            </w:r>
          </w:p>
        </w:tc>
        <w:tc>
          <w:tcPr>
            <w:tcW w:w="997" w:type="dxa"/>
            <w:vAlign w:val="center"/>
          </w:tcPr>
          <w:p w14:paraId="08481B4E">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6</w:t>
            </w:r>
          </w:p>
        </w:tc>
        <w:tc>
          <w:tcPr>
            <w:tcW w:w="997" w:type="dxa"/>
            <w:vAlign w:val="center"/>
          </w:tcPr>
          <w:p w14:paraId="551F6FC8">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10</w:t>
            </w:r>
          </w:p>
        </w:tc>
        <w:tc>
          <w:tcPr>
            <w:tcW w:w="997" w:type="dxa"/>
            <w:vAlign w:val="center"/>
          </w:tcPr>
          <w:p w14:paraId="00ACFA2E">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32</w:t>
            </w:r>
          </w:p>
        </w:tc>
      </w:tr>
      <w:tr w14:paraId="01D75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7" w:type="dxa"/>
          </w:tcPr>
          <w:p w14:paraId="5DDB2FD2">
            <w:pPr>
              <w:spacing w:after="0" w:line="240" w:lineRule="auto"/>
              <w:jc w:val="left"/>
              <w:rPr>
                <w:rFonts w:hint="default" w:ascii="Times New Roman" w:hAnsi="Times New Roman" w:cs="Times New Roman"/>
              </w:rPr>
            </w:pPr>
            <w:r>
              <w:rPr>
                <w:rFonts w:hint="default" w:ascii="Times New Roman" w:hAnsi="Times New Roman" w:eastAsia="Times New Roman" w:cs="Times New Roman"/>
                <w:sz w:val="22"/>
              </w:rPr>
              <w:t>Март</w:t>
            </w:r>
          </w:p>
        </w:tc>
        <w:tc>
          <w:tcPr>
            <w:tcW w:w="997" w:type="dxa"/>
            <w:vAlign w:val="center"/>
          </w:tcPr>
          <w:p w14:paraId="3B6BB8DB">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29</w:t>
            </w:r>
          </w:p>
        </w:tc>
        <w:tc>
          <w:tcPr>
            <w:tcW w:w="997" w:type="dxa"/>
            <w:vAlign w:val="center"/>
          </w:tcPr>
          <w:p w14:paraId="33C712F8">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7</w:t>
            </w:r>
          </w:p>
        </w:tc>
        <w:tc>
          <w:tcPr>
            <w:tcW w:w="997" w:type="dxa"/>
            <w:vAlign w:val="center"/>
          </w:tcPr>
          <w:p w14:paraId="6C410A21">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4</w:t>
            </w:r>
          </w:p>
        </w:tc>
        <w:tc>
          <w:tcPr>
            <w:tcW w:w="997" w:type="dxa"/>
            <w:vAlign w:val="center"/>
          </w:tcPr>
          <w:p w14:paraId="2BA67FE0">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25</w:t>
            </w:r>
          </w:p>
        </w:tc>
        <w:tc>
          <w:tcPr>
            <w:tcW w:w="997" w:type="dxa"/>
            <w:vAlign w:val="center"/>
          </w:tcPr>
          <w:p w14:paraId="15EC3546">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13</w:t>
            </w:r>
          </w:p>
        </w:tc>
        <w:tc>
          <w:tcPr>
            <w:tcW w:w="997" w:type="dxa"/>
            <w:vAlign w:val="center"/>
          </w:tcPr>
          <w:p w14:paraId="6B4C28DB">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8</w:t>
            </w:r>
          </w:p>
        </w:tc>
        <w:tc>
          <w:tcPr>
            <w:tcW w:w="997" w:type="dxa"/>
            <w:vAlign w:val="center"/>
          </w:tcPr>
          <w:p w14:paraId="3B2A3E2D">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5</w:t>
            </w:r>
          </w:p>
        </w:tc>
        <w:tc>
          <w:tcPr>
            <w:tcW w:w="997" w:type="dxa"/>
            <w:vAlign w:val="center"/>
          </w:tcPr>
          <w:p w14:paraId="47422EAF">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9</w:t>
            </w:r>
          </w:p>
        </w:tc>
        <w:tc>
          <w:tcPr>
            <w:tcW w:w="997" w:type="dxa"/>
            <w:vAlign w:val="center"/>
          </w:tcPr>
          <w:p w14:paraId="7EA41C51">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23</w:t>
            </w:r>
          </w:p>
        </w:tc>
      </w:tr>
      <w:tr w14:paraId="22975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7" w:type="dxa"/>
          </w:tcPr>
          <w:p w14:paraId="53057527">
            <w:pPr>
              <w:spacing w:after="0" w:line="240" w:lineRule="auto"/>
              <w:jc w:val="left"/>
              <w:rPr>
                <w:rFonts w:hint="default" w:ascii="Times New Roman" w:hAnsi="Times New Roman" w:cs="Times New Roman"/>
              </w:rPr>
            </w:pPr>
            <w:r>
              <w:rPr>
                <w:rFonts w:hint="default" w:ascii="Times New Roman" w:hAnsi="Times New Roman" w:eastAsia="Times New Roman" w:cs="Times New Roman"/>
                <w:sz w:val="22"/>
              </w:rPr>
              <w:t>Апрель</w:t>
            </w:r>
          </w:p>
        </w:tc>
        <w:tc>
          <w:tcPr>
            <w:tcW w:w="997" w:type="dxa"/>
            <w:vAlign w:val="center"/>
          </w:tcPr>
          <w:p w14:paraId="024A0E80">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22</w:t>
            </w:r>
          </w:p>
        </w:tc>
        <w:tc>
          <w:tcPr>
            <w:tcW w:w="997" w:type="dxa"/>
            <w:vAlign w:val="center"/>
          </w:tcPr>
          <w:p w14:paraId="2DCE5B8D">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12</w:t>
            </w:r>
          </w:p>
        </w:tc>
        <w:tc>
          <w:tcPr>
            <w:tcW w:w="997" w:type="dxa"/>
            <w:vAlign w:val="center"/>
          </w:tcPr>
          <w:p w14:paraId="3E5D79B5">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4</w:t>
            </w:r>
          </w:p>
        </w:tc>
        <w:tc>
          <w:tcPr>
            <w:tcW w:w="997" w:type="dxa"/>
            <w:vAlign w:val="center"/>
          </w:tcPr>
          <w:p w14:paraId="4A66C0F6">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23</w:t>
            </w:r>
          </w:p>
        </w:tc>
        <w:tc>
          <w:tcPr>
            <w:tcW w:w="997" w:type="dxa"/>
            <w:vAlign w:val="center"/>
          </w:tcPr>
          <w:p w14:paraId="6A5981E5">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17</w:t>
            </w:r>
          </w:p>
        </w:tc>
        <w:tc>
          <w:tcPr>
            <w:tcW w:w="997" w:type="dxa"/>
            <w:vAlign w:val="center"/>
          </w:tcPr>
          <w:p w14:paraId="708EF443">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11</w:t>
            </w:r>
          </w:p>
        </w:tc>
        <w:tc>
          <w:tcPr>
            <w:tcW w:w="997" w:type="dxa"/>
            <w:vAlign w:val="center"/>
          </w:tcPr>
          <w:p w14:paraId="573E7F0C">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4</w:t>
            </w:r>
          </w:p>
        </w:tc>
        <w:tc>
          <w:tcPr>
            <w:tcW w:w="997" w:type="dxa"/>
            <w:vAlign w:val="center"/>
          </w:tcPr>
          <w:p w14:paraId="03E8880C">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7</w:t>
            </w:r>
          </w:p>
        </w:tc>
        <w:tc>
          <w:tcPr>
            <w:tcW w:w="997" w:type="dxa"/>
            <w:vAlign w:val="center"/>
          </w:tcPr>
          <w:p w14:paraId="6A70F3CB">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20</w:t>
            </w:r>
          </w:p>
        </w:tc>
      </w:tr>
      <w:tr w14:paraId="4E30E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7" w:type="dxa"/>
          </w:tcPr>
          <w:p w14:paraId="14055AE6">
            <w:pPr>
              <w:spacing w:after="0" w:line="240" w:lineRule="auto"/>
              <w:jc w:val="left"/>
              <w:rPr>
                <w:rFonts w:hint="default" w:ascii="Times New Roman" w:hAnsi="Times New Roman" w:cs="Times New Roman"/>
              </w:rPr>
            </w:pPr>
            <w:r>
              <w:rPr>
                <w:rFonts w:hint="default" w:ascii="Times New Roman" w:hAnsi="Times New Roman" w:eastAsia="Times New Roman" w:cs="Times New Roman"/>
                <w:sz w:val="22"/>
              </w:rPr>
              <w:t>Май</w:t>
            </w:r>
          </w:p>
        </w:tc>
        <w:tc>
          <w:tcPr>
            <w:tcW w:w="997" w:type="dxa"/>
            <w:vAlign w:val="center"/>
          </w:tcPr>
          <w:p w14:paraId="15354138">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17</w:t>
            </w:r>
          </w:p>
        </w:tc>
        <w:tc>
          <w:tcPr>
            <w:tcW w:w="997" w:type="dxa"/>
            <w:vAlign w:val="center"/>
          </w:tcPr>
          <w:p w14:paraId="2AD7A32F">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8</w:t>
            </w:r>
          </w:p>
        </w:tc>
        <w:tc>
          <w:tcPr>
            <w:tcW w:w="997" w:type="dxa"/>
            <w:vAlign w:val="center"/>
          </w:tcPr>
          <w:p w14:paraId="794E112F">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8</w:t>
            </w:r>
          </w:p>
        </w:tc>
        <w:tc>
          <w:tcPr>
            <w:tcW w:w="997" w:type="dxa"/>
            <w:vAlign w:val="center"/>
          </w:tcPr>
          <w:p w14:paraId="4E4DD8A4">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28</w:t>
            </w:r>
          </w:p>
        </w:tc>
        <w:tc>
          <w:tcPr>
            <w:tcW w:w="997" w:type="dxa"/>
            <w:vAlign w:val="center"/>
          </w:tcPr>
          <w:p w14:paraId="1D2ADFCE">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15</w:t>
            </w:r>
          </w:p>
        </w:tc>
        <w:tc>
          <w:tcPr>
            <w:tcW w:w="997" w:type="dxa"/>
            <w:vAlign w:val="center"/>
          </w:tcPr>
          <w:p w14:paraId="2110A0C5">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9</w:t>
            </w:r>
          </w:p>
        </w:tc>
        <w:tc>
          <w:tcPr>
            <w:tcW w:w="997" w:type="dxa"/>
            <w:vAlign w:val="center"/>
          </w:tcPr>
          <w:p w14:paraId="5F5277A6">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6</w:t>
            </w:r>
          </w:p>
        </w:tc>
        <w:tc>
          <w:tcPr>
            <w:tcW w:w="997" w:type="dxa"/>
            <w:vAlign w:val="center"/>
          </w:tcPr>
          <w:p w14:paraId="2B465AE1">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9</w:t>
            </w:r>
          </w:p>
        </w:tc>
        <w:tc>
          <w:tcPr>
            <w:tcW w:w="997" w:type="dxa"/>
            <w:vAlign w:val="center"/>
          </w:tcPr>
          <w:p w14:paraId="5192C9FE">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19</w:t>
            </w:r>
          </w:p>
        </w:tc>
      </w:tr>
      <w:tr w14:paraId="3A84E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7" w:type="dxa"/>
          </w:tcPr>
          <w:p w14:paraId="681C172C">
            <w:pPr>
              <w:spacing w:after="0" w:line="240" w:lineRule="auto"/>
              <w:jc w:val="left"/>
              <w:rPr>
                <w:rFonts w:hint="default" w:ascii="Times New Roman" w:hAnsi="Times New Roman" w:cs="Times New Roman"/>
              </w:rPr>
            </w:pPr>
            <w:r>
              <w:rPr>
                <w:rFonts w:hint="default" w:ascii="Times New Roman" w:hAnsi="Times New Roman" w:eastAsia="Times New Roman" w:cs="Times New Roman"/>
                <w:sz w:val="22"/>
              </w:rPr>
              <w:t>Июнь</w:t>
            </w:r>
          </w:p>
        </w:tc>
        <w:tc>
          <w:tcPr>
            <w:tcW w:w="997" w:type="dxa"/>
            <w:vAlign w:val="center"/>
          </w:tcPr>
          <w:p w14:paraId="422D8603">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19</w:t>
            </w:r>
          </w:p>
        </w:tc>
        <w:tc>
          <w:tcPr>
            <w:tcW w:w="997" w:type="dxa"/>
            <w:vAlign w:val="center"/>
          </w:tcPr>
          <w:p w14:paraId="51FD7713">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9</w:t>
            </w:r>
          </w:p>
        </w:tc>
        <w:tc>
          <w:tcPr>
            <w:tcW w:w="997" w:type="dxa"/>
            <w:vAlign w:val="center"/>
          </w:tcPr>
          <w:p w14:paraId="1B71BE6C">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9</w:t>
            </w:r>
          </w:p>
        </w:tc>
        <w:tc>
          <w:tcPr>
            <w:tcW w:w="997" w:type="dxa"/>
            <w:vAlign w:val="center"/>
          </w:tcPr>
          <w:p w14:paraId="6632A88C">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29</w:t>
            </w:r>
          </w:p>
        </w:tc>
        <w:tc>
          <w:tcPr>
            <w:tcW w:w="997" w:type="dxa"/>
            <w:vAlign w:val="center"/>
          </w:tcPr>
          <w:p w14:paraId="799F5B75">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19</w:t>
            </w:r>
          </w:p>
        </w:tc>
        <w:tc>
          <w:tcPr>
            <w:tcW w:w="997" w:type="dxa"/>
            <w:vAlign w:val="center"/>
          </w:tcPr>
          <w:p w14:paraId="5FA20264">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7</w:t>
            </w:r>
          </w:p>
        </w:tc>
        <w:tc>
          <w:tcPr>
            <w:tcW w:w="997" w:type="dxa"/>
            <w:vAlign w:val="center"/>
          </w:tcPr>
          <w:p w14:paraId="0C01AADD">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3</w:t>
            </w:r>
          </w:p>
        </w:tc>
        <w:tc>
          <w:tcPr>
            <w:tcW w:w="997" w:type="dxa"/>
            <w:vAlign w:val="center"/>
          </w:tcPr>
          <w:p w14:paraId="11F1C4E6">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5</w:t>
            </w:r>
          </w:p>
        </w:tc>
        <w:tc>
          <w:tcPr>
            <w:tcW w:w="997" w:type="dxa"/>
            <w:vAlign w:val="center"/>
          </w:tcPr>
          <w:p w14:paraId="5D752622">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23</w:t>
            </w:r>
          </w:p>
        </w:tc>
      </w:tr>
      <w:tr w14:paraId="28332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7" w:type="dxa"/>
          </w:tcPr>
          <w:p w14:paraId="26212353">
            <w:pPr>
              <w:spacing w:after="0" w:line="240" w:lineRule="auto"/>
              <w:jc w:val="left"/>
              <w:rPr>
                <w:rFonts w:hint="default" w:ascii="Times New Roman" w:hAnsi="Times New Roman" w:cs="Times New Roman"/>
              </w:rPr>
            </w:pPr>
            <w:r>
              <w:rPr>
                <w:rFonts w:hint="default" w:ascii="Times New Roman" w:hAnsi="Times New Roman" w:eastAsia="Times New Roman" w:cs="Times New Roman"/>
                <w:sz w:val="22"/>
              </w:rPr>
              <w:t>Июль</w:t>
            </w:r>
          </w:p>
        </w:tc>
        <w:tc>
          <w:tcPr>
            <w:tcW w:w="997" w:type="dxa"/>
            <w:vAlign w:val="center"/>
          </w:tcPr>
          <w:p w14:paraId="5E920287">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22</w:t>
            </w:r>
          </w:p>
        </w:tc>
        <w:tc>
          <w:tcPr>
            <w:tcW w:w="997" w:type="dxa"/>
            <w:vAlign w:val="center"/>
          </w:tcPr>
          <w:p w14:paraId="26425D1A">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8</w:t>
            </w:r>
          </w:p>
        </w:tc>
        <w:tc>
          <w:tcPr>
            <w:tcW w:w="997" w:type="dxa"/>
            <w:vAlign w:val="center"/>
          </w:tcPr>
          <w:p w14:paraId="79F55815">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5</w:t>
            </w:r>
          </w:p>
        </w:tc>
        <w:tc>
          <w:tcPr>
            <w:tcW w:w="997" w:type="dxa"/>
            <w:vAlign w:val="center"/>
          </w:tcPr>
          <w:p w14:paraId="7C7C9CCA">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26</w:t>
            </w:r>
          </w:p>
        </w:tc>
        <w:tc>
          <w:tcPr>
            <w:tcW w:w="997" w:type="dxa"/>
            <w:vAlign w:val="center"/>
          </w:tcPr>
          <w:p w14:paraId="3271B569">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16</w:t>
            </w:r>
          </w:p>
        </w:tc>
        <w:tc>
          <w:tcPr>
            <w:tcW w:w="997" w:type="dxa"/>
            <w:vAlign w:val="center"/>
          </w:tcPr>
          <w:p w14:paraId="78B8CE6C">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9</w:t>
            </w:r>
          </w:p>
        </w:tc>
        <w:tc>
          <w:tcPr>
            <w:tcW w:w="997" w:type="dxa"/>
            <w:vAlign w:val="center"/>
          </w:tcPr>
          <w:p w14:paraId="344C1B90">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6</w:t>
            </w:r>
          </w:p>
        </w:tc>
        <w:tc>
          <w:tcPr>
            <w:tcW w:w="997" w:type="dxa"/>
            <w:vAlign w:val="center"/>
          </w:tcPr>
          <w:p w14:paraId="6A6C66D6">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8</w:t>
            </w:r>
          </w:p>
        </w:tc>
        <w:tc>
          <w:tcPr>
            <w:tcW w:w="997" w:type="dxa"/>
            <w:vAlign w:val="center"/>
          </w:tcPr>
          <w:p w14:paraId="4280DCA6">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26</w:t>
            </w:r>
          </w:p>
        </w:tc>
      </w:tr>
      <w:tr w14:paraId="29644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7" w:type="dxa"/>
          </w:tcPr>
          <w:p w14:paraId="137901D3">
            <w:pPr>
              <w:spacing w:after="0" w:line="240" w:lineRule="auto"/>
              <w:jc w:val="left"/>
              <w:rPr>
                <w:rFonts w:hint="default" w:ascii="Times New Roman" w:hAnsi="Times New Roman" w:cs="Times New Roman"/>
              </w:rPr>
            </w:pPr>
            <w:r>
              <w:rPr>
                <w:rFonts w:hint="default" w:ascii="Times New Roman" w:hAnsi="Times New Roman" w:eastAsia="Times New Roman" w:cs="Times New Roman"/>
                <w:sz w:val="22"/>
              </w:rPr>
              <w:t>Август</w:t>
            </w:r>
          </w:p>
        </w:tc>
        <w:tc>
          <w:tcPr>
            <w:tcW w:w="997" w:type="dxa"/>
            <w:vAlign w:val="center"/>
          </w:tcPr>
          <w:p w14:paraId="244763C0">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16</w:t>
            </w:r>
          </w:p>
        </w:tc>
        <w:tc>
          <w:tcPr>
            <w:tcW w:w="997" w:type="dxa"/>
            <w:vAlign w:val="center"/>
          </w:tcPr>
          <w:p w14:paraId="6AF14674">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7</w:t>
            </w:r>
          </w:p>
        </w:tc>
        <w:tc>
          <w:tcPr>
            <w:tcW w:w="997" w:type="dxa"/>
            <w:vAlign w:val="center"/>
          </w:tcPr>
          <w:p w14:paraId="18D2BB23">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10</w:t>
            </w:r>
          </w:p>
        </w:tc>
        <w:tc>
          <w:tcPr>
            <w:tcW w:w="997" w:type="dxa"/>
            <w:vAlign w:val="center"/>
          </w:tcPr>
          <w:p w14:paraId="09962B4C">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35</w:t>
            </w:r>
          </w:p>
        </w:tc>
        <w:tc>
          <w:tcPr>
            <w:tcW w:w="997" w:type="dxa"/>
            <w:vAlign w:val="center"/>
          </w:tcPr>
          <w:p w14:paraId="2A11BF45">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16</w:t>
            </w:r>
          </w:p>
        </w:tc>
        <w:tc>
          <w:tcPr>
            <w:tcW w:w="997" w:type="dxa"/>
            <w:vAlign w:val="center"/>
          </w:tcPr>
          <w:p w14:paraId="2DBE149F">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8</w:t>
            </w:r>
          </w:p>
        </w:tc>
        <w:tc>
          <w:tcPr>
            <w:tcW w:w="997" w:type="dxa"/>
            <w:vAlign w:val="center"/>
          </w:tcPr>
          <w:p w14:paraId="3B874F96">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3</w:t>
            </w:r>
          </w:p>
        </w:tc>
        <w:tc>
          <w:tcPr>
            <w:tcW w:w="997" w:type="dxa"/>
            <w:vAlign w:val="center"/>
          </w:tcPr>
          <w:p w14:paraId="3C1CF42B">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5</w:t>
            </w:r>
          </w:p>
        </w:tc>
        <w:tc>
          <w:tcPr>
            <w:tcW w:w="997" w:type="dxa"/>
            <w:vAlign w:val="center"/>
          </w:tcPr>
          <w:p w14:paraId="62B5DD2A">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18</w:t>
            </w:r>
          </w:p>
        </w:tc>
      </w:tr>
      <w:tr w14:paraId="2816C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7" w:type="dxa"/>
          </w:tcPr>
          <w:p w14:paraId="285137AD">
            <w:pPr>
              <w:spacing w:after="0" w:line="240" w:lineRule="auto"/>
              <w:jc w:val="left"/>
              <w:rPr>
                <w:rFonts w:hint="default" w:ascii="Times New Roman" w:hAnsi="Times New Roman" w:cs="Times New Roman"/>
              </w:rPr>
            </w:pPr>
            <w:r>
              <w:rPr>
                <w:rFonts w:hint="default" w:ascii="Times New Roman" w:hAnsi="Times New Roman" w:eastAsia="Times New Roman" w:cs="Times New Roman"/>
                <w:sz w:val="22"/>
              </w:rPr>
              <w:t>Сентябрь</w:t>
            </w:r>
          </w:p>
        </w:tc>
        <w:tc>
          <w:tcPr>
            <w:tcW w:w="997" w:type="dxa"/>
            <w:vAlign w:val="center"/>
          </w:tcPr>
          <w:p w14:paraId="53B81E8A">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19</w:t>
            </w:r>
          </w:p>
        </w:tc>
        <w:tc>
          <w:tcPr>
            <w:tcW w:w="997" w:type="dxa"/>
            <w:vAlign w:val="center"/>
          </w:tcPr>
          <w:p w14:paraId="01BD9679">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9</w:t>
            </w:r>
          </w:p>
        </w:tc>
        <w:tc>
          <w:tcPr>
            <w:tcW w:w="997" w:type="dxa"/>
            <w:vAlign w:val="center"/>
          </w:tcPr>
          <w:p w14:paraId="26F89068">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6</w:t>
            </w:r>
          </w:p>
        </w:tc>
        <w:tc>
          <w:tcPr>
            <w:tcW w:w="997" w:type="dxa"/>
            <w:vAlign w:val="center"/>
          </w:tcPr>
          <w:p w14:paraId="07E325AC">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33</w:t>
            </w:r>
          </w:p>
        </w:tc>
        <w:tc>
          <w:tcPr>
            <w:tcW w:w="997" w:type="dxa"/>
            <w:vAlign w:val="center"/>
          </w:tcPr>
          <w:p w14:paraId="6785B34A">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14</w:t>
            </w:r>
          </w:p>
        </w:tc>
        <w:tc>
          <w:tcPr>
            <w:tcW w:w="997" w:type="dxa"/>
            <w:vAlign w:val="center"/>
          </w:tcPr>
          <w:p w14:paraId="2F03B25C">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7</w:t>
            </w:r>
          </w:p>
        </w:tc>
        <w:tc>
          <w:tcPr>
            <w:tcW w:w="997" w:type="dxa"/>
            <w:vAlign w:val="center"/>
          </w:tcPr>
          <w:p w14:paraId="57D19597">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6</w:t>
            </w:r>
          </w:p>
        </w:tc>
        <w:tc>
          <w:tcPr>
            <w:tcW w:w="997" w:type="dxa"/>
            <w:vAlign w:val="center"/>
          </w:tcPr>
          <w:p w14:paraId="2D5F6C3E">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6</w:t>
            </w:r>
          </w:p>
        </w:tc>
        <w:tc>
          <w:tcPr>
            <w:tcW w:w="997" w:type="dxa"/>
            <w:vAlign w:val="center"/>
          </w:tcPr>
          <w:p w14:paraId="22427EA1">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25</w:t>
            </w:r>
          </w:p>
        </w:tc>
      </w:tr>
      <w:tr w14:paraId="286DE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7" w:type="dxa"/>
          </w:tcPr>
          <w:p w14:paraId="4631355F">
            <w:pPr>
              <w:spacing w:after="0" w:line="240" w:lineRule="auto"/>
              <w:jc w:val="left"/>
              <w:rPr>
                <w:rFonts w:hint="default" w:ascii="Times New Roman" w:hAnsi="Times New Roman" w:cs="Times New Roman"/>
              </w:rPr>
            </w:pPr>
            <w:r>
              <w:rPr>
                <w:rFonts w:hint="default" w:ascii="Times New Roman" w:hAnsi="Times New Roman" w:eastAsia="Times New Roman" w:cs="Times New Roman"/>
                <w:sz w:val="22"/>
              </w:rPr>
              <w:t>Октябрь</w:t>
            </w:r>
          </w:p>
        </w:tc>
        <w:tc>
          <w:tcPr>
            <w:tcW w:w="997" w:type="dxa"/>
            <w:vAlign w:val="center"/>
          </w:tcPr>
          <w:p w14:paraId="687C9DA2">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24</w:t>
            </w:r>
          </w:p>
        </w:tc>
        <w:tc>
          <w:tcPr>
            <w:tcW w:w="997" w:type="dxa"/>
            <w:vAlign w:val="center"/>
          </w:tcPr>
          <w:p w14:paraId="2F126F6D">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10</w:t>
            </w:r>
          </w:p>
        </w:tc>
        <w:tc>
          <w:tcPr>
            <w:tcW w:w="997" w:type="dxa"/>
            <w:vAlign w:val="center"/>
          </w:tcPr>
          <w:p w14:paraId="3546292B">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7</w:t>
            </w:r>
          </w:p>
        </w:tc>
        <w:tc>
          <w:tcPr>
            <w:tcW w:w="997" w:type="dxa"/>
            <w:vAlign w:val="center"/>
          </w:tcPr>
          <w:p w14:paraId="41AF5EC8">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26</w:t>
            </w:r>
          </w:p>
        </w:tc>
        <w:tc>
          <w:tcPr>
            <w:tcW w:w="997" w:type="dxa"/>
            <w:vAlign w:val="center"/>
          </w:tcPr>
          <w:p w14:paraId="58178FE2">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15</w:t>
            </w:r>
          </w:p>
        </w:tc>
        <w:tc>
          <w:tcPr>
            <w:tcW w:w="997" w:type="dxa"/>
            <w:vAlign w:val="center"/>
          </w:tcPr>
          <w:p w14:paraId="0791FDD9">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7</w:t>
            </w:r>
          </w:p>
        </w:tc>
        <w:tc>
          <w:tcPr>
            <w:tcW w:w="997" w:type="dxa"/>
            <w:vAlign w:val="center"/>
          </w:tcPr>
          <w:p w14:paraId="6B6F6B26">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5</w:t>
            </w:r>
          </w:p>
        </w:tc>
        <w:tc>
          <w:tcPr>
            <w:tcW w:w="997" w:type="dxa"/>
            <w:vAlign w:val="center"/>
          </w:tcPr>
          <w:p w14:paraId="61EC2D48">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6</w:t>
            </w:r>
          </w:p>
        </w:tc>
        <w:tc>
          <w:tcPr>
            <w:tcW w:w="997" w:type="dxa"/>
            <w:vAlign w:val="center"/>
          </w:tcPr>
          <w:p w14:paraId="5BAC31C5">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33</w:t>
            </w:r>
          </w:p>
        </w:tc>
      </w:tr>
      <w:tr w14:paraId="161AF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7" w:type="dxa"/>
          </w:tcPr>
          <w:p w14:paraId="3387080B">
            <w:pPr>
              <w:spacing w:after="0" w:line="240" w:lineRule="auto"/>
              <w:jc w:val="left"/>
              <w:rPr>
                <w:rFonts w:hint="default" w:ascii="Times New Roman" w:hAnsi="Times New Roman" w:cs="Times New Roman"/>
              </w:rPr>
            </w:pPr>
            <w:r>
              <w:rPr>
                <w:rFonts w:hint="default" w:ascii="Times New Roman" w:hAnsi="Times New Roman" w:eastAsia="Times New Roman" w:cs="Times New Roman"/>
                <w:sz w:val="22"/>
              </w:rPr>
              <w:t>Ноябрь</w:t>
            </w:r>
          </w:p>
        </w:tc>
        <w:tc>
          <w:tcPr>
            <w:tcW w:w="997" w:type="dxa"/>
            <w:vAlign w:val="center"/>
          </w:tcPr>
          <w:p w14:paraId="5B674F9C">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24</w:t>
            </w:r>
          </w:p>
        </w:tc>
        <w:tc>
          <w:tcPr>
            <w:tcW w:w="997" w:type="dxa"/>
            <w:vAlign w:val="center"/>
          </w:tcPr>
          <w:p w14:paraId="2673947C">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10</w:t>
            </w:r>
          </w:p>
        </w:tc>
        <w:tc>
          <w:tcPr>
            <w:tcW w:w="997" w:type="dxa"/>
            <w:vAlign w:val="center"/>
          </w:tcPr>
          <w:p w14:paraId="403CD48B">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3</w:t>
            </w:r>
          </w:p>
        </w:tc>
        <w:tc>
          <w:tcPr>
            <w:tcW w:w="997" w:type="dxa"/>
            <w:vAlign w:val="center"/>
          </w:tcPr>
          <w:p w14:paraId="266979FA">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18</w:t>
            </w:r>
          </w:p>
        </w:tc>
        <w:tc>
          <w:tcPr>
            <w:tcW w:w="997" w:type="dxa"/>
            <w:vAlign w:val="center"/>
          </w:tcPr>
          <w:p w14:paraId="11007684">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15</w:t>
            </w:r>
          </w:p>
        </w:tc>
        <w:tc>
          <w:tcPr>
            <w:tcW w:w="997" w:type="dxa"/>
            <w:vAlign w:val="center"/>
          </w:tcPr>
          <w:p w14:paraId="394D44FC">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12</w:t>
            </w:r>
          </w:p>
        </w:tc>
        <w:tc>
          <w:tcPr>
            <w:tcW w:w="997" w:type="dxa"/>
            <w:vAlign w:val="center"/>
          </w:tcPr>
          <w:p w14:paraId="2D238702">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9</w:t>
            </w:r>
          </w:p>
        </w:tc>
        <w:tc>
          <w:tcPr>
            <w:tcW w:w="997" w:type="dxa"/>
            <w:vAlign w:val="center"/>
          </w:tcPr>
          <w:p w14:paraId="5EC1EE67">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9</w:t>
            </w:r>
          </w:p>
        </w:tc>
        <w:tc>
          <w:tcPr>
            <w:tcW w:w="997" w:type="dxa"/>
            <w:vAlign w:val="center"/>
          </w:tcPr>
          <w:p w14:paraId="306DD4D5">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34</w:t>
            </w:r>
          </w:p>
        </w:tc>
      </w:tr>
      <w:tr w14:paraId="42AAE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7" w:type="dxa"/>
          </w:tcPr>
          <w:p w14:paraId="7BF836B4">
            <w:pPr>
              <w:spacing w:after="0" w:line="240" w:lineRule="auto"/>
              <w:jc w:val="left"/>
              <w:rPr>
                <w:rFonts w:hint="default" w:ascii="Times New Roman" w:hAnsi="Times New Roman" w:cs="Times New Roman"/>
              </w:rPr>
            </w:pPr>
            <w:r>
              <w:rPr>
                <w:rFonts w:hint="default" w:ascii="Times New Roman" w:hAnsi="Times New Roman" w:eastAsia="Times New Roman" w:cs="Times New Roman"/>
                <w:sz w:val="22"/>
              </w:rPr>
              <w:t>Декабрь</w:t>
            </w:r>
          </w:p>
        </w:tc>
        <w:tc>
          <w:tcPr>
            <w:tcW w:w="997" w:type="dxa"/>
            <w:vAlign w:val="center"/>
          </w:tcPr>
          <w:p w14:paraId="18F4238C">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31</w:t>
            </w:r>
          </w:p>
        </w:tc>
        <w:tc>
          <w:tcPr>
            <w:tcW w:w="997" w:type="dxa"/>
            <w:vAlign w:val="center"/>
          </w:tcPr>
          <w:p w14:paraId="33FC33BC">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11</w:t>
            </w:r>
          </w:p>
        </w:tc>
        <w:tc>
          <w:tcPr>
            <w:tcW w:w="997" w:type="dxa"/>
            <w:vAlign w:val="center"/>
          </w:tcPr>
          <w:p w14:paraId="1A3D2B87">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4</w:t>
            </w:r>
          </w:p>
        </w:tc>
        <w:tc>
          <w:tcPr>
            <w:tcW w:w="997" w:type="dxa"/>
            <w:vAlign w:val="center"/>
          </w:tcPr>
          <w:p w14:paraId="537A7C19">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14</w:t>
            </w:r>
          </w:p>
        </w:tc>
        <w:tc>
          <w:tcPr>
            <w:tcW w:w="997" w:type="dxa"/>
            <w:vAlign w:val="center"/>
          </w:tcPr>
          <w:p w14:paraId="753530D1">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11</w:t>
            </w:r>
          </w:p>
        </w:tc>
        <w:tc>
          <w:tcPr>
            <w:tcW w:w="997" w:type="dxa"/>
            <w:vAlign w:val="center"/>
          </w:tcPr>
          <w:p w14:paraId="7A97FBBC">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13</w:t>
            </w:r>
          </w:p>
        </w:tc>
        <w:tc>
          <w:tcPr>
            <w:tcW w:w="997" w:type="dxa"/>
            <w:vAlign w:val="center"/>
          </w:tcPr>
          <w:p w14:paraId="55621573">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7</w:t>
            </w:r>
          </w:p>
        </w:tc>
        <w:tc>
          <w:tcPr>
            <w:tcW w:w="997" w:type="dxa"/>
            <w:vAlign w:val="center"/>
          </w:tcPr>
          <w:p w14:paraId="52FB002F">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9</w:t>
            </w:r>
          </w:p>
        </w:tc>
        <w:tc>
          <w:tcPr>
            <w:tcW w:w="997" w:type="dxa"/>
            <w:vAlign w:val="center"/>
          </w:tcPr>
          <w:p w14:paraId="5FD331E2">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45</w:t>
            </w:r>
          </w:p>
        </w:tc>
      </w:tr>
      <w:tr w14:paraId="6F81E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7" w:type="dxa"/>
          </w:tcPr>
          <w:p w14:paraId="6E8DB6AE">
            <w:pPr>
              <w:spacing w:after="0" w:line="240" w:lineRule="auto"/>
              <w:jc w:val="left"/>
              <w:rPr>
                <w:rFonts w:hint="default" w:ascii="Times New Roman" w:hAnsi="Times New Roman" w:cs="Times New Roman"/>
              </w:rPr>
            </w:pPr>
            <w:r>
              <w:rPr>
                <w:rFonts w:hint="default" w:ascii="Times New Roman" w:hAnsi="Times New Roman" w:eastAsia="Times New Roman" w:cs="Times New Roman"/>
                <w:sz w:val="22"/>
              </w:rPr>
              <w:t>Год</w:t>
            </w:r>
          </w:p>
        </w:tc>
        <w:tc>
          <w:tcPr>
            <w:tcW w:w="997" w:type="dxa"/>
            <w:vAlign w:val="center"/>
          </w:tcPr>
          <w:p w14:paraId="5EE811C2">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23</w:t>
            </w:r>
          </w:p>
        </w:tc>
        <w:tc>
          <w:tcPr>
            <w:tcW w:w="997" w:type="dxa"/>
            <w:vAlign w:val="center"/>
          </w:tcPr>
          <w:p w14:paraId="7980C514">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9</w:t>
            </w:r>
          </w:p>
        </w:tc>
        <w:tc>
          <w:tcPr>
            <w:tcW w:w="997" w:type="dxa"/>
            <w:vAlign w:val="center"/>
          </w:tcPr>
          <w:p w14:paraId="4A4C5103">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6</w:t>
            </w:r>
          </w:p>
        </w:tc>
        <w:tc>
          <w:tcPr>
            <w:tcW w:w="997" w:type="dxa"/>
            <w:vAlign w:val="center"/>
          </w:tcPr>
          <w:p w14:paraId="734B6B79">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24</w:t>
            </w:r>
          </w:p>
        </w:tc>
        <w:tc>
          <w:tcPr>
            <w:tcW w:w="997" w:type="dxa"/>
            <w:vAlign w:val="center"/>
          </w:tcPr>
          <w:p w14:paraId="3C91F82D">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15</w:t>
            </w:r>
          </w:p>
        </w:tc>
        <w:tc>
          <w:tcPr>
            <w:tcW w:w="997" w:type="dxa"/>
            <w:vAlign w:val="center"/>
          </w:tcPr>
          <w:p w14:paraId="548C86F2">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9</w:t>
            </w:r>
          </w:p>
        </w:tc>
        <w:tc>
          <w:tcPr>
            <w:tcW w:w="997" w:type="dxa"/>
            <w:vAlign w:val="center"/>
          </w:tcPr>
          <w:p w14:paraId="395D8605">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6</w:t>
            </w:r>
          </w:p>
        </w:tc>
        <w:tc>
          <w:tcPr>
            <w:tcW w:w="997" w:type="dxa"/>
            <w:vAlign w:val="center"/>
          </w:tcPr>
          <w:p w14:paraId="3B28FFCC">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8</w:t>
            </w:r>
          </w:p>
        </w:tc>
        <w:tc>
          <w:tcPr>
            <w:tcW w:w="997" w:type="dxa"/>
            <w:vAlign w:val="center"/>
          </w:tcPr>
          <w:p w14:paraId="51693B2F">
            <w:pPr>
              <w:spacing w:after="0" w:line="240" w:lineRule="auto"/>
              <w:jc w:val="center"/>
              <w:rPr>
                <w:rFonts w:hint="default" w:ascii="Times New Roman" w:hAnsi="Times New Roman" w:cs="Times New Roman"/>
              </w:rPr>
            </w:pPr>
            <w:r>
              <w:rPr>
                <w:rFonts w:hint="default" w:ascii="Times New Roman" w:hAnsi="Times New Roman" w:eastAsia="Times New Roman" w:cs="Times New Roman"/>
                <w:sz w:val="22"/>
              </w:rPr>
              <w:t>28</w:t>
            </w:r>
          </w:p>
        </w:tc>
      </w:tr>
    </w:tbl>
    <w:p w14:paraId="71D5714B">
      <w:pPr>
        <w:spacing w:after="120"/>
        <w:ind w:firstLine="567"/>
        <w:jc w:val="both"/>
        <w:rPr>
          <w:rFonts w:hint="default" w:ascii="Times New Roman" w:hAnsi="Times New Roman" w:cs="Times New Roman"/>
          <w:b w:val="0"/>
          <w:sz w:val="24"/>
        </w:rPr>
      </w:pPr>
    </w:p>
    <w:p w14:paraId="671DEE45">
      <w:pPr>
        <w:pStyle w:val="3"/>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lang w:val="ru-RU"/>
        </w:rPr>
      </w:pPr>
      <w:r>
        <w:rPr>
          <w:rFonts w:hint="default" w:ascii="Times New Roman" w:hAnsi="Times New Roman" w:cs="Times New Roman"/>
          <w:sz w:val="24"/>
          <w:szCs w:val="24"/>
        </w:rPr>
        <w:br w:type="page"/>
      </w:r>
      <w:r>
        <w:rPr>
          <w:rFonts w:hint="default" w:ascii="Times New Roman" w:hAnsi="Times New Roman" w:cs="Times New Roman"/>
          <w:b/>
          <w:bCs/>
          <w:sz w:val="24"/>
          <w:szCs w:val="24"/>
          <w:lang w:val="ru-RU"/>
        </w:rPr>
        <w:t>5 ВОЗДЕЙСТВИЕ НА АТМОСФЕРНЫЙ ВОЗДУХ</w:t>
      </w:r>
    </w:p>
    <w:bookmarkEnd w:id="10"/>
    <w:p w14:paraId="0E7E8FD4">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b/>
          <w:bCs/>
          <w:sz w:val="24"/>
          <w:szCs w:val="24"/>
        </w:rPr>
      </w:pPr>
      <w:bookmarkStart w:id="11" w:name="воздействие-на-атмосферный-воздух"/>
    </w:p>
    <w:p w14:paraId="7A69D266">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5.1 Источники выбросов и их воздействие.</w:t>
      </w:r>
      <w:r>
        <w:rPr>
          <w:rFonts w:hint="default" w:ascii="Times New Roman" w:hAnsi="Times New Roman" w:cs="Times New Roman"/>
          <w:sz w:val="24"/>
          <w:szCs w:val="24"/>
        </w:rPr>
        <w:t xml:space="preserve"> Стационарные источники выбросов загрязняющих веществ на площадке </w:t>
      </w:r>
      <w:r>
        <w:rPr>
          <w:rFonts w:hint="default" w:ascii="Times New Roman" w:hAnsi="Times New Roman" w:cs="Times New Roman"/>
          <w:b/>
          <w:bCs/>
          <w:sz w:val="24"/>
          <w:szCs w:val="24"/>
        </w:rPr>
        <w:t>отсутствуют</w:t>
      </w:r>
      <w:r>
        <w:rPr>
          <w:rFonts w:hint="default" w:ascii="Times New Roman" w:hAnsi="Times New Roman" w:cs="Times New Roman"/>
          <w:sz w:val="24"/>
          <w:szCs w:val="24"/>
        </w:rPr>
        <w:t xml:space="preserve">. В эксплуатации объекта не используются какие-либо топливосжигающие установки, технологические нагревательные процессы или растворители, которые могли бы быть источниками вредных веществ. Потенциальное воздействие на атмосферный воздух связано только с передвижными источниками – автотранспортом, заезжающим на территорию, – а также с незначительным запылением воздуха при движении транспорта по щебеночному покрытию и выполнении погрузочно-разгрузочных операций. Эти воздействия носят эпизодический кратковременный характер и отличаются малой интенсивностью. Выбросы от выхлопных газов автотранспорта (двигатели стандартов Евро) оцениваются как минимальные и локальные, а пыление ограничивается непосредственной зоной работы (пыль оседает в пределах площадки). </w:t>
      </w:r>
      <w:r>
        <w:rPr>
          <w:rFonts w:hint="default" w:ascii="Times New Roman" w:hAnsi="Times New Roman" w:cs="Times New Roman"/>
          <w:b/>
          <w:bCs/>
          <w:sz w:val="24"/>
          <w:szCs w:val="24"/>
        </w:rPr>
        <w:t>Максимальные приземные концентрации</w:t>
      </w:r>
      <w:r>
        <w:rPr>
          <w:rFonts w:hint="default" w:ascii="Times New Roman" w:hAnsi="Times New Roman" w:cs="Times New Roman"/>
          <w:sz w:val="24"/>
          <w:szCs w:val="24"/>
        </w:rPr>
        <w:t xml:space="preserve"> загрязняющих веществ за пределами площадки не формируются, так как нет организованных выбросов; общее влияние на фон городского воздуха пренебрежимо мало.</w:t>
      </w:r>
    </w:p>
    <w:p w14:paraId="678939A6">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Следует отметить, что автотранспорт на площадке относится к </w:t>
      </w:r>
      <w:r>
        <w:rPr>
          <w:rFonts w:hint="default" w:ascii="Times New Roman" w:hAnsi="Times New Roman" w:cs="Times New Roman"/>
          <w:b/>
          <w:bCs/>
          <w:sz w:val="24"/>
          <w:szCs w:val="24"/>
        </w:rPr>
        <w:t>перемещающимся (нестационарным) источникам</w:t>
      </w:r>
      <w:r>
        <w:rPr>
          <w:rFonts w:hint="default" w:ascii="Times New Roman" w:hAnsi="Times New Roman" w:cs="Times New Roman"/>
          <w:sz w:val="24"/>
          <w:szCs w:val="24"/>
        </w:rPr>
        <w:t>, для которых нормативы устанавливаются по общим требованиям (ст. 202 ЭК РК). С уч</w:t>
      </w:r>
      <w:r>
        <w:rPr>
          <w:rFonts w:hint="default" w:ascii="Times New Roman" w:hAnsi="Times New Roman" w:cs="Times New Roman"/>
          <w:sz w:val="24"/>
          <w:szCs w:val="24"/>
          <w:lang w:val="ru-RU"/>
        </w:rPr>
        <w:t>е</w:t>
      </w:r>
      <w:r>
        <w:rPr>
          <w:rFonts w:hint="default" w:ascii="Times New Roman" w:hAnsi="Times New Roman" w:cs="Times New Roman"/>
          <w:sz w:val="24"/>
          <w:szCs w:val="24"/>
        </w:rPr>
        <w:t>том отсутствия стационарных источников можно сделать вывод, что качество атмосферного воздуха в районе объекта определяется в основном фоновыми загрязнениями городского воздуха и другими промышленными объектами района. В непосредственной же зоне объекта (площадка и прилегающая территория) состояние воздушной среды оценивается как удовлетворительное; превышений ПДК вредных веществ в воздухе не ожидается.</w:t>
      </w:r>
    </w:p>
    <w:p w14:paraId="2A275F68">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5.2 Мероприятия по уменьшению выбросов.</w:t>
      </w:r>
      <w:r>
        <w:rPr>
          <w:rFonts w:hint="default" w:ascii="Times New Roman" w:hAnsi="Times New Roman" w:cs="Times New Roman"/>
          <w:sz w:val="24"/>
          <w:szCs w:val="24"/>
        </w:rPr>
        <w:t xml:space="preserve"> Несмотря на незначительное воздействие объекта на атмосферу, на площадке предусмотрен ряд мероприятий, направленных на дополнительное снижение выбросов пыли и выхлопных газов:</w:t>
      </w:r>
    </w:p>
    <w:p w14:paraId="45545DFC">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Ограничение скорости движения</w:t>
      </w:r>
      <w:r>
        <w:rPr>
          <w:rFonts w:hint="default" w:ascii="Times New Roman" w:hAnsi="Times New Roman" w:cs="Times New Roman"/>
          <w:sz w:val="24"/>
          <w:szCs w:val="24"/>
        </w:rPr>
        <w:t xml:space="preserve"> автотранспорта по территории до 5–10 км/ч (уменьшение пылеобразования и снижения выбросов от двигателей при резком разгоне).</w:t>
      </w:r>
    </w:p>
    <w:p w14:paraId="45E3FA0C">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Регулярная уборка</w:t>
      </w:r>
      <w:r>
        <w:rPr>
          <w:rFonts w:hint="default" w:ascii="Times New Roman" w:hAnsi="Times New Roman" w:cs="Times New Roman"/>
          <w:sz w:val="24"/>
          <w:szCs w:val="24"/>
        </w:rPr>
        <w:t xml:space="preserve"> территории от мусора и мелких фракций, способных пылить; поддержание чистоты покрытия.</w:t>
      </w:r>
    </w:p>
    <w:p w14:paraId="282047DE">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Увлажнение покрытия</w:t>
      </w:r>
      <w:r>
        <w:rPr>
          <w:rFonts w:hint="default" w:ascii="Times New Roman" w:hAnsi="Times New Roman" w:cs="Times New Roman"/>
          <w:sz w:val="24"/>
          <w:szCs w:val="24"/>
        </w:rPr>
        <w:t xml:space="preserve"> при необходимости в сухую и ветреную погоду (полив щебёночного настила для подавления пыли).</w:t>
      </w:r>
    </w:p>
    <w:p w14:paraId="58C6BD48">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Запрет длительной работы двигателей на холостом ходу</w:t>
      </w:r>
      <w:r>
        <w:rPr>
          <w:rFonts w:hint="default" w:ascii="Times New Roman" w:hAnsi="Times New Roman" w:cs="Times New Roman"/>
          <w:sz w:val="24"/>
          <w:szCs w:val="24"/>
        </w:rPr>
        <w:t xml:space="preserve"> во время погрузочно-разгрузочных операций или стоянки транспорта на территории.</w:t>
      </w:r>
    </w:p>
    <w:p w14:paraId="140097E3">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Реализация указанных мер позволит свести к минимуму кратковременные выбросы пыли и выхлопных газов, обеспечив соблюдение гигиенических нормативов качества воздуха на границе санитарно-защитной зоны. Специальных систем очистки выбросов на объекте не требуется ввиду отсутствия организованных источников.</w:t>
      </w:r>
    </w:p>
    <w:p w14:paraId="12FADCD1">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lang w:val="ru-RU"/>
        </w:rPr>
      </w:pPr>
      <w:r>
        <w:rPr>
          <w:rFonts w:hint="default" w:ascii="Times New Roman" w:hAnsi="Times New Roman" w:cs="Times New Roman"/>
          <w:sz w:val="24"/>
          <w:szCs w:val="24"/>
        </w:rPr>
        <w:br w:type="page"/>
      </w:r>
      <w:r>
        <w:rPr>
          <w:rFonts w:hint="default" w:ascii="Times New Roman" w:hAnsi="Times New Roman" w:cs="Times New Roman"/>
          <w:b/>
          <w:bCs/>
          <w:sz w:val="24"/>
          <w:szCs w:val="24"/>
          <w:lang w:val="ru-RU"/>
        </w:rPr>
        <w:t>6 ОЦЕНКА ВЛИЯНИЯ НА ПОВЕРХНОСТНЫЕ И ПОДЗЕМНЫЕ ВОДЫ</w:t>
      </w:r>
    </w:p>
    <w:bookmarkEnd w:id="11"/>
    <w:p w14:paraId="1614CD47">
      <w:pPr>
        <w:pStyle w:val="4"/>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bookmarkStart w:id="12" w:name="Xe4726ec67f28ec546024247bd014644908b5449"/>
    </w:p>
    <w:p w14:paraId="76341DEA">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6.1 Потребность в водных ресурсах.</w:t>
      </w:r>
      <w:r>
        <w:rPr>
          <w:rFonts w:hint="default" w:ascii="Times New Roman" w:hAnsi="Times New Roman" w:cs="Times New Roman"/>
          <w:sz w:val="24"/>
          <w:szCs w:val="24"/>
        </w:rPr>
        <w:t xml:space="preserve"> Эксплуатация рассматриваемого объекта не требует использования водных ресурсов. Производственных и технологических процессов, нуждающихся в воде (охлаждение, мойка, технологическая вода и пр.), на площадке нет. Также отсутствует постоянное водоснабжение для хозяйственно-питьевых нужд – эти потребности обеспечиваются вне территории. Таким образом, </w:t>
      </w:r>
      <w:r>
        <w:rPr>
          <w:rFonts w:hint="default" w:ascii="Times New Roman" w:hAnsi="Times New Roman" w:cs="Times New Roman"/>
          <w:b/>
          <w:bCs/>
          <w:sz w:val="24"/>
          <w:szCs w:val="24"/>
        </w:rPr>
        <w:t>водопотребление на площадке равно нулю</w:t>
      </w:r>
      <w:r>
        <w:rPr>
          <w:rFonts w:hint="default" w:ascii="Times New Roman" w:hAnsi="Times New Roman" w:cs="Times New Roman"/>
          <w:sz w:val="24"/>
          <w:szCs w:val="24"/>
        </w:rPr>
        <w:t>, что исключает и образование сточных вод. Требования к качеству воды на объекте специально не устанавливаются (нет водопользования).</w:t>
      </w:r>
    </w:p>
    <w:p w14:paraId="670695F2">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6.2 Влияние на водные объекты.</w:t>
      </w:r>
      <w:r>
        <w:rPr>
          <w:rFonts w:hint="default" w:ascii="Times New Roman" w:hAnsi="Times New Roman" w:cs="Times New Roman"/>
          <w:sz w:val="24"/>
          <w:szCs w:val="24"/>
        </w:rPr>
        <w:t xml:space="preserve"> Прямые </w:t>
      </w:r>
      <w:r>
        <w:rPr>
          <w:rFonts w:hint="default" w:ascii="Times New Roman" w:hAnsi="Times New Roman" w:cs="Times New Roman"/>
          <w:b/>
          <w:bCs/>
          <w:sz w:val="24"/>
          <w:szCs w:val="24"/>
        </w:rPr>
        <w:t>сбросы сточных вод</w:t>
      </w:r>
      <w:r>
        <w:rPr>
          <w:rFonts w:hint="default" w:ascii="Times New Roman" w:hAnsi="Times New Roman" w:cs="Times New Roman"/>
          <w:sz w:val="24"/>
          <w:szCs w:val="24"/>
        </w:rPr>
        <w:t xml:space="preserve"> при функционировании площадки не происходят. Возможное косвенное воздействие на поверхностные и подземные воды связано только с </w:t>
      </w:r>
      <w:r>
        <w:rPr>
          <w:rFonts w:hint="default" w:ascii="Times New Roman" w:hAnsi="Times New Roman" w:cs="Times New Roman"/>
          <w:b/>
          <w:bCs/>
          <w:sz w:val="24"/>
          <w:szCs w:val="24"/>
        </w:rPr>
        <w:t>ливневым стоком</w:t>
      </w:r>
      <w:r>
        <w:rPr>
          <w:rFonts w:hint="default" w:ascii="Times New Roman" w:hAnsi="Times New Roman" w:cs="Times New Roman"/>
          <w:sz w:val="24"/>
          <w:szCs w:val="24"/>
        </w:rPr>
        <w:t xml:space="preserve"> атмосферных осадков с территории. Дождевая вода, стекающая с открытой площадки, может механически увлекать частицы грунта, щебня, пыли или случайно попавших загрязняющих веществ. Однако площадь участка невелика (≈0,15 га), а какие-либо существенные источники загрязнения на ней отсутствуют. При отсутствии разливов горюче-смазочных материалов (ГСМ) либо химических веществ качество поверхностного стока будет практически идентично фоновой дождевой воде. Фильтрация осадков через грунт на площадке также не приведёт к заметному загрязнению подземных вод, поскольку загрязняющие компоненты отсутствуют либо их количество ничтожно. Таким образом, </w:t>
      </w:r>
      <w:r>
        <w:rPr>
          <w:rFonts w:hint="default" w:ascii="Times New Roman" w:hAnsi="Times New Roman" w:cs="Times New Roman"/>
          <w:b/>
          <w:bCs/>
          <w:sz w:val="24"/>
          <w:szCs w:val="24"/>
        </w:rPr>
        <w:t>влияние объекта на водные ресурсы оценивается как незначительное</w:t>
      </w:r>
      <w:r>
        <w:rPr>
          <w:rFonts w:hint="default" w:ascii="Times New Roman" w:hAnsi="Times New Roman" w:cs="Times New Roman"/>
          <w:sz w:val="24"/>
          <w:szCs w:val="24"/>
        </w:rPr>
        <w:t>. Ближайшие открытые поверхностные водоемы (реки, каналы) отсутствуют в непосредственной близости, поэтому риск прямого сброса загрязненной воды отсутствует.</w:t>
      </w:r>
    </w:p>
    <w:p w14:paraId="47456709">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6.3 Мероприятия по охране водной среды.</w:t>
      </w:r>
      <w:r>
        <w:rPr>
          <w:rFonts w:hint="default" w:ascii="Times New Roman" w:hAnsi="Times New Roman" w:cs="Times New Roman"/>
          <w:sz w:val="24"/>
          <w:szCs w:val="24"/>
        </w:rPr>
        <w:t xml:space="preserve"> Чтобы исключить даже минимальную возможность загрязнения дождевого стока и грунтовых вод, на площадке внедряются профилактические меры:</w:t>
      </w:r>
    </w:p>
    <w:p w14:paraId="74CAB7A2">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Содержание территории в чистоте.</w:t>
      </w:r>
      <w:r>
        <w:rPr>
          <w:rFonts w:hint="default" w:ascii="Times New Roman" w:hAnsi="Times New Roman" w:cs="Times New Roman"/>
          <w:sz w:val="24"/>
          <w:szCs w:val="24"/>
        </w:rPr>
        <w:t xml:space="preserve"> Регулярная уборка исключает накопление мусора, пылящих материалов, разливов ГСМ, которые могли бы попасть в ливневый сток.</w:t>
      </w:r>
    </w:p>
    <w:p w14:paraId="25E794BD">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Запрет технического обслуживания техники на площадке.</w:t>
      </w:r>
      <w:r>
        <w:rPr>
          <w:rFonts w:hint="default" w:ascii="Times New Roman" w:hAnsi="Times New Roman" w:cs="Times New Roman"/>
          <w:sz w:val="24"/>
          <w:szCs w:val="24"/>
        </w:rPr>
        <w:t xml:space="preserve"> Ремонт транспортных средств, замена масла, заправка топливом на территории не допускаются, во избежание пролива нефтепродуктов.</w:t>
      </w:r>
    </w:p>
    <w:p w14:paraId="17B6B593">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Готовность к локализации протечек.</w:t>
      </w:r>
      <w:r>
        <w:rPr>
          <w:rFonts w:hint="default" w:ascii="Times New Roman" w:hAnsi="Times New Roman" w:cs="Times New Roman"/>
          <w:sz w:val="24"/>
          <w:szCs w:val="24"/>
        </w:rPr>
        <w:t xml:space="preserve"> На объекте предусмотрено наличие абсорбирующего материала (сорбента) и ветоши для оперативной ликвидации случайных подтеков ГСМ или химических жидкостей, если таковые произойдут. Загрязнённые сборные материалы затем собираются и удаляются как отходы.</w:t>
      </w:r>
    </w:p>
    <w:p w14:paraId="4CDB7222">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Кроме того, поверхность площадки частично укрыта навесом, что уменьшает размыв осадками. Соблюдение перечисленных мер обеспечивает защиту водной среды: дождевой сток с территории по составу будет близок к обычной дождевой воде и не ухудшит состояние окружающей среды.</w:t>
      </w:r>
    </w:p>
    <w:p w14:paraId="76604D4C">
      <w:pPr>
        <w:pStyle w:val="3"/>
        <w:jc w:val="center"/>
        <w:rPr>
          <w:rFonts w:hint="default" w:ascii="Times New Roman" w:hAnsi="Times New Roman" w:cs="Times New Roman"/>
          <w:b/>
          <w:bCs/>
          <w:lang w:val="ru-RU"/>
        </w:rPr>
      </w:pPr>
      <w:r>
        <w:rPr>
          <w:rFonts w:hint="default"/>
        </w:rPr>
        <w:br w:type="page"/>
      </w:r>
      <w:r>
        <w:rPr>
          <w:rFonts w:hint="default" w:ascii="Times New Roman" w:hAnsi="Times New Roman" w:cs="Times New Roman"/>
          <w:b/>
          <w:bCs/>
          <w:lang w:val="ru-RU"/>
        </w:rPr>
        <w:t>7 ВОЗДЕЙСТВИЕ НА НЕДРА</w:t>
      </w:r>
    </w:p>
    <w:bookmarkEnd w:id="12"/>
    <w:p w14:paraId="6FB210F9">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bookmarkStart w:id="13" w:name="воздействие-на-недра"/>
      <w:r>
        <w:rPr>
          <w:rFonts w:hint="default" w:ascii="Times New Roman" w:hAnsi="Times New Roman" w:cs="Times New Roman"/>
          <w:sz w:val="24"/>
          <w:szCs w:val="24"/>
        </w:rPr>
        <w:t xml:space="preserve">Хозяйственная деятельность на объекте </w:t>
      </w:r>
      <w:r>
        <w:rPr>
          <w:rFonts w:hint="default" w:ascii="Times New Roman" w:hAnsi="Times New Roman" w:cs="Times New Roman"/>
          <w:b/>
          <w:bCs/>
          <w:sz w:val="24"/>
          <w:szCs w:val="24"/>
        </w:rPr>
        <w:t>не сопряжена с использованием недр</w:t>
      </w:r>
      <w:r>
        <w:rPr>
          <w:rFonts w:hint="default" w:ascii="Times New Roman" w:hAnsi="Times New Roman" w:cs="Times New Roman"/>
          <w:sz w:val="24"/>
          <w:szCs w:val="24"/>
        </w:rPr>
        <w:t xml:space="preserve">. Добыча полезных ископаемых, бурение скважин, геологоразведочные работы или иные формы недропользования на площадке не осуществляются. Территория уже давно отведена под промышленное использование и не представляет интереса в части минеральных ресурсов. Следовательно, </w:t>
      </w:r>
      <w:r>
        <w:rPr>
          <w:rFonts w:hint="default" w:ascii="Times New Roman" w:hAnsi="Times New Roman" w:cs="Times New Roman"/>
          <w:b/>
          <w:bCs/>
          <w:sz w:val="24"/>
          <w:szCs w:val="24"/>
        </w:rPr>
        <w:t>воздействие на геологическую среду (недра) отсутствует</w:t>
      </w:r>
      <w:r>
        <w:rPr>
          <w:rFonts w:hint="default" w:ascii="Times New Roman" w:hAnsi="Times New Roman" w:cs="Times New Roman"/>
          <w:sz w:val="24"/>
          <w:szCs w:val="24"/>
        </w:rPr>
        <w:t>. Фундаментные конструкции или подземные коммуникации на участке не возводятся, вибрационные нагрузки на грунт минимальны (только от проезда автотранспорта по поверхности). Таким образом, риск негативных последствий для структуры недр, включая подземные воды, отсутствует.</w:t>
      </w:r>
    </w:p>
    <w:p w14:paraId="1A573A07">
      <w:pPr>
        <w:pStyle w:val="3"/>
        <w:rPr>
          <w:rFonts w:hint="default" w:ascii="Times New Roman" w:hAnsi="Times New Roman" w:cs="Times New Roman"/>
          <w:sz w:val="24"/>
          <w:szCs w:val="24"/>
        </w:rPr>
      </w:pPr>
    </w:p>
    <w:p w14:paraId="6F3094B0">
      <w:pPr>
        <w:pStyle w:val="3"/>
        <w:jc w:val="center"/>
        <w:rPr>
          <w:rFonts w:hint="default" w:ascii="Times New Roman" w:hAnsi="Times New Roman" w:cs="Times New Roman"/>
          <w:b/>
          <w:bCs/>
          <w:sz w:val="24"/>
          <w:szCs w:val="24"/>
          <w:lang w:val="ru-RU"/>
        </w:rPr>
      </w:pPr>
      <w:r>
        <w:rPr>
          <w:rFonts w:hint="default" w:ascii="Times New Roman" w:hAnsi="Times New Roman" w:cs="Times New Roman"/>
          <w:sz w:val="24"/>
          <w:szCs w:val="24"/>
        </w:rPr>
        <w:br w:type="page"/>
      </w:r>
      <w:r>
        <w:rPr>
          <w:rFonts w:hint="default" w:ascii="Times New Roman" w:hAnsi="Times New Roman" w:cs="Times New Roman"/>
          <w:b/>
          <w:bCs/>
          <w:sz w:val="24"/>
          <w:szCs w:val="24"/>
          <w:lang w:val="ru-RU"/>
        </w:rPr>
        <w:t>8 ОТХОДЫ ПРОИЗВОДСТВА И ПОТРЕБЛЕНИЯ</w:t>
      </w:r>
    </w:p>
    <w:bookmarkEnd w:id="13"/>
    <w:p w14:paraId="49D7788E">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bookmarkStart w:id="14" w:name="отходы-производства-и-потребления"/>
      <w:r>
        <w:rPr>
          <w:rFonts w:hint="default" w:ascii="Times New Roman" w:hAnsi="Times New Roman" w:cs="Times New Roman"/>
          <w:b/>
          <w:bCs/>
          <w:sz w:val="24"/>
          <w:szCs w:val="24"/>
        </w:rPr>
        <w:t>8.1 Виды образующихся отходов и места их хранения.</w:t>
      </w:r>
      <w:r>
        <w:rPr>
          <w:rFonts w:hint="default" w:ascii="Times New Roman" w:hAnsi="Times New Roman" w:cs="Times New Roman"/>
          <w:sz w:val="24"/>
          <w:szCs w:val="24"/>
        </w:rPr>
        <w:t xml:space="preserve"> </w:t>
      </w:r>
    </w:p>
    <w:p w14:paraId="7F559ABD">
      <w:pPr>
        <w:spacing w:after="0"/>
        <w:ind w:left="0" w:leftChars="0" w:firstLine="480" w:firstLineChars="0"/>
        <w:jc w:val="both"/>
        <w:rPr>
          <w:rFonts w:hint="default" w:ascii="Times New Roman" w:hAnsi="Times New Roman" w:cs="Times New Roman"/>
          <w:sz w:val="24"/>
          <w:szCs w:val="24"/>
        </w:rPr>
      </w:pPr>
      <w:r>
        <w:rPr>
          <w:rFonts w:hint="default" w:ascii="Times New Roman" w:hAnsi="Times New Roman" w:cs="Times New Roman"/>
          <w:color w:val="000000"/>
          <w:sz w:val="24"/>
          <w:szCs w:val="24"/>
        </w:rPr>
        <w:t>Виды отходов определяются на основании классификатора отходов, утвержденного уполномоченным органом в области охраны окружающей среды (далее – классификатор отходов).</w:t>
      </w:r>
    </w:p>
    <w:p w14:paraId="121E34AE">
      <w:pPr>
        <w:spacing w:after="0"/>
        <w:ind w:left="0" w:leftChars="0" w:firstLine="480" w:firstLineChars="0"/>
        <w:jc w:val="both"/>
        <w:rPr>
          <w:rFonts w:hint="default" w:ascii="Times New Roman" w:hAnsi="Times New Roman" w:cs="Times New Roman"/>
          <w:sz w:val="24"/>
          <w:szCs w:val="24"/>
        </w:rPr>
      </w:pPr>
      <w:bookmarkStart w:id="15" w:name="z3576"/>
      <w:r>
        <w:rPr>
          <w:rFonts w:hint="default" w:ascii="Times New Roman" w:hAnsi="Times New Roman" w:cs="Times New Roman"/>
          <w:color w:val="000000"/>
          <w:sz w:val="24"/>
          <w:szCs w:val="24"/>
        </w:rPr>
        <w:t>Каждый вид отходов в классификаторе отходов идентифицируется путем присвоения шестизначного кода.</w:t>
      </w:r>
    </w:p>
    <w:bookmarkEnd w:id="15"/>
    <w:p w14:paraId="2BD7BFF8">
      <w:pPr>
        <w:spacing w:after="0"/>
        <w:ind w:left="0" w:leftChars="0" w:firstLine="480" w:firstLineChars="0"/>
        <w:jc w:val="both"/>
        <w:rPr>
          <w:rFonts w:hint="default" w:ascii="Times New Roman" w:hAnsi="Times New Roman" w:cs="Times New Roman"/>
          <w:sz w:val="24"/>
          <w:szCs w:val="24"/>
          <w:lang w:eastAsia="zh-CN"/>
        </w:rPr>
      </w:pPr>
      <w:r>
        <w:rPr>
          <w:rFonts w:hint="default" w:ascii="Times New Roman" w:hAnsi="Times New Roman" w:cs="Times New Roman"/>
          <w:color w:val="000000"/>
          <w:sz w:val="24"/>
          <w:szCs w:val="24"/>
        </w:rPr>
        <w:t>Виды отходов относятся к опасным или неопасным в соответствии с классификатором отходов с учетом требований настоящего Кодекса.</w:t>
      </w:r>
    </w:p>
    <w:p w14:paraId="5F48D136">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В процессе эксплуатации площадки образуются в основном тв</w:t>
      </w:r>
      <w:r>
        <w:rPr>
          <w:rFonts w:hint="default" w:ascii="Times New Roman" w:hAnsi="Times New Roman" w:cs="Times New Roman"/>
          <w:sz w:val="24"/>
          <w:szCs w:val="24"/>
          <w:lang w:val="ru-RU"/>
        </w:rPr>
        <w:t>е</w:t>
      </w:r>
      <w:r>
        <w:rPr>
          <w:rFonts w:hint="default" w:ascii="Times New Roman" w:hAnsi="Times New Roman" w:cs="Times New Roman"/>
          <w:sz w:val="24"/>
          <w:szCs w:val="24"/>
        </w:rPr>
        <w:t>рдые бытовые отходы (ТБО) от жизнедеятельности персонала</w:t>
      </w:r>
      <w:r>
        <w:rPr>
          <w:rFonts w:hint="default" w:ascii="Times New Roman" w:hAnsi="Times New Roman" w:cs="Times New Roman"/>
          <w:sz w:val="24"/>
          <w:szCs w:val="24"/>
          <w:lang w:val="ru-RU"/>
        </w:rPr>
        <w:t>, классифицируемые как смешанные коммунальные отходы (код 20 03 01).</w:t>
      </w:r>
      <w:r>
        <w:rPr>
          <w:rFonts w:hint="default" w:ascii="Times New Roman" w:hAnsi="Times New Roman" w:cs="Times New Roman"/>
          <w:sz w:val="24"/>
          <w:szCs w:val="24"/>
        </w:rPr>
        <w:t xml:space="preserve"> Иные виды отходов (производственные, опасные) при нормальном режиме работы </w:t>
      </w:r>
      <w:r>
        <w:rPr>
          <w:rFonts w:hint="default" w:ascii="Times New Roman" w:hAnsi="Times New Roman" w:cs="Times New Roman"/>
          <w:b/>
          <w:bCs/>
          <w:sz w:val="24"/>
          <w:szCs w:val="24"/>
        </w:rPr>
        <w:t>не формируются</w:t>
      </w:r>
      <w:r>
        <w:rPr>
          <w:rFonts w:hint="default" w:ascii="Times New Roman" w:hAnsi="Times New Roman" w:cs="Times New Roman"/>
          <w:sz w:val="24"/>
          <w:szCs w:val="24"/>
        </w:rPr>
        <w:t xml:space="preserve">. Перечень возможных отходов ограничивается бытовым мусором: бумага, пластик, пищевые и прочие коммунальные отходы, образующиеся от пребывания людей. Данная категория отходов относится к </w:t>
      </w:r>
      <w:r>
        <w:rPr>
          <w:rFonts w:hint="default" w:ascii="Times New Roman" w:hAnsi="Times New Roman" w:cs="Times New Roman"/>
          <w:b/>
          <w:bCs/>
          <w:sz w:val="24"/>
          <w:szCs w:val="24"/>
          <w:lang w:val="ru-RU"/>
        </w:rPr>
        <w:t>неопасным отходам</w:t>
      </w:r>
      <w:r>
        <w:rPr>
          <w:rFonts w:hint="default" w:ascii="Times New Roman" w:hAnsi="Times New Roman" w:cs="Times New Roman"/>
          <w:sz w:val="24"/>
          <w:szCs w:val="24"/>
        </w:rPr>
        <w:t xml:space="preserve">. </w:t>
      </w:r>
    </w:p>
    <w:p w14:paraId="3E07B3F2">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Образующиеся ТБО собираются на площадке раздельно в закрывающийся контейнер объемом ~0,75–1 м³, расположенный под навесом. Место для контейнера оборудовано таким образом, чтобы исключить разлет легкого мусора ветром и попадание осадков (навес). </w:t>
      </w:r>
      <w:r>
        <w:rPr>
          <w:rFonts w:hint="default" w:ascii="Times New Roman" w:hAnsi="Times New Roman" w:cs="Times New Roman"/>
          <w:b/>
          <w:bCs/>
          <w:sz w:val="24"/>
          <w:szCs w:val="24"/>
        </w:rPr>
        <w:t>Вывоз накопившихся ТБО</w:t>
      </w:r>
      <w:r>
        <w:rPr>
          <w:rFonts w:hint="default" w:ascii="Times New Roman" w:hAnsi="Times New Roman" w:cs="Times New Roman"/>
          <w:sz w:val="24"/>
          <w:szCs w:val="24"/>
        </w:rPr>
        <w:t xml:space="preserve"> осуществляется специализированной организацией по договору, с передачей отходов </w:t>
      </w:r>
      <w:r>
        <w:rPr>
          <w:rFonts w:hint="default" w:ascii="Times New Roman" w:hAnsi="Times New Roman" w:cs="Times New Roman"/>
          <w:sz w:val="24"/>
          <w:szCs w:val="24"/>
          <w:lang w:val="ru-RU"/>
        </w:rPr>
        <w:t>в</w:t>
      </w:r>
      <w:r>
        <w:rPr>
          <w:rFonts w:hint="default" w:ascii="Times New Roman" w:hAnsi="Times New Roman" w:cs="Times New Roman"/>
          <w:sz w:val="24"/>
          <w:szCs w:val="24"/>
        </w:rPr>
        <w:t xml:space="preserve"> городскую систему обращения с коммунальными отходами (полигон или сортировочный комплекс). </w:t>
      </w:r>
      <w:r>
        <w:rPr>
          <w:rFonts w:hint="default" w:ascii="Times New Roman" w:hAnsi="Times New Roman" w:cs="Times New Roman"/>
          <w:sz w:val="24"/>
          <w:szCs w:val="24"/>
          <w:lang w:val="ru-RU"/>
        </w:rPr>
        <w:t>В</w:t>
      </w:r>
      <w:r>
        <w:rPr>
          <w:rFonts w:hint="default" w:ascii="Times New Roman" w:hAnsi="Times New Roman" w:cs="Times New Roman"/>
          <w:sz w:val="24"/>
          <w:szCs w:val="24"/>
        </w:rPr>
        <w:t xml:space="preserve"> табл. 8.1 приведены данные по образованию и обращению с отходами на объекте.</w:t>
      </w:r>
    </w:p>
    <w:p w14:paraId="46AD5D3F">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i w:val="0"/>
          <w:iCs w:val="0"/>
          <w:sz w:val="24"/>
          <w:szCs w:val="24"/>
        </w:rPr>
      </w:pPr>
    </w:p>
    <w:p w14:paraId="0A8557C1">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i w:val="0"/>
          <w:iCs w:val="0"/>
          <w:sz w:val="24"/>
          <w:szCs w:val="24"/>
        </w:rPr>
      </w:pPr>
      <w:r>
        <w:rPr>
          <w:rFonts w:hint="default" w:ascii="Times New Roman" w:hAnsi="Times New Roman" w:cs="Times New Roman"/>
          <w:i w:val="0"/>
          <w:iCs w:val="0"/>
          <w:sz w:val="24"/>
          <w:szCs w:val="24"/>
        </w:rPr>
        <w:t xml:space="preserve">Таблица 8.1 – Образование и обращение с отходами </w:t>
      </w:r>
    </w:p>
    <w:p w14:paraId="4D09BCB4">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i w:val="0"/>
          <w:iCs w:val="0"/>
          <w:sz w:val="24"/>
          <w:szCs w:val="24"/>
        </w:rPr>
      </w:pP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1"/>
        <w:gridCol w:w="1695"/>
        <w:gridCol w:w="961"/>
        <w:gridCol w:w="994"/>
        <w:gridCol w:w="949"/>
        <w:gridCol w:w="2716"/>
      </w:tblGrid>
      <w:tr w14:paraId="50D9D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p w14:paraId="4C9F76D2">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Вид отходов</w:t>
            </w:r>
          </w:p>
        </w:tc>
        <w:tc>
          <w:p w14:paraId="594C35B8">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Источник образования</w:t>
            </w:r>
          </w:p>
        </w:tc>
        <w:tc>
          <w:p w14:paraId="5C98904E">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lang w:val="ru-RU"/>
              </w:rPr>
            </w:pPr>
            <w:r>
              <w:rPr>
                <w:rFonts w:hint="default" w:ascii="Times New Roman" w:hAnsi="Times New Roman" w:cs="Times New Roman"/>
                <w:sz w:val="24"/>
                <w:szCs w:val="24"/>
                <w:lang w:val="ru-RU"/>
              </w:rPr>
              <w:t>Код отхода</w:t>
            </w:r>
          </w:p>
        </w:tc>
        <w:tc>
          <w:p w14:paraId="2945EB76">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Объ</w:t>
            </w:r>
            <w:r>
              <w:rPr>
                <w:rFonts w:hint="default" w:ascii="Times New Roman" w:hAnsi="Times New Roman" w:cs="Times New Roman"/>
                <w:sz w:val="24"/>
                <w:szCs w:val="24"/>
                <w:lang w:val="ru-RU"/>
              </w:rPr>
              <w:t>е</w:t>
            </w:r>
            <w:r>
              <w:rPr>
                <w:rFonts w:hint="default" w:ascii="Times New Roman" w:hAnsi="Times New Roman" w:cs="Times New Roman"/>
                <w:sz w:val="24"/>
                <w:szCs w:val="24"/>
              </w:rPr>
              <w:t>м, м³/год</w:t>
            </w:r>
          </w:p>
        </w:tc>
        <w:tc>
          <w:p w14:paraId="6C90CF25">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Масса, т/год</w:t>
            </w:r>
          </w:p>
        </w:tc>
        <w:tc>
          <w:p w14:paraId="2417AF80">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Обращение</w:t>
            </w:r>
          </w:p>
        </w:tc>
      </w:tr>
      <w:tr w14:paraId="06D9E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p w14:paraId="6D9952A2">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ТБО</w:t>
            </w:r>
            <w:r>
              <w:rPr>
                <w:rFonts w:hint="default" w:ascii="Times New Roman" w:hAnsi="Times New Roman" w:cs="Times New Roman"/>
                <w:sz w:val="24"/>
                <w:szCs w:val="24"/>
              </w:rPr>
              <w:t xml:space="preserve"> (отходы жизнедеятельности персонала)</w:t>
            </w:r>
          </w:p>
        </w:tc>
        <w:tc>
          <w:p w14:paraId="151C53E4">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Бытовая деятельность работников на площадке</w:t>
            </w:r>
          </w:p>
        </w:tc>
        <w:tc>
          <w:p w14:paraId="406D070D">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lang w:val="ru-RU"/>
              </w:rPr>
            </w:pPr>
            <w:r>
              <w:rPr>
                <w:rFonts w:hint="default" w:ascii="Times New Roman" w:hAnsi="Times New Roman" w:cs="Times New Roman"/>
                <w:sz w:val="24"/>
                <w:szCs w:val="24"/>
                <w:lang w:val="ru-RU"/>
              </w:rPr>
              <w:t>200301</w:t>
            </w:r>
          </w:p>
        </w:tc>
        <w:tc>
          <w:p w14:paraId="7F53E821">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9,06</w:t>
            </w:r>
          </w:p>
        </w:tc>
        <w:tc>
          <w:p w14:paraId="35332908">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1,90</w:t>
            </w:r>
          </w:p>
        </w:tc>
        <w:tc>
          <w:p w14:paraId="65B55556">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Сбор в закрытом контейнере; вывоз по договору спецорганизацией на полигон/сортировку</w:t>
            </w:r>
          </w:p>
        </w:tc>
      </w:tr>
    </w:tbl>
    <w:p w14:paraId="70BCEF57">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i/>
          <w:iCs/>
          <w:sz w:val="24"/>
          <w:szCs w:val="24"/>
        </w:rPr>
      </w:pPr>
    </w:p>
    <w:p w14:paraId="2D3CF4D9">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i/>
          <w:iCs/>
          <w:sz w:val="24"/>
          <w:szCs w:val="24"/>
        </w:rPr>
        <w:t>Примечание:</w:t>
      </w:r>
      <w:r>
        <w:rPr>
          <w:rFonts w:hint="default" w:ascii="Times New Roman" w:hAnsi="Times New Roman" w:cs="Times New Roman"/>
          <w:sz w:val="24"/>
          <w:szCs w:val="24"/>
        </w:rPr>
        <w:t xml:space="preserve"> Нормативы образования ТБО приняты согласно установленным для г. Алматы нормам накопления коммунальных отходов (1,51 м³ в год на 1 человека при плотности 0,21 т/м³). На площадке трудятся 6 человек, отсюда рассчитано годовое образование: </w:t>
      </w:r>
      <w:r>
        <w:rPr>
          <w:rFonts w:hint="default" w:ascii="Times New Roman" w:hAnsi="Times New Roman" w:cs="Times New Roman"/>
          <w:b/>
          <w:bCs/>
          <w:sz w:val="24"/>
          <w:szCs w:val="24"/>
        </w:rPr>
        <w:t>9,06 м³ или ~1,90 т</w:t>
      </w:r>
      <w:r>
        <w:rPr>
          <w:rFonts w:hint="default" w:ascii="Times New Roman" w:hAnsi="Times New Roman" w:cs="Times New Roman"/>
          <w:sz w:val="24"/>
          <w:szCs w:val="24"/>
        </w:rPr>
        <w:t xml:space="preserve"> ТБО.</w:t>
      </w:r>
    </w:p>
    <w:p w14:paraId="7FB5E1ED">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b/>
          <w:bCs/>
          <w:sz w:val="24"/>
          <w:szCs w:val="24"/>
        </w:rPr>
      </w:pPr>
    </w:p>
    <w:p w14:paraId="780DCB2B">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8.2 Расч</w:t>
      </w:r>
      <w:r>
        <w:rPr>
          <w:rFonts w:hint="default" w:ascii="Times New Roman" w:hAnsi="Times New Roman" w:cs="Times New Roman"/>
          <w:b/>
          <w:bCs/>
          <w:sz w:val="24"/>
          <w:szCs w:val="24"/>
          <w:lang w:val="ru-RU"/>
        </w:rPr>
        <w:t>е</w:t>
      </w:r>
      <w:r>
        <w:rPr>
          <w:rFonts w:hint="default" w:ascii="Times New Roman" w:hAnsi="Times New Roman" w:cs="Times New Roman"/>
          <w:b/>
          <w:bCs/>
          <w:sz w:val="24"/>
          <w:szCs w:val="24"/>
        </w:rPr>
        <w:t>т объ</w:t>
      </w:r>
      <w:r>
        <w:rPr>
          <w:rFonts w:hint="default" w:ascii="Times New Roman" w:hAnsi="Times New Roman" w:cs="Times New Roman"/>
          <w:b/>
          <w:bCs/>
          <w:sz w:val="24"/>
          <w:szCs w:val="24"/>
          <w:lang w:val="ru-RU"/>
        </w:rPr>
        <w:t>е</w:t>
      </w:r>
      <w:r>
        <w:rPr>
          <w:rFonts w:hint="default" w:ascii="Times New Roman" w:hAnsi="Times New Roman" w:cs="Times New Roman"/>
          <w:b/>
          <w:bCs/>
          <w:sz w:val="24"/>
          <w:szCs w:val="24"/>
        </w:rPr>
        <w:t>мов образования отходов (2026–2035 гг.).</w:t>
      </w:r>
      <w:r>
        <w:rPr>
          <w:rFonts w:hint="default" w:ascii="Times New Roman" w:hAnsi="Times New Roman" w:cs="Times New Roman"/>
          <w:sz w:val="24"/>
          <w:szCs w:val="24"/>
        </w:rPr>
        <w:t xml:space="preserve"> Планируемый срок деятельности объекта – не менее ближайших 10 лет. Ниже приведен прогноз образования ТБО на период </w:t>
      </w:r>
      <w:r>
        <w:rPr>
          <w:rFonts w:hint="default" w:ascii="Times New Roman" w:hAnsi="Times New Roman" w:cs="Times New Roman"/>
          <w:b/>
          <w:bCs/>
          <w:sz w:val="24"/>
          <w:szCs w:val="24"/>
        </w:rPr>
        <w:t>2026–2035 гг.</w:t>
      </w:r>
      <w:r>
        <w:rPr>
          <w:rFonts w:hint="default" w:ascii="Times New Roman" w:hAnsi="Times New Roman" w:cs="Times New Roman"/>
          <w:sz w:val="24"/>
          <w:szCs w:val="24"/>
        </w:rPr>
        <w:t xml:space="preserve"> исходя из текущих норм и численности персонала (6 человек). Поскольку численность и род деятельности планируются без изменений, объём отходов в каждом году будет одинаковым.</w:t>
      </w:r>
    </w:p>
    <w:p w14:paraId="674C4269">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p>
    <w:tbl>
      <w:tblPr>
        <w:tblStyle w:val="46"/>
        <w:tblW w:w="0" w:type="auto"/>
        <w:tblInd w:w="0" w:type="dxa"/>
        <w:tblLayout w:type="autofit"/>
        <w:tblCellMar>
          <w:top w:w="0" w:type="dxa"/>
          <w:left w:w="108" w:type="dxa"/>
          <w:bottom w:w="0" w:type="dxa"/>
          <w:right w:w="108" w:type="dxa"/>
        </w:tblCellMar>
      </w:tblPr>
      <w:tblGrid>
        <w:gridCol w:w="1749"/>
        <w:gridCol w:w="3665"/>
        <w:gridCol w:w="3426"/>
      </w:tblGrid>
      <w:tr w14:paraId="1B003BD5">
        <w:tblPrEx>
          <w:tblCellMar>
            <w:top w:w="0" w:type="dxa"/>
            <w:left w:w="108" w:type="dxa"/>
            <w:bottom w:w="0" w:type="dxa"/>
            <w:right w:w="108" w:type="dxa"/>
          </w:tblCellMar>
        </w:tblPrEx>
        <w:trPr>
          <w:tblHeader/>
        </w:trPr>
        <w:tc>
          <w:tcPr>
            <w:tcBorders>
              <w:top w:val="single" w:color="auto" w:sz="4" w:space="0"/>
              <w:left w:val="single" w:color="auto" w:sz="4" w:space="0"/>
              <w:bottom w:val="single" w:color="auto" w:sz="4" w:space="0"/>
              <w:right w:val="single" w:color="auto" w:sz="4" w:space="0"/>
            </w:tcBorders>
          </w:tcPr>
          <w:p w14:paraId="7D3B9844">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Год</w:t>
            </w:r>
          </w:p>
        </w:tc>
        <w:tc>
          <w:tcPr>
            <w:tcBorders>
              <w:top w:val="single" w:color="auto" w:sz="4" w:space="0"/>
              <w:left w:val="single" w:color="auto" w:sz="4" w:space="0"/>
              <w:bottom w:val="single" w:color="auto" w:sz="4" w:space="0"/>
              <w:right w:val="single" w:color="auto" w:sz="4" w:space="0"/>
            </w:tcBorders>
          </w:tcPr>
          <w:p w14:paraId="67D1A384">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Ориентировочный объ</w:t>
            </w:r>
            <w:r>
              <w:rPr>
                <w:rFonts w:hint="default" w:ascii="Times New Roman" w:hAnsi="Times New Roman" w:cs="Times New Roman"/>
                <w:sz w:val="24"/>
                <w:szCs w:val="24"/>
                <w:lang w:val="ru-RU"/>
              </w:rPr>
              <w:t>е</w:t>
            </w:r>
            <w:r>
              <w:rPr>
                <w:rFonts w:hint="default" w:ascii="Times New Roman" w:hAnsi="Times New Roman" w:cs="Times New Roman"/>
                <w:sz w:val="24"/>
                <w:szCs w:val="24"/>
              </w:rPr>
              <w:t>м ТБО, м³</w:t>
            </w:r>
          </w:p>
        </w:tc>
        <w:tc>
          <w:tcPr>
            <w:tcBorders>
              <w:top w:val="single" w:color="auto" w:sz="4" w:space="0"/>
              <w:left w:val="single" w:color="auto" w:sz="4" w:space="0"/>
              <w:bottom w:val="single" w:color="auto" w:sz="4" w:space="0"/>
              <w:right w:val="single" w:color="auto" w:sz="4" w:space="0"/>
            </w:tcBorders>
          </w:tcPr>
          <w:p w14:paraId="7F198013">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Ориентировочная масса ТБО, т</w:t>
            </w:r>
          </w:p>
        </w:tc>
      </w:tr>
      <w:tr w14:paraId="6626F7EA">
        <w:tblPrEx>
          <w:tblCellMar>
            <w:top w:w="0" w:type="dxa"/>
            <w:left w:w="108" w:type="dxa"/>
            <w:bottom w:w="0" w:type="dxa"/>
            <w:right w:w="108" w:type="dxa"/>
          </w:tblCellMar>
        </w:tblPrEx>
        <w:tc>
          <w:tcPr>
            <w:tcBorders>
              <w:top w:val="single" w:color="auto" w:sz="4" w:space="0"/>
              <w:left w:val="single" w:color="auto" w:sz="4" w:space="0"/>
              <w:bottom w:val="single" w:color="auto" w:sz="4" w:space="0"/>
              <w:right w:val="single" w:color="auto" w:sz="4" w:space="0"/>
            </w:tcBorders>
          </w:tcPr>
          <w:p w14:paraId="5FF46F01">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2026</w:t>
            </w:r>
          </w:p>
        </w:tc>
        <w:tc>
          <w:tcPr>
            <w:tcBorders>
              <w:top w:val="single" w:color="auto" w:sz="4" w:space="0"/>
              <w:left w:val="single" w:color="auto" w:sz="4" w:space="0"/>
              <w:bottom w:val="single" w:color="auto" w:sz="4" w:space="0"/>
              <w:right w:val="single" w:color="auto" w:sz="4" w:space="0"/>
            </w:tcBorders>
          </w:tcPr>
          <w:p w14:paraId="3C610930">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9,06</w:t>
            </w:r>
          </w:p>
        </w:tc>
        <w:tc>
          <w:tcPr>
            <w:tcBorders>
              <w:top w:val="single" w:color="auto" w:sz="4" w:space="0"/>
              <w:left w:val="single" w:color="auto" w:sz="4" w:space="0"/>
              <w:bottom w:val="single" w:color="auto" w:sz="4" w:space="0"/>
              <w:right w:val="single" w:color="auto" w:sz="4" w:space="0"/>
            </w:tcBorders>
          </w:tcPr>
          <w:p w14:paraId="3719890F">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1,90</w:t>
            </w:r>
          </w:p>
        </w:tc>
      </w:tr>
      <w:tr w14:paraId="220F1A47">
        <w:tblPrEx>
          <w:tblCellMar>
            <w:top w:w="0" w:type="dxa"/>
            <w:left w:w="108" w:type="dxa"/>
            <w:bottom w:w="0" w:type="dxa"/>
            <w:right w:w="108" w:type="dxa"/>
          </w:tblCellMar>
        </w:tblPrEx>
        <w:tc>
          <w:tcPr>
            <w:tcBorders>
              <w:top w:val="single" w:color="auto" w:sz="4" w:space="0"/>
              <w:left w:val="single" w:color="auto" w:sz="4" w:space="0"/>
              <w:bottom w:val="single" w:color="auto" w:sz="4" w:space="0"/>
              <w:right w:val="single" w:color="auto" w:sz="4" w:space="0"/>
            </w:tcBorders>
          </w:tcPr>
          <w:p w14:paraId="5E84F43B">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2027</w:t>
            </w:r>
          </w:p>
        </w:tc>
        <w:tc>
          <w:tcPr>
            <w:tcBorders>
              <w:top w:val="single" w:color="auto" w:sz="4" w:space="0"/>
              <w:left w:val="single" w:color="auto" w:sz="4" w:space="0"/>
              <w:bottom w:val="single" w:color="auto" w:sz="4" w:space="0"/>
              <w:right w:val="single" w:color="auto" w:sz="4" w:space="0"/>
            </w:tcBorders>
          </w:tcPr>
          <w:p w14:paraId="3274E8A8">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9,06</w:t>
            </w:r>
          </w:p>
        </w:tc>
        <w:tc>
          <w:tcPr>
            <w:tcBorders>
              <w:top w:val="single" w:color="auto" w:sz="4" w:space="0"/>
              <w:left w:val="single" w:color="auto" w:sz="4" w:space="0"/>
              <w:bottom w:val="single" w:color="auto" w:sz="4" w:space="0"/>
              <w:right w:val="single" w:color="auto" w:sz="4" w:space="0"/>
            </w:tcBorders>
          </w:tcPr>
          <w:p w14:paraId="72AF9E98">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1,90</w:t>
            </w:r>
          </w:p>
        </w:tc>
      </w:tr>
      <w:tr w14:paraId="4E7412B6">
        <w:tblPrEx>
          <w:tblCellMar>
            <w:top w:w="0" w:type="dxa"/>
            <w:left w:w="108" w:type="dxa"/>
            <w:bottom w:w="0" w:type="dxa"/>
            <w:right w:w="108" w:type="dxa"/>
          </w:tblCellMar>
        </w:tblPrEx>
        <w:tc>
          <w:tcPr>
            <w:tcBorders>
              <w:top w:val="single" w:color="auto" w:sz="4" w:space="0"/>
              <w:left w:val="single" w:color="auto" w:sz="4" w:space="0"/>
              <w:bottom w:val="single" w:color="auto" w:sz="4" w:space="0"/>
              <w:right w:val="single" w:color="auto" w:sz="4" w:space="0"/>
            </w:tcBorders>
          </w:tcPr>
          <w:p w14:paraId="2847F957">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2028</w:t>
            </w:r>
          </w:p>
        </w:tc>
        <w:tc>
          <w:tcPr>
            <w:tcBorders>
              <w:top w:val="single" w:color="auto" w:sz="4" w:space="0"/>
              <w:left w:val="single" w:color="auto" w:sz="4" w:space="0"/>
              <w:bottom w:val="single" w:color="auto" w:sz="4" w:space="0"/>
              <w:right w:val="single" w:color="auto" w:sz="4" w:space="0"/>
            </w:tcBorders>
          </w:tcPr>
          <w:p w14:paraId="434F0036">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9,06</w:t>
            </w:r>
          </w:p>
        </w:tc>
        <w:tc>
          <w:tcPr>
            <w:tcBorders>
              <w:top w:val="single" w:color="auto" w:sz="4" w:space="0"/>
              <w:left w:val="single" w:color="auto" w:sz="4" w:space="0"/>
              <w:bottom w:val="single" w:color="auto" w:sz="4" w:space="0"/>
              <w:right w:val="single" w:color="auto" w:sz="4" w:space="0"/>
            </w:tcBorders>
          </w:tcPr>
          <w:p w14:paraId="2290683C">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1,90</w:t>
            </w:r>
          </w:p>
        </w:tc>
      </w:tr>
      <w:tr w14:paraId="4AB183D6">
        <w:tblPrEx>
          <w:tblCellMar>
            <w:top w:w="0" w:type="dxa"/>
            <w:left w:w="108" w:type="dxa"/>
            <w:bottom w:w="0" w:type="dxa"/>
            <w:right w:w="108" w:type="dxa"/>
          </w:tblCellMar>
        </w:tblPrEx>
        <w:tc>
          <w:tcPr>
            <w:tcBorders>
              <w:top w:val="single" w:color="auto" w:sz="4" w:space="0"/>
              <w:left w:val="single" w:color="auto" w:sz="4" w:space="0"/>
              <w:bottom w:val="single" w:color="auto" w:sz="4" w:space="0"/>
              <w:right w:val="single" w:color="auto" w:sz="4" w:space="0"/>
            </w:tcBorders>
          </w:tcPr>
          <w:p w14:paraId="449D1409">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2029</w:t>
            </w:r>
          </w:p>
        </w:tc>
        <w:tc>
          <w:tcPr>
            <w:tcBorders>
              <w:top w:val="single" w:color="auto" w:sz="4" w:space="0"/>
              <w:left w:val="single" w:color="auto" w:sz="4" w:space="0"/>
              <w:bottom w:val="single" w:color="auto" w:sz="4" w:space="0"/>
              <w:right w:val="single" w:color="auto" w:sz="4" w:space="0"/>
            </w:tcBorders>
          </w:tcPr>
          <w:p w14:paraId="0010358A">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9,06</w:t>
            </w:r>
          </w:p>
        </w:tc>
        <w:tc>
          <w:tcPr>
            <w:tcBorders>
              <w:top w:val="single" w:color="auto" w:sz="4" w:space="0"/>
              <w:left w:val="single" w:color="auto" w:sz="4" w:space="0"/>
              <w:bottom w:val="single" w:color="auto" w:sz="4" w:space="0"/>
              <w:right w:val="single" w:color="auto" w:sz="4" w:space="0"/>
            </w:tcBorders>
          </w:tcPr>
          <w:p w14:paraId="52C47087">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1,90</w:t>
            </w:r>
          </w:p>
        </w:tc>
      </w:tr>
      <w:tr w14:paraId="138BE63B">
        <w:tblPrEx>
          <w:tblCellMar>
            <w:top w:w="0" w:type="dxa"/>
            <w:left w:w="108" w:type="dxa"/>
            <w:bottom w:w="0" w:type="dxa"/>
            <w:right w:w="108" w:type="dxa"/>
          </w:tblCellMar>
        </w:tblPrEx>
        <w:tc>
          <w:tcPr>
            <w:tcBorders>
              <w:top w:val="single" w:color="auto" w:sz="4" w:space="0"/>
              <w:left w:val="single" w:color="auto" w:sz="4" w:space="0"/>
              <w:bottom w:val="single" w:color="auto" w:sz="4" w:space="0"/>
              <w:right w:val="single" w:color="auto" w:sz="4" w:space="0"/>
            </w:tcBorders>
          </w:tcPr>
          <w:p w14:paraId="7911F3BF">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2030</w:t>
            </w:r>
          </w:p>
        </w:tc>
        <w:tc>
          <w:tcPr>
            <w:tcBorders>
              <w:top w:val="single" w:color="auto" w:sz="4" w:space="0"/>
              <w:left w:val="single" w:color="auto" w:sz="4" w:space="0"/>
              <w:bottom w:val="single" w:color="auto" w:sz="4" w:space="0"/>
              <w:right w:val="single" w:color="auto" w:sz="4" w:space="0"/>
            </w:tcBorders>
          </w:tcPr>
          <w:p w14:paraId="3C74C2DE">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9,06</w:t>
            </w:r>
          </w:p>
        </w:tc>
        <w:tc>
          <w:tcPr>
            <w:tcBorders>
              <w:top w:val="single" w:color="auto" w:sz="4" w:space="0"/>
              <w:left w:val="single" w:color="auto" w:sz="4" w:space="0"/>
              <w:bottom w:val="single" w:color="auto" w:sz="4" w:space="0"/>
              <w:right w:val="single" w:color="auto" w:sz="4" w:space="0"/>
            </w:tcBorders>
          </w:tcPr>
          <w:p w14:paraId="59A209BD">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1,90</w:t>
            </w:r>
          </w:p>
        </w:tc>
      </w:tr>
      <w:tr w14:paraId="0520D134">
        <w:tblPrEx>
          <w:tblCellMar>
            <w:top w:w="0" w:type="dxa"/>
            <w:left w:w="108" w:type="dxa"/>
            <w:bottom w:w="0" w:type="dxa"/>
            <w:right w:w="108" w:type="dxa"/>
          </w:tblCellMar>
        </w:tblPrEx>
        <w:tc>
          <w:tcPr>
            <w:tcBorders>
              <w:top w:val="single" w:color="auto" w:sz="4" w:space="0"/>
              <w:left w:val="single" w:color="auto" w:sz="4" w:space="0"/>
              <w:bottom w:val="single" w:color="auto" w:sz="4" w:space="0"/>
              <w:right w:val="single" w:color="auto" w:sz="4" w:space="0"/>
            </w:tcBorders>
          </w:tcPr>
          <w:p w14:paraId="169B6546">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2031</w:t>
            </w:r>
          </w:p>
        </w:tc>
        <w:tc>
          <w:tcPr>
            <w:tcBorders>
              <w:top w:val="single" w:color="auto" w:sz="4" w:space="0"/>
              <w:left w:val="single" w:color="auto" w:sz="4" w:space="0"/>
              <w:bottom w:val="single" w:color="auto" w:sz="4" w:space="0"/>
              <w:right w:val="single" w:color="auto" w:sz="4" w:space="0"/>
            </w:tcBorders>
          </w:tcPr>
          <w:p w14:paraId="56DD43ED">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9,06</w:t>
            </w:r>
          </w:p>
        </w:tc>
        <w:tc>
          <w:tcPr>
            <w:tcBorders>
              <w:top w:val="single" w:color="auto" w:sz="4" w:space="0"/>
              <w:left w:val="single" w:color="auto" w:sz="4" w:space="0"/>
              <w:bottom w:val="single" w:color="auto" w:sz="4" w:space="0"/>
              <w:right w:val="single" w:color="auto" w:sz="4" w:space="0"/>
            </w:tcBorders>
          </w:tcPr>
          <w:p w14:paraId="4387445F">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1,90</w:t>
            </w:r>
          </w:p>
        </w:tc>
      </w:tr>
      <w:tr w14:paraId="65CC2E7B">
        <w:tblPrEx>
          <w:tblCellMar>
            <w:top w:w="0" w:type="dxa"/>
            <w:left w:w="108" w:type="dxa"/>
            <w:bottom w:w="0" w:type="dxa"/>
            <w:right w:w="108" w:type="dxa"/>
          </w:tblCellMar>
        </w:tblPrEx>
        <w:tc>
          <w:tcPr>
            <w:tcBorders>
              <w:top w:val="single" w:color="auto" w:sz="4" w:space="0"/>
              <w:left w:val="single" w:color="auto" w:sz="4" w:space="0"/>
              <w:bottom w:val="single" w:color="auto" w:sz="4" w:space="0"/>
              <w:right w:val="single" w:color="auto" w:sz="4" w:space="0"/>
            </w:tcBorders>
          </w:tcPr>
          <w:p w14:paraId="7647FEDC">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2032</w:t>
            </w:r>
          </w:p>
        </w:tc>
        <w:tc>
          <w:tcPr>
            <w:tcBorders>
              <w:top w:val="single" w:color="auto" w:sz="4" w:space="0"/>
              <w:left w:val="single" w:color="auto" w:sz="4" w:space="0"/>
              <w:bottom w:val="single" w:color="auto" w:sz="4" w:space="0"/>
              <w:right w:val="single" w:color="auto" w:sz="4" w:space="0"/>
            </w:tcBorders>
          </w:tcPr>
          <w:p w14:paraId="25BAA32C">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9,06</w:t>
            </w:r>
          </w:p>
        </w:tc>
        <w:tc>
          <w:tcPr>
            <w:tcBorders>
              <w:top w:val="single" w:color="auto" w:sz="4" w:space="0"/>
              <w:left w:val="single" w:color="auto" w:sz="4" w:space="0"/>
              <w:bottom w:val="single" w:color="auto" w:sz="4" w:space="0"/>
              <w:right w:val="single" w:color="auto" w:sz="4" w:space="0"/>
            </w:tcBorders>
          </w:tcPr>
          <w:p w14:paraId="2D9CDEEE">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1,90</w:t>
            </w:r>
          </w:p>
        </w:tc>
      </w:tr>
      <w:tr w14:paraId="2FFC4968">
        <w:tblPrEx>
          <w:tblCellMar>
            <w:top w:w="0" w:type="dxa"/>
            <w:left w:w="108" w:type="dxa"/>
            <w:bottom w:w="0" w:type="dxa"/>
            <w:right w:w="108" w:type="dxa"/>
          </w:tblCellMar>
        </w:tblPrEx>
        <w:tc>
          <w:tcPr>
            <w:tcBorders>
              <w:top w:val="single" w:color="auto" w:sz="4" w:space="0"/>
              <w:left w:val="single" w:color="auto" w:sz="4" w:space="0"/>
              <w:bottom w:val="single" w:color="auto" w:sz="4" w:space="0"/>
              <w:right w:val="single" w:color="auto" w:sz="4" w:space="0"/>
            </w:tcBorders>
          </w:tcPr>
          <w:p w14:paraId="0D3D8ED3">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2033</w:t>
            </w:r>
          </w:p>
        </w:tc>
        <w:tc>
          <w:tcPr>
            <w:tcBorders>
              <w:top w:val="single" w:color="auto" w:sz="4" w:space="0"/>
              <w:left w:val="single" w:color="auto" w:sz="4" w:space="0"/>
              <w:bottom w:val="single" w:color="auto" w:sz="4" w:space="0"/>
              <w:right w:val="single" w:color="auto" w:sz="4" w:space="0"/>
            </w:tcBorders>
          </w:tcPr>
          <w:p w14:paraId="03CAFBE0">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9,06</w:t>
            </w:r>
          </w:p>
        </w:tc>
        <w:tc>
          <w:tcPr>
            <w:tcBorders>
              <w:top w:val="single" w:color="auto" w:sz="4" w:space="0"/>
              <w:left w:val="single" w:color="auto" w:sz="4" w:space="0"/>
              <w:bottom w:val="single" w:color="auto" w:sz="4" w:space="0"/>
              <w:right w:val="single" w:color="auto" w:sz="4" w:space="0"/>
            </w:tcBorders>
          </w:tcPr>
          <w:p w14:paraId="4C2022B5">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1,90</w:t>
            </w:r>
          </w:p>
        </w:tc>
      </w:tr>
      <w:tr w14:paraId="7CB958BD">
        <w:tblPrEx>
          <w:tblCellMar>
            <w:top w:w="0" w:type="dxa"/>
            <w:left w:w="108" w:type="dxa"/>
            <w:bottom w:w="0" w:type="dxa"/>
            <w:right w:w="108" w:type="dxa"/>
          </w:tblCellMar>
        </w:tblPrEx>
        <w:tc>
          <w:tcPr>
            <w:tcBorders>
              <w:top w:val="single" w:color="auto" w:sz="4" w:space="0"/>
              <w:left w:val="single" w:color="auto" w:sz="4" w:space="0"/>
              <w:bottom w:val="single" w:color="auto" w:sz="4" w:space="0"/>
              <w:right w:val="single" w:color="auto" w:sz="4" w:space="0"/>
            </w:tcBorders>
          </w:tcPr>
          <w:p w14:paraId="718844F1">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2034</w:t>
            </w:r>
          </w:p>
        </w:tc>
        <w:tc>
          <w:tcPr>
            <w:tcBorders>
              <w:top w:val="single" w:color="auto" w:sz="4" w:space="0"/>
              <w:left w:val="single" w:color="auto" w:sz="4" w:space="0"/>
              <w:bottom w:val="single" w:color="auto" w:sz="4" w:space="0"/>
              <w:right w:val="single" w:color="auto" w:sz="4" w:space="0"/>
            </w:tcBorders>
          </w:tcPr>
          <w:p w14:paraId="2774EDB7">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9,06</w:t>
            </w:r>
          </w:p>
        </w:tc>
        <w:tc>
          <w:tcPr>
            <w:tcBorders>
              <w:top w:val="single" w:color="auto" w:sz="4" w:space="0"/>
              <w:left w:val="single" w:color="auto" w:sz="4" w:space="0"/>
              <w:bottom w:val="single" w:color="auto" w:sz="4" w:space="0"/>
              <w:right w:val="single" w:color="auto" w:sz="4" w:space="0"/>
            </w:tcBorders>
          </w:tcPr>
          <w:p w14:paraId="634151A4">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1,90</w:t>
            </w:r>
          </w:p>
        </w:tc>
      </w:tr>
      <w:tr w14:paraId="403AAFDA">
        <w:tblPrEx>
          <w:tblCellMar>
            <w:top w:w="0" w:type="dxa"/>
            <w:left w:w="108" w:type="dxa"/>
            <w:bottom w:w="0" w:type="dxa"/>
            <w:right w:w="108" w:type="dxa"/>
          </w:tblCellMar>
        </w:tblPrEx>
        <w:tc>
          <w:tcPr>
            <w:tcBorders>
              <w:top w:val="single" w:color="auto" w:sz="4" w:space="0"/>
              <w:left w:val="single" w:color="auto" w:sz="4" w:space="0"/>
              <w:bottom w:val="single" w:color="auto" w:sz="4" w:space="0"/>
              <w:right w:val="single" w:color="auto" w:sz="4" w:space="0"/>
            </w:tcBorders>
          </w:tcPr>
          <w:p w14:paraId="1A25E017">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2035</w:t>
            </w:r>
          </w:p>
        </w:tc>
        <w:tc>
          <w:tcPr>
            <w:tcBorders>
              <w:top w:val="single" w:color="auto" w:sz="4" w:space="0"/>
              <w:left w:val="single" w:color="auto" w:sz="4" w:space="0"/>
              <w:bottom w:val="single" w:color="auto" w:sz="4" w:space="0"/>
              <w:right w:val="single" w:color="auto" w:sz="4" w:space="0"/>
            </w:tcBorders>
          </w:tcPr>
          <w:p w14:paraId="0449CC60">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9,06</w:t>
            </w:r>
          </w:p>
        </w:tc>
        <w:tc>
          <w:tcPr>
            <w:tcBorders>
              <w:top w:val="single" w:color="auto" w:sz="4" w:space="0"/>
              <w:left w:val="single" w:color="auto" w:sz="4" w:space="0"/>
              <w:bottom w:val="single" w:color="auto" w:sz="4" w:space="0"/>
              <w:right w:val="single" w:color="auto" w:sz="4" w:space="0"/>
            </w:tcBorders>
          </w:tcPr>
          <w:p w14:paraId="4CCE4B53">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1,90</w:t>
            </w:r>
          </w:p>
        </w:tc>
      </w:tr>
      <w:tr w14:paraId="56BA01B8">
        <w:tblPrEx>
          <w:tblCellMar>
            <w:top w:w="0" w:type="dxa"/>
            <w:left w:w="108" w:type="dxa"/>
            <w:bottom w:w="0" w:type="dxa"/>
            <w:right w:w="108" w:type="dxa"/>
          </w:tblCellMar>
        </w:tblPrEx>
        <w:tc>
          <w:tcPr>
            <w:tcBorders>
              <w:top w:val="single" w:color="auto" w:sz="4" w:space="0"/>
              <w:left w:val="single" w:color="auto" w:sz="4" w:space="0"/>
              <w:bottom w:val="single" w:color="auto" w:sz="4" w:space="0"/>
              <w:right w:val="single" w:color="auto" w:sz="4" w:space="0"/>
            </w:tcBorders>
          </w:tcPr>
          <w:p w14:paraId="4BCD8695">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Итого (10 лет)</w:t>
            </w:r>
          </w:p>
        </w:tc>
        <w:tc>
          <w:tcPr>
            <w:tcBorders>
              <w:top w:val="single" w:color="auto" w:sz="4" w:space="0"/>
              <w:left w:val="single" w:color="auto" w:sz="4" w:space="0"/>
              <w:bottom w:val="single" w:color="auto" w:sz="4" w:space="0"/>
              <w:right w:val="single" w:color="auto" w:sz="4" w:space="0"/>
            </w:tcBorders>
          </w:tcPr>
          <w:p w14:paraId="1A960370">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90,6</w:t>
            </w:r>
          </w:p>
        </w:tc>
        <w:tc>
          <w:tcPr>
            <w:tcBorders>
              <w:top w:val="single" w:color="auto" w:sz="4" w:space="0"/>
              <w:left w:val="single" w:color="auto" w:sz="4" w:space="0"/>
              <w:bottom w:val="single" w:color="auto" w:sz="4" w:space="0"/>
              <w:right w:val="single" w:color="auto" w:sz="4" w:space="0"/>
            </w:tcBorders>
          </w:tcPr>
          <w:p w14:paraId="1E1651C9">
            <w:pPr>
              <w:pStyle w:val="29"/>
              <w:pageBreakBefore w:val="0"/>
              <w:widowControl/>
              <w:kinsoku/>
              <w:wordWrap/>
              <w:overflowPunct/>
              <w:topLinePunct w:val="0"/>
              <w:autoSpaceDE/>
              <w:autoSpaceDN/>
              <w:bidi w:val="0"/>
              <w:adjustRightInd/>
              <w:snapToGrid/>
              <w:spacing w:before="0" w:after="0"/>
              <w:ind w:left="0" w:leftChars="0" w:firstLine="0" w:firstLineChars="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19,0</w:t>
            </w:r>
          </w:p>
        </w:tc>
      </w:tr>
    </w:tbl>
    <w:p w14:paraId="33EC7755">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p>
    <w:p w14:paraId="5F23DFF6">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p>
    <w:p w14:paraId="151191F2">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Как следует из расч</w:t>
      </w:r>
      <w:r>
        <w:rPr>
          <w:rFonts w:hint="default" w:ascii="Times New Roman" w:hAnsi="Times New Roman" w:cs="Times New Roman"/>
          <w:sz w:val="24"/>
          <w:szCs w:val="24"/>
          <w:lang w:val="ru-RU"/>
        </w:rPr>
        <w:t>е</w:t>
      </w:r>
      <w:r>
        <w:rPr>
          <w:rFonts w:hint="default" w:ascii="Times New Roman" w:hAnsi="Times New Roman" w:cs="Times New Roman"/>
          <w:sz w:val="24"/>
          <w:szCs w:val="24"/>
        </w:rPr>
        <w:t xml:space="preserve">та, при стабильной работе объекта ожидаемое образование твердых бытовых отходов составляет порядка </w:t>
      </w:r>
      <w:r>
        <w:rPr>
          <w:rFonts w:hint="default" w:ascii="Times New Roman" w:hAnsi="Times New Roman" w:cs="Times New Roman"/>
          <w:b/>
          <w:bCs/>
          <w:sz w:val="24"/>
          <w:szCs w:val="24"/>
        </w:rPr>
        <w:t>1,9 тонны в год</w:t>
      </w:r>
      <w:r>
        <w:rPr>
          <w:rFonts w:hint="default" w:ascii="Times New Roman" w:hAnsi="Times New Roman" w:cs="Times New Roman"/>
          <w:sz w:val="24"/>
          <w:szCs w:val="24"/>
        </w:rPr>
        <w:t xml:space="preserve"> (около 2 т/год). Суммарно за 10-летний период образуется до ~19 тонн ТБО. Фактически образуемое количество может незначительно колебаться (в зависимости от реальной посещаемости и активности персонала), однако не превысит приведенных ориентировочных значений. Данный объем относительно невелик и сопоставим, к примеру, с количеством коммунальных отходов небольшого офисного здания.</w:t>
      </w:r>
    </w:p>
    <w:p w14:paraId="7D089999">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b/>
          <w:bCs/>
          <w:sz w:val="24"/>
          <w:szCs w:val="24"/>
        </w:rPr>
      </w:pPr>
    </w:p>
    <w:p w14:paraId="635782F6">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8.3 Накопление отходов.</w:t>
      </w:r>
      <w:r>
        <w:rPr>
          <w:rFonts w:hint="default" w:ascii="Times New Roman" w:hAnsi="Times New Roman" w:cs="Times New Roman"/>
          <w:sz w:val="24"/>
          <w:szCs w:val="24"/>
        </w:rPr>
        <w:t xml:space="preserve"> На объекте предусмотрено </w:t>
      </w:r>
      <w:r>
        <w:rPr>
          <w:rFonts w:hint="default" w:ascii="Times New Roman" w:hAnsi="Times New Roman" w:cs="Times New Roman"/>
          <w:b/>
          <w:bCs/>
          <w:sz w:val="24"/>
          <w:szCs w:val="24"/>
        </w:rPr>
        <w:t>временное накопление</w:t>
      </w:r>
      <w:r>
        <w:rPr>
          <w:rFonts w:hint="default" w:ascii="Times New Roman" w:hAnsi="Times New Roman" w:cs="Times New Roman"/>
          <w:sz w:val="24"/>
          <w:szCs w:val="24"/>
        </w:rPr>
        <w:t xml:space="preserve"> образующихся ТБО в специально оборудованном месте – в контейнере с крышкой. Накопление носит краткосрочный характер: отходы хранятся до вывоза специализированной организацией. Согласно экологическим требованиям, </w:t>
      </w:r>
      <w:r>
        <w:rPr>
          <w:rFonts w:hint="default" w:ascii="Times New Roman" w:hAnsi="Times New Roman" w:cs="Times New Roman"/>
          <w:b/>
          <w:bCs/>
          <w:sz w:val="24"/>
          <w:szCs w:val="24"/>
        </w:rPr>
        <w:t>срок временного хранение отходов не превышает 6 месяцев</w:t>
      </w:r>
      <w:r>
        <w:rPr>
          <w:rFonts w:hint="default" w:ascii="Times New Roman" w:hAnsi="Times New Roman" w:cs="Times New Roman"/>
          <w:sz w:val="24"/>
          <w:szCs w:val="24"/>
        </w:rPr>
        <w:t xml:space="preserve"> с момента образования. В случае данного объекта вывоз ТБО организован, как правило, </w:t>
      </w:r>
      <w:r>
        <w:rPr>
          <w:rFonts w:hint="default" w:ascii="Times New Roman" w:hAnsi="Times New Roman" w:cs="Times New Roman"/>
          <w:b/>
          <w:bCs/>
          <w:sz w:val="24"/>
          <w:szCs w:val="24"/>
        </w:rPr>
        <w:t>ежемесячно</w:t>
      </w:r>
      <w:r>
        <w:rPr>
          <w:rFonts w:hint="default" w:ascii="Times New Roman" w:hAnsi="Times New Roman" w:cs="Times New Roman"/>
          <w:sz w:val="24"/>
          <w:szCs w:val="24"/>
        </w:rPr>
        <w:t xml:space="preserve"> либо по мере заполнения контейнера (что наступает примерно раз в 2–3 недели). Таким образом, длительного складирования отходов не происходит. Место накопления содержится в чистоте; после опустошения контейнера при вывозе выполняется его очистка при необходимости. Объем контейнера (≈1 м³) ограничивает количество одновременного хранения отходов – на площадке не может одновременно накопиться более ~0,2 т ТБО (что существенно ниже годового образования). Это обеспечивает дополнительный запас по времени и безопасности хранения. </w:t>
      </w:r>
      <w:r>
        <w:rPr>
          <w:rFonts w:hint="default" w:ascii="Times New Roman" w:hAnsi="Times New Roman" w:cs="Times New Roman"/>
          <w:b/>
          <w:bCs/>
          <w:sz w:val="24"/>
          <w:szCs w:val="24"/>
        </w:rPr>
        <w:t>Накопление отходов осуществляется строго в отведенном контейнере</w:t>
      </w:r>
      <w:r>
        <w:rPr>
          <w:rFonts w:hint="default" w:ascii="Times New Roman" w:hAnsi="Times New Roman" w:cs="Times New Roman"/>
          <w:sz w:val="24"/>
          <w:szCs w:val="24"/>
        </w:rPr>
        <w:t>, с исключением рассеивания или размывания отходов в окружающую среду.</w:t>
      </w:r>
    </w:p>
    <w:p w14:paraId="11577A83">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b/>
          <w:bCs/>
          <w:sz w:val="24"/>
          <w:szCs w:val="24"/>
        </w:rPr>
      </w:pPr>
    </w:p>
    <w:p w14:paraId="7E090C1C">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8.4 Лимиты накопления отходов.</w:t>
      </w:r>
      <w:r>
        <w:rPr>
          <w:rFonts w:hint="default" w:ascii="Times New Roman" w:hAnsi="Times New Roman" w:cs="Times New Roman"/>
          <w:sz w:val="24"/>
          <w:szCs w:val="24"/>
        </w:rPr>
        <w:t xml:space="preserve"> </w:t>
      </w:r>
    </w:p>
    <w:p w14:paraId="2F57ACD6">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b/>
          <w:bCs/>
          <w:sz w:val="24"/>
          <w:szCs w:val="24"/>
          <w:lang w:val="ru-RU"/>
        </w:rPr>
      </w:pPr>
      <w:r>
        <w:rPr>
          <w:rFonts w:hint="default" w:ascii="Times New Roman" w:hAnsi="Times New Roman" w:cs="Times New Roman"/>
          <w:b/>
          <w:bCs/>
          <w:sz w:val="24"/>
          <w:szCs w:val="24"/>
          <w:lang w:val="ru-RU"/>
        </w:rPr>
        <w:t>8.4.1. Отходы ТБО.</w:t>
      </w:r>
    </w:p>
    <w:p w14:paraId="37A0960F">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В соответствии с экологическим законодательством, </w:t>
      </w:r>
      <w:r>
        <w:rPr>
          <w:rFonts w:hint="default" w:ascii="Times New Roman" w:hAnsi="Times New Roman" w:cs="Times New Roman"/>
          <w:b/>
          <w:bCs/>
          <w:sz w:val="24"/>
          <w:szCs w:val="24"/>
        </w:rPr>
        <w:t>лимиты на накопление и захоронение отходов для объектов III и IV категорий не устанавливаются</w:t>
      </w:r>
      <w:r>
        <w:rPr>
          <w:rFonts w:hint="default" w:ascii="Times New Roman" w:hAnsi="Times New Roman" w:cs="Times New Roman"/>
          <w:sz w:val="24"/>
          <w:szCs w:val="24"/>
        </w:rPr>
        <w:t xml:space="preserve"> и не подлежат экологическому нормированию (п.8 ст.41 ЭК РК [1]). Поэтому для данного объекта нормативы предельно допустимого накопления отходов </w:t>
      </w:r>
      <w:r>
        <w:rPr>
          <w:rFonts w:hint="default" w:ascii="Times New Roman" w:hAnsi="Times New Roman" w:cs="Times New Roman"/>
          <w:sz w:val="24"/>
          <w:szCs w:val="24"/>
          <w:lang w:val="ru-RU"/>
        </w:rPr>
        <w:t xml:space="preserve">ТБО </w:t>
      </w:r>
      <w:r>
        <w:rPr>
          <w:rFonts w:hint="default" w:ascii="Times New Roman" w:hAnsi="Times New Roman" w:cs="Times New Roman"/>
          <w:sz w:val="24"/>
          <w:szCs w:val="24"/>
        </w:rPr>
        <w:t xml:space="preserve">в рамках проекта не рассчитывались. Имеющееся количество отходов (≈1,9 т/год) незначительно и полностью удаляется с территории в установленные сроки. Временное хранение происходит в специально предназначенной таре (контейнере), объем которой заведомо ограничивает накопление сверх меры. Таким образом, можно считать, что фактические </w:t>
      </w:r>
      <w:r>
        <w:rPr>
          <w:rFonts w:hint="default" w:ascii="Times New Roman" w:hAnsi="Times New Roman" w:cs="Times New Roman"/>
          <w:b/>
          <w:bCs/>
          <w:sz w:val="24"/>
          <w:szCs w:val="24"/>
        </w:rPr>
        <w:t>лимиты накопления</w:t>
      </w:r>
      <w:r>
        <w:rPr>
          <w:rFonts w:hint="default" w:ascii="Times New Roman" w:hAnsi="Times New Roman" w:cs="Times New Roman"/>
          <w:sz w:val="24"/>
          <w:szCs w:val="24"/>
        </w:rPr>
        <w:t xml:space="preserve"> отходов определяются вместимостью контейнера и частотой вывоза по договору. Предприятие не планирует размещать или захоранивать отходы на собственной территории, поэтому лимиты размещения на полигонах устанавливаются для полигона (а не для данного объекта).</w:t>
      </w:r>
    </w:p>
    <w:p w14:paraId="2331610F">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b/>
          <w:bCs/>
          <w:sz w:val="24"/>
          <w:szCs w:val="24"/>
          <w:lang w:val="ru-RU"/>
        </w:rPr>
      </w:pPr>
      <w:r>
        <w:rPr>
          <w:rFonts w:hint="default" w:ascii="Times New Roman" w:hAnsi="Times New Roman" w:cs="Times New Roman"/>
          <w:b/>
          <w:bCs/>
          <w:sz w:val="24"/>
          <w:szCs w:val="24"/>
          <w:lang w:val="ru-RU"/>
        </w:rPr>
        <w:t>8.4.2. Отходы металлолома.</w:t>
      </w:r>
    </w:p>
    <w:p w14:paraId="038C3FFC">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lang w:val="ru-RU"/>
        </w:rPr>
      </w:pPr>
      <w:r>
        <w:rPr>
          <w:rFonts w:hint="default" w:ascii="Times New Roman" w:hAnsi="Times New Roman" w:cs="Times New Roman"/>
          <w:sz w:val="24"/>
          <w:szCs w:val="24"/>
          <w:lang w:val="ru-RU"/>
        </w:rPr>
        <w:t xml:space="preserve">Металлолом, временно собирающийся и накапливающийся на площадке предприятия для передачи на переработку другим спецпредприятиям относится к неопасным отходам (код по Классификатору отходов </w:t>
      </w:r>
      <w:r>
        <w:rPr>
          <w:rFonts w:hint="default" w:ascii="Times New Roman" w:hAnsi="Times New Roman" w:cs="Times New Roman"/>
          <w:sz w:val="24"/>
          <w:szCs w:val="24"/>
        </w:rPr>
        <w:t>16</w:t>
      </w:r>
      <w:r>
        <w:rPr>
          <w:rFonts w:hint="default" w:ascii="Times New Roman" w:hAnsi="Times New Roman" w:cs="Times New Roman"/>
          <w:sz w:val="24"/>
          <w:szCs w:val="24"/>
          <w:lang w:val="ru-RU"/>
        </w:rPr>
        <w:t xml:space="preserve"> </w:t>
      </w:r>
      <w:r>
        <w:rPr>
          <w:rFonts w:hint="default" w:ascii="Times New Roman" w:hAnsi="Times New Roman" w:cs="Times New Roman"/>
          <w:sz w:val="24"/>
          <w:szCs w:val="24"/>
        </w:rPr>
        <w:t>01</w:t>
      </w:r>
      <w:r>
        <w:rPr>
          <w:rFonts w:hint="default" w:ascii="Times New Roman" w:hAnsi="Times New Roman" w:cs="Times New Roman"/>
          <w:sz w:val="24"/>
          <w:szCs w:val="24"/>
          <w:lang w:val="ru-RU"/>
        </w:rPr>
        <w:t xml:space="preserve"> </w:t>
      </w:r>
      <w:r>
        <w:rPr>
          <w:rFonts w:hint="default" w:ascii="Times New Roman" w:hAnsi="Times New Roman" w:cs="Times New Roman"/>
          <w:sz w:val="24"/>
          <w:szCs w:val="24"/>
        </w:rPr>
        <w:t>17</w:t>
      </w:r>
      <w:r>
        <w:rPr>
          <w:rFonts w:hint="default" w:ascii="Times New Roman" w:hAnsi="Times New Roman" w:cs="Times New Roman"/>
          <w:sz w:val="24"/>
          <w:szCs w:val="24"/>
          <w:lang w:val="ru-RU"/>
        </w:rPr>
        <w:t>) в объеме до 1000 т/год, также не подлежит нормированию, так как предприятия, относящиеся к</w:t>
      </w:r>
      <w:r>
        <w:rPr>
          <w:rFonts w:hint="default" w:ascii="Times New Roman" w:hAnsi="Times New Roman" w:cs="Times New Roman"/>
          <w:b/>
          <w:bCs/>
          <w:sz w:val="24"/>
          <w:szCs w:val="24"/>
        </w:rPr>
        <w:t xml:space="preserve"> объект</w:t>
      </w:r>
      <w:r>
        <w:rPr>
          <w:rFonts w:hint="default" w:ascii="Times New Roman" w:hAnsi="Times New Roman" w:cs="Times New Roman"/>
          <w:b/>
          <w:bCs/>
          <w:sz w:val="24"/>
          <w:szCs w:val="24"/>
          <w:lang w:val="ru-RU"/>
        </w:rPr>
        <w:t>ам</w:t>
      </w:r>
      <w:r>
        <w:rPr>
          <w:rFonts w:hint="default" w:ascii="Times New Roman" w:hAnsi="Times New Roman" w:cs="Times New Roman"/>
          <w:b/>
          <w:bCs/>
          <w:sz w:val="24"/>
          <w:szCs w:val="24"/>
        </w:rPr>
        <w:t xml:space="preserve"> III и IV категорий</w:t>
      </w:r>
      <w:r>
        <w:rPr>
          <w:rFonts w:hint="default" w:ascii="Times New Roman" w:hAnsi="Times New Roman" w:cs="Times New Roman"/>
          <w:b/>
          <w:bCs/>
          <w:sz w:val="24"/>
          <w:szCs w:val="24"/>
          <w:lang w:val="ru-RU"/>
        </w:rPr>
        <w:t>,</w:t>
      </w:r>
      <w:r>
        <w:rPr>
          <w:rFonts w:hint="default" w:ascii="Times New Roman" w:hAnsi="Times New Roman" w:cs="Times New Roman"/>
          <w:b/>
          <w:bCs/>
          <w:sz w:val="24"/>
          <w:szCs w:val="24"/>
        </w:rPr>
        <w:t xml:space="preserve"> лимиты на накопление и захоронение отходов не устанавливают</w:t>
      </w:r>
      <w:r>
        <w:rPr>
          <w:rFonts w:hint="default" w:ascii="Times New Roman" w:hAnsi="Times New Roman" w:cs="Times New Roman"/>
          <w:sz w:val="24"/>
          <w:szCs w:val="24"/>
        </w:rPr>
        <w:t xml:space="preserve"> и не подлежат экологическому нормированию (п.8 ст.41 ЭК РК [1]).</w:t>
      </w:r>
      <w:r>
        <w:rPr>
          <w:rFonts w:hint="default" w:ascii="Times New Roman" w:hAnsi="Times New Roman" w:cs="Times New Roman"/>
          <w:sz w:val="24"/>
          <w:szCs w:val="24"/>
          <w:lang w:val="ru-RU"/>
        </w:rPr>
        <w:t xml:space="preserve"> </w:t>
      </w:r>
      <w:r>
        <w:rPr>
          <w:rFonts w:hint="default" w:ascii="Times New Roman" w:hAnsi="Times New Roman" w:cs="Times New Roman"/>
          <w:sz w:val="24"/>
          <w:szCs w:val="24"/>
        </w:rPr>
        <w:t xml:space="preserve">Временное хранение происходит в </w:t>
      </w:r>
      <w:r>
        <w:rPr>
          <w:rFonts w:hint="default" w:ascii="Times New Roman" w:hAnsi="Times New Roman" w:cs="Times New Roman"/>
          <w:sz w:val="24"/>
          <w:szCs w:val="24"/>
          <w:lang w:val="ru-RU"/>
        </w:rPr>
        <w:t>на площадке с гравийным покрытием площадью около 150 м</w:t>
      </w:r>
      <w:r>
        <w:rPr>
          <w:rFonts w:hint="default" w:ascii="Times New Roman" w:hAnsi="Times New Roman" w:cs="Times New Roman"/>
          <w:sz w:val="24"/>
          <w:szCs w:val="24"/>
          <w:vertAlign w:val="superscript"/>
          <w:lang w:val="ru-RU"/>
        </w:rPr>
        <w:t>2</w:t>
      </w:r>
      <w:r>
        <w:rPr>
          <w:rFonts w:hint="default" w:ascii="Times New Roman" w:hAnsi="Times New Roman" w:cs="Times New Roman"/>
          <w:sz w:val="24"/>
          <w:szCs w:val="24"/>
        </w:rPr>
        <w:t xml:space="preserve">. Таким образом, можно считать, что фактические </w:t>
      </w:r>
      <w:r>
        <w:rPr>
          <w:rFonts w:hint="default" w:ascii="Times New Roman" w:hAnsi="Times New Roman" w:cs="Times New Roman"/>
          <w:b/>
          <w:bCs/>
          <w:sz w:val="24"/>
          <w:szCs w:val="24"/>
        </w:rPr>
        <w:t>лимиты накопления</w:t>
      </w:r>
      <w:r>
        <w:rPr>
          <w:rFonts w:hint="default" w:ascii="Times New Roman" w:hAnsi="Times New Roman" w:cs="Times New Roman"/>
          <w:sz w:val="24"/>
          <w:szCs w:val="24"/>
        </w:rPr>
        <w:t xml:space="preserve"> отходов определяются вместимостью </w:t>
      </w:r>
      <w:r>
        <w:rPr>
          <w:rFonts w:hint="default" w:ascii="Times New Roman" w:hAnsi="Times New Roman" w:cs="Times New Roman"/>
          <w:sz w:val="24"/>
          <w:szCs w:val="24"/>
          <w:lang w:val="ru-RU"/>
        </w:rPr>
        <w:t>площадки</w:t>
      </w:r>
      <w:r>
        <w:rPr>
          <w:rFonts w:hint="default" w:ascii="Times New Roman" w:hAnsi="Times New Roman" w:cs="Times New Roman"/>
          <w:sz w:val="24"/>
          <w:szCs w:val="24"/>
        </w:rPr>
        <w:t xml:space="preserve"> и частотой вывоза по договор</w:t>
      </w:r>
      <w:r>
        <w:rPr>
          <w:rFonts w:hint="default" w:ascii="Times New Roman" w:hAnsi="Times New Roman" w:cs="Times New Roman"/>
          <w:sz w:val="24"/>
          <w:szCs w:val="24"/>
          <w:lang w:val="ru-RU"/>
        </w:rPr>
        <w:t>ам на переработку</w:t>
      </w:r>
      <w:r>
        <w:rPr>
          <w:rFonts w:hint="default" w:ascii="Times New Roman" w:hAnsi="Times New Roman" w:cs="Times New Roman"/>
          <w:sz w:val="24"/>
          <w:szCs w:val="24"/>
        </w:rPr>
        <w:t>.</w:t>
      </w:r>
    </w:p>
    <w:p w14:paraId="59E914DC">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8.5 Управление отходами.</w:t>
      </w:r>
      <w:r>
        <w:rPr>
          <w:rFonts w:hint="default" w:ascii="Times New Roman" w:hAnsi="Times New Roman" w:cs="Times New Roman"/>
          <w:sz w:val="24"/>
          <w:szCs w:val="24"/>
        </w:rPr>
        <w:t xml:space="preserve"> На предприятии внедрена система управления отходами, соответствующая требованиям Экологического кодекса РК и санитарных правил. Основные процессы включают </w:t>
      </w:r>
      <w:r>
        <w:rPr>
          <w:rFonts w:hint="default" w:ascii="Times New Roman" w:hAnsi="Times New Roman" w:cs="Times New Roman"/>
          <w:b/>
          <w:bCs/>
          <w:sz w:val="24"/>
          <w:szCs w:val="24"/>
        </w:rPr>
        <w:t>инвентаризацию образующихся отходов</w:t>
      </w:r>
      <w:r>
        <w:rPr>
          <w:rFonts w:hint="default" w:ascii="Times New Roman" w:hAnsi="Times New Roman" w:cs="Times New Roman"/>
          <w:sz w:val="24"/>
          <w:szCs w:val="24"/>
        </w:rPr>
        <w:t xml:space="preserve">, их идентификацию (отнесение к классу опасности, присвоение кода по классификатору), сбор, надлежащее хранение и своевременную передачу специализированным организациям для утилизации или захоронения. Руководство предприятия осознает </w:t>
      </w:r>
      <w:r>
        <w:rPr>
          <w:rFonts w:hint="default" w:ascii="Times New Roman" w:hAnsi="Times New Roman" w:cs="Times New Roman"/>
          <w:b/>
          <w:bCs/>
          <w:sz w:val="24"/>
          <w:szCs w:val="24"/>
        </w:rPr>
        <w:t>ответственность за охрану компонентов окружающей среды</w:t>
      </w:r>
      <w:r>
        <w:rPr>
          <w:rFonts w:hint="default" w:ascii="Times New Roman" w:hAnsi="Times New Roman" w:cs="Times New Roman"/>
          <w:sz w:val="24"/>
          <w:szCs w:val="24"/>
        </w:rPr>
        <w:t xml:space="preserve"> (атмосферы, почв, вод) от загрязнения отходами производства и потребления. В сфере обращения с отходами реализуются следующие принципиальные подходы:</w:t>
      </w:r>
    </w:p>
    <w:p w14:paraId="66824A8C">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Минимизация образования отходов.</w:t>
      </w:r>
      <w:r>
        <w:rPr>
          <w:rFonts w:hint="default" w:ascii="Times New Roman" w:hAnsi="Times New Roman" w:cs="Times New Roman"/>
          <w:sz w:val="24"/>
          <w:szCs w:val="24"/>
        </w:rPr>
        <w:t xml:space="preserve"> За счет оптимизации внутренних процессов, повторного использования материалов и экономного потребления ресурсов достигается сокращение количества отходов.</w:t>
      </w:r>
    </w:p>
    <w:p w14:paraId="557C387B">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Раздельный сбор</w:t>
      </w:r>
      <w:r>
        <w:rPr>
          <w:rFonts w:hint="default" w:ascii="Times New Roman" w:hAnsi="Times New Roman" w:cs="Times New Roman"/>
          <w:sz w:val="24"/>
          <w:szCs w:val="24"/>
        </w:rPr>
        <w:t xml:space="preserve"> и первичная сортировка отходов. При наличии технической возможности, отходы разделяются по видам для облегчения их последующей переработки (бумага, пластик, металл и т.д.).</w:t>
      </w:r>
    </w:p>
    <w:p w14:paraId="20974022">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Утилизация и переработка.</w:t>
      </w:r>
      <w:r>
        <w:rPr>
          <w:rFonts w:hint="default" w:ascii="Times New Roman" w:hAnsi="Times New Roman" w:cs="Times New Roman"/>
          <w:sz w:val="24"/>
          <w:szCs w:val="24"/>
        </w:rPr>
        <w:t xml:space="preserve"> Отходы, пригодные для вторичного использования или переработки, направляются на соответствующие предприятия (например, макулатура, пластмассы могут быть переданы на переработку по отдельным договорам).</w:t>
      </w:r>
    </w:p>
    <w:p w14:paraId="46509145">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Безопасное удаление.</w:t>
      </w:r>
      <w:r>
        <w:rPr>
          <w:rFonts w:hint="default" w:ascii="Times New Roman" w:hAnsi="Times New Roman" w:cs="Times New Roman"/>
          <w:sz w:val="24"/>
          <w:szCs w:val="24"/>
        </w:rPr>
        <w:t xml:space="preserve"> Отходы, которые не могут быть утилизированы, передаются на лицензированный полигон коммунальных отходов, обеспечивающий их захоронение с соблюдением экологических норм.</w:t>
      </w:r>
    </w:p>
    <w:p w14:paraId="46145FFF">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На предприятии назначены ответственные лица за обращение с отходами. Проводится регулярный учет и </w:t>
      </w:r>
      <w:r>
        <w:rPr>
          <w:rFonts w:hint="default" w:ascii="Times New Roman" w:hAnsi="Times New Roman" w:cs="Times New Roman"/>
          <w:b/>
          <w:bCs/>
          <w:sz w:val="24"/>
          <w:szCs w:val="24"/>
        </w:rPr>
        <w:t>отчетность по отходам</w:t>
      </w:r>
      <w:r>
        <w:rPr>
          <w:rFonts w:hint="default" w:ascii="Times New Roman" w:hAnsi="Times New Roman" w:cs="Times New Roman"/>
          <w:sz w:val="24"/>
          <w:szCs w:val="24"/>
        </w:rPr>
        <w:t xml:space="preserve"> в соответствии с требованиями (годовая форма отчетности в уполномоченные органы). Все образующиеся виды отходов отражаются в </w:t>
      </w:r>
      <w:r>
        <w:rPr>
          <w:rFonts w:hint="default" w:ascii="Times New Roman" w:hAnsi="Times New Roman" w:cs="Times New Roman"/>
          <w:b/>
          <w:bCs/>
          <w:sz w:val="24"/>
          <w:szCs w:val="24"/>
        </w:rPr>
        <w:t>журнале учета отходов</w:t>
      </w:r>
      <w:r>
        <w:rPr>
          <w:rFonts w:hint="default" w:ascii="Times New Roman" w:hAnsi="Times New Roman" w:cs="Times New Roman"/>
          <w:sz w:val="24"/>
          <w:szCs w:val="24"/>
        </w:rPr>
        <w:t>. Для опасных отходов (если такие появятся в будущем) оформляются паспорта опасных отходов установленного образца. В настоящее время в деятельности объекта отсутствуют отходы, требующие специальных условий (I–III классы опасности</w:t>
      </w:r>
      <w:r>
        <w:rPr>
          <w:rFonts w:hint="default" w:ascii="Times New Roman" w:hAnsi="Times New Roman" w:cs="Times New Roman"/>
          <w:sz w:val="24"/>
          <w:szCs w:val="24"/>
          <w:lang w:val="ru-RU"/>
        </w:rPr>
        <w:t>/опасные отходы</w:t>
      </w:r>
      <w:r>
        <w:rPr>
          <w:rFonts w:hint="default" w:ascii="Times New Roman" w:hAnsi="Times New Roman" w:cs="Times New Roman"/>
          <w:sz w:val="24"/>
          <w:szCs w:val="24"/>
        </w:rPr>
        <w:t>). Тем не менее, предприятие готово внедрить необходимые процедуры паспортизации и обращения, если подобные отходы образуются (например, замена люминесцентных ламп, аккумуляторов и др. в будущем).</w:t>
      </w:r>
    </w:p>
    <w:p w14:paraId="7B692487">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Временное хранение ТБО на площадке осуществляется в контейнере, </w:t>
      </w:r>
      <w:r>
        <w:rPr>
          <w:rFonts w:hint="default" w:ascii="Times New Roman" w:hAnsi="Times New Roman" w:cs="Times New Roman"/>
          <w:b/>
          <w:bCs/>
          <w:sz w:val="24"/>
          <w:szCs w:val="24"/>
        </w:rPr>
        <w:t>отвечающем санитарно-эпидемиологическим требованиям</w:t>
      </w:r>
      <w:r>
        <w:rPr>
          <w:rFonts w:hint="default" w:ascii="Times New Roman" w:hAnsi="Times New Roman" w:cs="Times New Roman"/>
          <w:sz w:val="24"/>
          <w:szCs w:val="24"/>
        </w:rPr>
        <w:t>: контейнер имеет крышку, исключающую распространение запахов и разлета мусора, и размещен на ровной площадке под навесом. Контейнер промаркирован (надпись о виде отходов). После накопления оптимального количества отходов, не превышающего вместимости контейнера, производится вывоз согласно заключенному договору. Информация о каждом вывозе (дата, объем) фиксируется в журнале учета.</w:t>
      </w:r>
    </w:p>
    <w:p w14:paraId="0CA2F1D9">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8.6 Мероприятия по снижению влияния отходов.</w:t>
      </w:r>
      <w:r>
        <w:rPr>
          <w:rFonts w:hint="default" w:ascii="Times New Roman" w:hAnsi="Times New Roman" w:cs="Times New Roman"/>
          <w:sz w:val="24"/>
          <w:szCs w:val="24"/>
        </w:rPr>
        <w:t xml:space="preserve"> Для минимизации возможного негативного влияния образующихся отходов на окружающую среду и санитарное состояние, на объекте реализуются следующие меры:</w:t>
      </w:r>
    </w:p>
    <w:p w14:paraId="48C01D17">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Раздельный сбор мусора.</w:t>
      </w:r>
      <w:r>
        <w:rPr>
          <w:rFonts w:hint="default" w:ascii="Times New Roman" w:hAnsi="Times New Roman" w:cs="Times New Roman"/>
          <w:sz w:val="24"/>
          <w:szCs w:val="24"/>
        </w:rPr>
        <w:t xml:space="preserve"> При наличии возможности, работники разделяют отходы по видам (бумага, пластик, металл) в отдельные емкости. Это повышает долю утилизируемых фракций и снижает объем захораниваемых отходов.</w:t>
      </w:r>
    </w:p>
    <w:p w14:paraId="4A88CAAD">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Использование закрытой тары.</w:t>
      </w:r>
      <w:r>
        <w:rPr>
          <w:rFonts w:hint="default" w:ascii="Times New Roman" w:hAnsi="Times New Roman" w:cs="Times New Roman"/>
          <w:sz w:val="24"/>
          <w:szCs w:val="24"/>
        </w:rPr>
        <w:t xml:space="preserve"> Все бытовые отходы сбрасываются в </w:t>
      </w:r>
      <w:r>
        <w:rPr>
          <w:rFonts w:hint="default" w:ascii="Times New Roman" w:hAnsi="Times New Roman" w:cs="Times New Roman"/>
          <w:b/>
          <w:bCs/>
          <w:sz w:val="24"/>
          <w:szCs w:val="24"/>
        </w:rPr>
        <w:t>контейнер с плотно закрывающейся крышкой</w:t>
      </w:r>
      <w:r>
        <w:rPr>
          <w:rFonts w:hint="default" w:ascii="Times New Roman" w:hAnsi="Times New Roman" w:cs="Times New Roman"/>
          <w:sz w:val="24"/>
          <w:szCs w:val="24"/>
        </w:rPr>
        <w:t>, что предотвращает разлет легкого мусора ветром и ограничивает доступ птиц и животных к отходам.</w:t>
      </w:r>
    </w:p>
    <w:p w14:paraId="63AC46F7">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Регулярный вывоз.</w:t>
      </w:r>
      <w:r>
        <w:rPr>
          <w:rFonts w:hint="default" w:ascii="Times New Roman" w:hAnsi="Times New Roman" w:cs="Times New Roman"/>
          <w:sz w:val="24"/>
          <w:szCs w:val="24"/>
        </w:rPr>
        <w:t xml:space="preserve"> Заключен договор со специализированной компанией на вывоз ТБО. Вывоз производится не реже 1 раза в месяц (при накоплении – чаще), что предупреждает переполнение контейнера и длительное лежание отходов.</w:t>
      </w:r>
    </w:p>
    <w:p w14:paraId="0425F4F2">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Инструктаж персонала.</w:t>
      </w:r>
      <w:r>
        <w:rPr>
          <w:rFonts w:hint="default" w:ascii="Times New Roman" w:hAnsi="Times New Roman" w:cs="Times New Roman"/>
          <w:sz w:val="24"/>
          <w:szCs w:val="24"/>
        </w:rPr>
        <w:t xml:space="preserve"> Работникам даны указания по правилам обращения с отходами: складывать мусор только в контейнер, не оставлять его на территории, уведомлять ответственное лицо при заполнении контейнера для своевременного вывоза.</w:t>
      </w:r>
    </w:p>
    <w:p w14:paraId="179DFC3B">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Эти мероприятия позволяют поддерживать чистоту на территории и сводят к минимуму риск попадания отходов в окружающую среду. В результате обеспечивается соответствие требованиям санитарных правил при обращении с отходами производства и потребления.</w:t>
      </w:r>
    </w:p>
    <w:p w14:paraId="156C7BA1">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8.7 Виды и количество отходов, включаемых в декларацию.</w:t>
      </w:r>
      <w:r>
        <w:rPr>
          <w:rFonts w:hint="default" w:ascii="Times New Roman" w:hAnsi="Times New Roman" w:cs="Times New Roman"/>
          <w:sz w:val="24"/>
          <w:szCs w:val="24"/>
        </w:rPr>
        <w:t xml:space="preserve"> Согласно Экологическому кодексу, предприятие при подготовке декларации о воздействии на окружающую среду должно отразить сведения о образующихся отходах. На основе проведенной инвентаризации, в декларацию будут включены следующие виды отходов:</w:t>
      </w:r>
    </w:p>
    <w:p w14:paraId="4250557B">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Твердые бытовые отходы (ТБО)</w:t>
      </w:r>
      <w:r>
        <w:rPr>
          <w:rFonts w:hint="default" w:ascii="Times New Roman" w:hAnsi="Times New Roman" w:cs="Times New Roman"/>
          <w:sz w:val="24"/>
          <w:szCs w:val="24"/>
        </w:rPr>
        <w:t xml:space="preserve"> – ориентировочное количество </w:t>
      </w:r>
      <w:r>
        <w:rPr>
          <w:rFonts w:hint="default" w:ascii="Times New Roman" w:hAnsi="Times New Roman" w:cs="Times New Roman"/>
          <w:b/>
          <w:bCs/>
          <w:sz w:val="24"/>
          <w:szCs w:val="24"/>
        </w:rPr>
        <w:t>1,9 т/год</w:t>
      </w:r>
      <w:r>
        <w:rPr>
          <w:rFonts w:hint="default" w:ascii="Times New Roman" w:hAnsi="Times New Roman" w:cs="Times New Roman"/>
          <w:sz w:val="24"/>
          <w:szCs w:val="24"/>
        </w:rPr>
        <w:t xml:space="preserve"> (9,06 м³/год), класс опасности IV. Данный вид отходов образуется постоянно в процессе эксплуатации (жизнедеятельность сотрудников). Все образующиеся ТБО вывозятся по договору на лицензированный полигон.</w:t>
      </w:r>
    </w:p>
    <w:p w14:paraId="12B3FB29">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Иных видов отходов, подлежащих декларированию, в деятельности объекта не предусмотрено. В случае если в период действия декларации начнут образовываться новые виды отходов (например, отработанные шины, аккумуляторы и т.п.), предприятие внесет соответствующие изменения и проведет дополнительную оценку воздействия согласно требованиям законодательства.</w:t>
      </w:r>
    </w:p>
    <w:p w14:paraId="09C4FDD4">
      <w:pPr>
        <w:pStyle w:val="3"/>
        <w:jc w:val="center"/>
        <w:rPr>
          <w:rFonts w:hint="default" w:ascii="Times New Roman" w:hAnsi="Times New Roman" w:cs="Times New Roman"/>
          <w:b/>
          <w:bCs/>
          <w:lang w:val="ru-RU"/>
        </w:rPr>
      </w:pPr>
      <w:r>
        <w:rPr>
          <w:rFonts w:hint="default"/>
        </w:rPr>
        <w:br w:type="page"/>
      </w:r>
      <w:r>
        <w:rPr>
          <w:rFonts w:hint="default" w:ascii="Times New Roman" w:hAnsi="Times New Roman" w:cs="Times New Roman"/>
          <w:b/>
          <w:bCs/>
          <w:lang w:val="ru-RU"/>
        </w:rPr>
        <w:t>9 ОЦЕНКА ВОЗДЕЙСТВИЯ НА ПОЧВУ</w:t>
      </w:r>
    </w:p>
    <w:bookmarkEnd w:id="14"/>
    <w:p w14:paraId="04217901">
      <w:pPr>
        <w:pStyle w:val="4"/>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bookmarkStart w:id="16" w:name="оценка-воздействия-на-почву"/>
    </w:p>
    <w:p w14:paraId="13E417E2">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9.1 Современное состояние почвенного покрова.</w:t>
      </w:r>
      <w:r>
        <w:rPr>
          <w:rFonts w:hint="default" w:ascii="Times New Roman" w:hAnsi="Times New Roman" w:cs="Times New Roman"/>
          <w:sz w:val="24"/>
          <w:szCs w:val="24"/>
        </w:rPr>
        <w:t xml:space="preserve"> Почвенно-геологические условия в границах городской черты и промышленно-складских зон заметно изменены техногенной деятельностью. По данным мониторинговых исследований, </w:t>
      </w:r>
      <w:r>
        <w:rPr>
          <w:rFonts w:hint="default" w:ascii="Times New Roman" w:hAnsi="Times New Roman" w:cs="Times New Roman"/>
          <w:b/>
          <w:bCs/>
          <w:sz w:val="24"/>
          <w:szCs w:val="24"/>
        </w:rPr>
        <w:t>почвы территории г. Алматы представлены горными черноземами</w:t>
      </w:r>
      <w:r>
        <w:rPr>
          <w:rFonts w:hint="default" w:ascii="Times New Roman" w:hAnsi="Times New Roman" w:cs="Times New Roman"/>
          <w:sz w:val="24"/>
          <w:szCs w:val="24"/>
        </w:rPr>
        <w:t xml:space="preserve"> (средне- и малогумусными), темно-каштановыми и лугово-каштановыми видами, местами – сероземами. Однако в районах застройки естественные почвы часто </w:t>
      </w:r>
      <w:r>
        <w:rPr>
          <w:rFonts w:hint="default" w:ascii="Times New Roman" w:hAnsi="Times New Roman" w:cs="Times New Roman"/>
          <w:b/>
          <w:bCs/>
          <w:sz w:val="24"/>
          <w:szCs w:val="24"/>
        </w:rPr>
        <w:t>перекрыты строительными и бытовыми отвальными грунтами</w:t>
      </w:r>
      <w:r>
        <w:rPr>
          <w:rFonts w:hint="default" w:ascii="Times New Roman" w:hAnsi="Times New Roman" w:cs="Times New Roman"/>
          <w:sz w:val="24"/>
          <w:szCs w:val="24"/>
        </w:rPr>
        <w:t xml:space="preserve"> либо уплотнены покрытием. Непосредственно на площадке “Туран Экспресс” плодородный слой практически отсутствует: поверхностный горизонт снят или смешан с щебнем при планировке территории. Окраины участка могут сохранять небольшие участки грунта, на которых произрастают единичные сорные травы. Растительность представлена в основном </w:t>
      </w:r>
      <w:r>
        <w:rPr>
          <w:rFonts w:hint="default" w:ascii="Times New Roman" w:hAnsi="Times New Roman" w:cs="Times New Roman"/>
          <w:b/>
          <w:bCs/>
          <w:sz w:val="24"/>
          <w:szCs w:val="24"/>
        </w:rPr>
        <w:t>рудеральными видами</w:t>
      </w:r>
      <w:r>
        <w:rPr>
          <w:rFonts w:hint="default" w:ascii="Times New Roman" w:hAnsi="Times New Roman" w:cs="Times New Roman"/>
          <w:sz w:val="24"/>
          <w:szCs w:val="24"/>
        </w:rPr>
        <w:t xml:space="preserve"> (сорная растительность, устойчивая к антропогенному воздействию: полынь, лебеда, пырей и пр.). Деревья и кустарники на территории объекта отсутствуют, за исключением, возможно, отдельных зеленых насаждений по периметру ограждения. Грунтовые условия участка – насыпные и планировочные слои толщиной 0,5–1 м, подстилаемые галечно-песчаными отложениями аллювиального происхождения.</w:t>
      </w:r>
    </w:p>
    <w:p w14:paraId="3B625E85">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В целом, </w:t>
      </w:r>
      <w:r>
        <w:rPr>
          <w:rFonts w:hint="default" w:ascii="Times New Roman" w:hAnsi="Times New Roman" w:cs="Times New Roman"/>
          <w:b/>
          <w:bCs/>
          <w:sz w:val="24"/>
          <w:szCs w:val="24"/>
        </w:rPr>
        <w:t>фоновые почвы в районе</w:t>
      </w:r>
      <w:r>
        <w:rPr>
          <w:rFonts w:hint="default" w:ascii="Times New Roman" w:hAnsi="Times New Roman" w:cs="Times New Roman"/>
          <w:sz w:val="24"/>
          <w:szCs w:val="24"/>
        </w:rPr>
        <w:t xml:space="preserve"> (за пределами промзоны) характеризуются нейтральной или слабощелочной реакцией, хорошим естественным плодородием (черноземы), но в городской черте их плодородные свойства утрачены из-за смешения с техногенными материалами. Проведенный производственный мониторинг ТОО «Кастинг» в 2024 г. показал отсутствие опасных тенденций изменения качества почвенно-растительного покрова в районе – техногенное загрязнение не выходит за границы санитарно-защитных зон предприятий и в целом состояние почвы удовлетворительное.</w:t>
      </w:r>
    </w:p>
    <w:p w14:paraId="0BF3645B">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9.2 Ожидаемое воздействие на почву.</w:t>
      </w:r>
      <w:r>
        <w:rPr>
          <w:rFonts w:hint="default" w:ascii="Times New Roman" w:hAnsi="Times New Roman" w:cs="Times New Roman"/>
          <w:sz w:val="24"/>
          <w:szCs w:val="24"/>
        </w:rPr>
        <w:t xml:space="preserve"> Эксплуатация площадки при соблюдении регламента </w:t>
      </w:r>
      <w:r>
        <w:rPr>
          <w:rFonts w:hint="default" w:ascii="Times New Roman" w:hAnsi="Times New Roman" w:cs="Times New Roman"/>
          <w:b/>
          <w:bCs/>
          <w:sz w:val="24"/>
          <w:szCs w:val="24"/>
        </w:rPr>
        <w:t>не приводит к значимому загрязнению или деградации почв</w:t>
      </w:r>
      <w:r>
        <w:rPr>
          <w:rFonts w:hint="default" w:ascii="Times New Roman" w:hAnsi="Times New Roman" w:cs="Times New Roman"/>
          <w:sz w:val="24"/>
          <w:szCs w:val="24"/>
        </w:rPr>
        <w:t xml:space="preserve">. Большая часть поверхности укрыта щебеночным покрытием, что </w:t>
      </w:r>
      <w:r>
        <w:rPr>
          <w:rFonts w:hint="default" w:ascii="Times New Roman" w:hAnsi="Times New Roman" w:cs="Times New Roman"/>
          <w:b/>
          <w:bCs/>
          <w:sz w:val="24"/>
          <w:szCs w:val="24"/>
        </w:rPr>
        <w:t>снижает контакт</w:t>
      </w:r>
      <w:r>
        <w:rPr>
          <w:rFonts w:hint="default" w:ascii="Times New Roman" w:hAnsi="Times New Roman" w:cs="Times New Roman"/>
          <w:sz w:val="24"/>
          <w:szCs w:val="24"/>
        </w:rPr>
        <w:t xml:space="preserve"> потенциальных загрязняющих веществ с естественным грунтом. Возможные негативные влияния могут быть связаны лишь со </w:t>
      </w:r>
      <w:r>
        <w:rPr>
          <w:rFonts w:hint="default" w:ascii="Times New Roman" w:hAnsi="Times New Roman" w:cs="Times New Roman"/>
          <w:b/>
          <w:bCs/>
          <w:sz w:val="24"/>
          <w:szCs w:val="24"/>
        </w:rPr>
        <w:t>случайными аварийными ситуациями</w:t>
      </w:r>
      <w:r>
        <w:rPr>
          <w:rFonts w:hint="default" w:ascii="Times New Roman" w:hAnsi="Times New Roman" w:cs="Times New Roman"/>
          <w:sz w:val="24"/>
          <w:szCs w:val="24"/>
        </w:rPr>
        <w:t xml:space="preserve"> – проливами технических жидкостей (топлива, масла) с транспортных средств, либо с </w:t>
      </w:r>
      <w:r>
        <w:rPr>
          <w:rFonts w:hint="default" w:ascii="Times New Roman" w:hAnsi="Times New Roman" w:cs="Times New Roman"/>
          <w:b/>
          <w:bCs/>
          <w:sz w:val="24"/>
          <w:szCs w:val="24"/>
        </w:rPr>
        <w:t>несанкционированным размещением отходов</w:t>
      </w:r>
      <w:r>
        <w:rPr>
          <w:rFonts w:hint="default" w:ascii="Times New Roman" w:hAnsi="Times New Roman" w:cs="Times New Roman"/>
          <w:sz w:val="24"/>
          <w:szCs w:val="24"/>
        </w:rPr>
        <w:t xml:space="preserve"> на грунте. Такие ситуации маловероятны и носят разовый характер. При нормальной организации работы (отсутствие техобслуживания на грунте, уборка мусора) воздействие на почвенный слой </w:t>
      </w:r>
      <w:r>
        <w:rPr>
          <w:rFonts w:hint="default" w:ascii="Times New Roman" w:hAnsi="Times New Roman" w:cs="Times New Roman"/>
          <w:b/>
          <w:bCs/>
          <w:sz w:val="24"/>
          <w:szCs w:val="24"/>
        </w:rPr>
        <w:t>ограничивается механическим уплотнением верхнего слоя почвы</w:t>
      </w:r>
      <w:r>
        <w:rPr>
          <w:rFonts w:hint="default" w:ascii="Times New Roman" w:hAnsi="Times New Roman" w:cs="Times New Roman"/>
          <w:sz w:val="24"/>
          <w:szCs w:val="24"/>
        </w:rPr>
        <w:t xml:space="preserve"> (от проезда техники по щебню) и незначительным загрязнением пылью. Распыленная пыль оседает на поверхности щебня и периодически удаляется уборкой или смывается дождем. </w:t>
      </w:r>
      <w:r>
        <w:rPr>
          <w:rFonts w:hint="default" w:ascii="Times New Roman" w:hAnsi="Times New Roman" w:cs="Times New Roman"/>
          <w:b/>
          <w:bCs/>
          <w:sz w:val="24"/>
          <w:szCs w:val="24"/>
        </w:rPr>
        <w:t>Локальное загрязнение почвы</w:t>
      </w:r>
      <w:r>
        <w:rPr>
          <w:rFonts w:hint="default" w:ascii="Times New Roman" w:hAnsi="Times New Roman" w:cs="Times New Roman"/>
          <w:sz w:val="24"/>
          <w:szCs w:val="24"/>
        </w:rPr>
        <w:t xml:space="preserve"> возможно только при проливе ГСМ, но в этом случае загрязненный грунт оперативно собирается и вывозится как отход. Таким образом, </w:t>
      </w:r>
      <w:r>
        <w:rPr>
          <w:rFonts w:hint="default" w:ascii="Times New Roman" w:hAnsi="Times New Roman" w:cs="Times New Roman"/>
          <w:b/>
          <w:bCs/>
          <w:sz w:val="24"/>
          <w:szCs w:val="24"/>
        </w:rPr>
        <w:t>степень воздействия на почву оценивается как незначительная</w:t>
      </w:r>
      <w:r>
        <w:rPr>
          <w:rFonts w:hint="default" w:ascii="Times New Roman" w:hAnsi="Times New Roman" w:cs="Times New Roman"/>
          <w:sz w:val="24"/>
          <w:szCs w:val="24"/>
        </w:rPr>
        <w:t>. За пределами площадки (в прилегающих зонах) влияние объекта на почвы фактически отсутствует, так как выбросов и сбросов загрязняющих веществ нет, а загрязнение возможно только внутри границ территории.</w:t>
      </w:r>
    </w:p>
    <w:p w14:paraId="7957A7C9">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9.3 Мероприятия по охране почв.</w:t>
      </w:r>
      <w:r>
        <w:rPr>
          <w:rFonts w:hint="default" w:ascii="Times New Roman" w:hAnsi="Times New Roman" w:cs="Times New Roman"/>
          <w:sz w:val="24"/>
          <w:szCs w:val="24"/>
        </w:rPr>
        <w:t xml:space="preserve"> Для предупреждения даже потенциального загрязнения почвы на площадке реализуются следующие меры:</w:t>
      </w:r>
    </w:p>
    <w:p w14:paraId="67C5A021">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Запрет хранения ГСМ и химических веществ на открытом грунте.</w:t>
      </w:r>
      <w:r>
        <w:rPr>
          <w:rFonts w:hint="default" w:ascii="Times New Roman" w:hAnsi="Times New Roman" w:cs="Times New Roman"/>
          <w:sz w:val="24"/>
          <w:szCs w:val="24"/>
        </w:rPr>
        <w:t xml:space="preserve"> Все горюче-смазочные материалы, технические жидкости и прочие химвещества не хранятся под открытым небом. При необходимости хранения небольшого количества (например, канистры с топливом для генератора) – используются герметичные емкости, помещенные на поддон или в контейнер, исключающий протечки в грунт.</w:t>
      </w:r>
    </w:p>
    <w:p w14:paraId="27C70A72">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Незамедлительная ликвидация разливов.</w:t>
      </w:r>
      <w:r>
        <w:rPr>
          <w:rFonts w:hint="default" w:ascii="Times New Roman" w:hAnsi="Times New Roman" w:cs="Times New Roman"/>
          <w:sz w:val="24"/>
          <w:szCs w:val="24"/>
        </w:rPr>
        <w:t xml:space="preserve"> В случае утечки топлива, масла или другого вещества на покрытие – проводится оперативная локализация: пятно засыпается сорбентом (например, песком или специальным абсорбентом), затем загрязненный сорбент и слой щебня собираются и удаляются в контейнер для последующей передачи на утилизацию. Таким образом, загрязняющее вещество не попадает глубоко в грунт.</w:t>
      </w:r>
    </w:p>
    <w:p w14:paraId="1C3FFDF8">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Контроль состояния территории.</w:t>
      </w:r>
      <w:r>
        <w:rPr>
          <w:rFonts w:hint="default" w:ascii="Times New Roman" w:hAnsi="Times New Roman" w:cs="Times New Roman"/>
          <w:sz w:val="24"/>
          <w:szCs w:val="24"/>
        </w:rPr>
        <w:t xml:space="preserve"> Периодически (не реже раза в неделю) ответственный сотрудник осматривает покрытие и прилегающие к площадке грунтовые полосы на наличие замусоренности, пятен нефтепродуктов и др. Выявленные нарушения устраняются: мусор собирается, при необходимости проводится очистка участка. Постоянное поддержание чистоты исключает накопление загрязняющих веществ в почве.</w:t>
      </w:r>
    </w:p>
    <w:p w14:paraId="5A01D88B">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9.4 Мониторинг состояния почв.</w:t>
      </w:r>
      <w:r>
        <w:rPr>
          <w:rFonts w:hint="default" w:ascii="Times New Roman" w:hAnsi="Times New Roman" w:cs="Times New Roman"/>
          <w:sz w:val="24"/>
          <w:szCs w:val="24"/>
        </w:rPr>
        <w:t xml:space="preserve"> Учитывая малый масштаб возможного воздействия, проведение специального (инструментального) мониторинга состояния почвы на площадке не требуется. Тем не менее, предприятие осуществляет </w:t>
      </w:r>
      <w:r>
        <w:rPr>
          <w:rFonts w:hint="default" w:ascii="Times New Roman" w:hAnsi="Times New Roman" w:cs="Times New Roman"/>
          <w:b/>
          <w:bCs/>
          <w:sz w:val="24"/>
          <w:szCs w:val="24"/>
        </w:rPr>
        <w:t>визуальный контроль</w:t>
      </w:r>
      <w:r>
        <w:rPr>
          <w:rFonts w:hint="default" w:ascii="Times New Roman" w:hAnsi="Times New Roman" w:cs="Times New Roman"/>
          <w:sz w:val="24"/>
          <w:szCs w:val="24"/>
        </w:rPr>
        <w:t xml:space="preserve">: ответственные лица наблюдают за тем, чтобы на грунте не появлялись нефтяные пятна, не происходило захламления территории. В случае каких-либо инцидентов (например, разлив значительного объема ГСМ) возможно привлечение лаборатории для анализа проб почвы на наличие загрязняющих веществ, с целью оценки последствий и эффективности очистки. Также, в рамках общего экологического мониторинга предприятия, периодически может проводиться проверка радиационного фона грунтов (при необходимости) и контроль соблюдения условий хранения отходов на площадке. В целом, учитывая отсутствие значимых источников загрязнения, </w:t>
      </w:r>
      <w:r>
        <w:rPr>
          <w:rFonts w:hint="default" w:ascii="Times New Roman" w:hAnsi="Times New Roman" w:cs="Times New Roman"/>
          <w:b/>
          <w:bCs/>
          <w:sz w:val="24"/>
          <w:szCs w:val="24"/>
        </w:rPr>
        <w:t>специальный мониторинг почвенного покрова не регламентируется</w:t>
      </w:r>
      <w:r>
        <w:rPr>
          <w:rFonts w:hint="default" w:ascii="Times New Roman" w:hAnsi="Times New Roman" w:cs="Times New Roman"/>
          <w:sz w:val="24"/>
          <w:szCs w:val="24"/>
        </w:rPr>
        <w:t xml:space="preserve"> и ограничивается вышеуказанными мерами контроля со стороны экологической службы предприятия.</w:t>
      </w:r>
    </w:p>
    <w:p w14:paraId="12B4EF00">
      <w:pPr>
        <w:pStyle w:val="3"/>
        <w:rPr>
          <w:rFonts w:hint="default" w:ascii="Times New Roman" w:hAnsi="Times New Roman" w:cs="Times New Roman"/>
          <w:sz w:val="24"/>
          <w:szCs w:val="24"/>
        </w:rPr>
      </w:pPr>
    </w:p>
    <w:p w14:paraId="48AA3073">
      <w:pPr>
        <w:pStyle w:val="3"/>
        <w:jc w:val="center"/>
        <w:rPr>
          <w:rFonts w:hint="default" w:ascii="Times New Roman" w:hAnsi="Times New Roman" w:cs="Times New Roman"/>
          <w:b/>
          <w:bCs/>
          <w:sz w:val="24"/>
          <w:szCs w:val="24"/>
          <w:lang w:val="ru-RU"/>
        </w:rPr>
      </w:pPr>
      <w:r>
        <w:rPr>
          <w:rFonts w:hint="default" w:ascii="Times New Roman" w:hAnsi="Times New Roman" w:cs="Times New Roman"/>
          <w:sz w:val="24"/>
          <w:szCs w:val="24"/>
        </w:rPr>
        <w:br w:type="page"/>
      </w:r>
      <w:r>
        <w:rPr>
          <w:rFonts w:hint="default" w:ascii="Times New Roman" w:hAnsi="Times New Roman" w:cs="Times New Roman"/>
          <w:b/>
          <w:bCs/>
          <w:sz w:val="24"/>
          <w:szCs w:val="24"/>
          <w:lang w:val="ru-RU"/>
        </w:rPr>
        <w:t>10 ОЦЕНКА ВОЗДЕЙСТВИЯ НА РАСТИТЕЛЬНЫЙ МИР</w:t>
      </w:r>
    </w:p>
    <w:bookmarkEnd w:id="16"/>
    <w:p w14:paraId="7A57C532">
      <w:pPr>
        <w:pStyle w:val="4"/>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bookmarkStart w:id="17" w:name="оценка-воздействия-на-растительный-мир"/>
    </w:p>
    <w:p w14:paraId="10ACFE39">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10.1 Воздействие на растительные сообщества.</w:t>
      </w:r>
      <w:r>
        <w:rPr>
          <w:rFonts w:hint="default" w:ascii="Times New Roman" w:hAnsi="Times New Roman" w:cs="Times New Roman"/>
          <w:sz w:val="24"/>
          <w:szCs w:val="24"/>
        </w:rPr>
        <w:t xml:space="preserve"> Объект расположен в полностью урбанизированной зоне, где </w:t>
      </w:r>
      <w:r>
        <w:rPr>
          <w:rFonts w:hint="default" w:ascii="Times New Roman" w:hAnsi="Times New Roman" w:cs="Times New Roman"/>
          <w:b/>
          <w:bCs/>
          <w:sz w:val="24"/>
          <w:szCs w:val="24"/>
        </w:rPr>
        <w:t>естественные растительные сообщества практически отсутствуют</w:t>
      </w:r>
      <w:r>
        <w:rPr>
          <w:rFonts w:hint="default" w:ascii="Times New Roman" w:hAnsi="Times New Roman" w:cs="Times New Roman"/>
          <w:sz w:val="24"/>
          <w:szCs w:val="24"/>
        </w:rPr>
        <w:t xml:space="preserve">. Территория самой площадки не имеет растительного покрова (она засыпана щебнем). В непосредственной окрестности произрастают лишь отдельные экземпляры древесно-кустарниковой растительности (если они сохранились по краям промзоны) и небольшие группы сорных трав. Ценных или редких видов флоры на территории и рядом нет. Таким образом, эксплуатация объекта </w:t>
      </w:r>
      <w:r>
        <w:rPr>
          <w:rFonts w:hint="default" w:ascii="Times New Roman" w:hAnsi="Times New Roman" w:cs="Times New Roman"/>
          <w:b/>
          <w:bCs/>
          <w:sz w:val="24"/>
          <w:szCs w:val="24"/>
        </w:rPr>
        <w:t>не оказывает существенного влияния на растительный мир</w:t>
      </w:r>
      <w:r>
        <w:rPr>
          <w:rFonts w:hint="default" w:ascii="Times New Roman" w:hAnsi="Times New Roman" w:cs="Times New Roman"/>
          <w:sz w:val="24"/>
          <w:szCs w:val="24"/>
        </w:rPr>
        <w:t>, поскольку практически не взаимодействует с каким-либо значимым фитоценозом. Возможное воздействие ограничивается локальным вытаптыванием травы на обочинах при движении и оседанием незначительного количества пыли на придорожной растительности. Это воздействие минимально и не приводит к заметному угнетению растений.</w:t>
      </w:r>
    </w:p>
    <w:p w14:paraId="17378D58">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10.2 Обоснование использования растительных ресурсов.</w:t>
      </w:r>
      <w:r>
        <w:rPr>
          <w:rFonts w:hint="default" w:ascii="Times New Roman" w:hAnsi="Times New Roman" w:cs="Times New Roman"/>
          <w:sz w:val="24"/>
          <w:szCs w:val="24"/>
        </w:rPr>
        <w:t xml:space="preserve"> В рамках функционирования площадки </w:t>
      </w:r>
      <w:r>
        <w:rPr>
          <w:rFonts w:hint="default" w:ascii="Times New Roman" w:hAnsi="Times New Roman" w:cs="Times New Roman"/>
          <w:b/>
          <w:bCs/>
          <w:sz w:val="24"/>
          <w:szCs w:val="24"/>
        </w:rPr>
        <w:t>не предусматривается использование или изъятие каких-либо растительных ресурсов</w:t>
      </w:r>
      <w:r>
        <w:rPr>
          <w:rFonts w:hint="default" w:ascii="Times New Roman" w:hAnsi="Times New Roman" w:cs="Times New Roman"/>
          <w:sz w:val="24"/>
          <w:szCs w:val="24"/>
        </w:rPr>
        <w:t>. Нет необходимости вырубки деревьев, покоса трав или сбора растений. Плодородный слой почвы не разрабатывается, зеленые насаждения не эксплуатируются. Соответственно, отсутствует потребность в компенсационных посадках или специальных разрешениях на пользование объектами растительного мира. Все существующие растения на прилегающей территории сохраняются в естественном состоянии.</w:t>
      </w:r>
    </w:p>
    <w:p w14:paraId="1CF53F0A">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10.3 Зона влияния на растительность.</w:t>
      </w:r>
      <w:r>
        <w:rPr>
          <w:rFonts w:hint="default" w:ascii="Times New Roman" w:hAnsi="Times New Roman" w:cs="Times New Roman"/>
          <w:sz w:val="24"/>
          <w:szCs w:val="24"/>
        </w:rPr>
        <w:t xml:space="preserve"> Учитывая очень ограниченное воздействие (пыль, шум) и малый масштаб работ, </w:t>
      </w:r>
      <w:r>
        <w:rPr>
          <w:rFonts w:hint="default" w:ascii="Times New Roman" w:hAnsi="Times New Roman" w:cs="Times New Roman"/>
          <w:b/>
          <w:bCs/>
          <w:sz w:val="24"/>
          <w:szCs w:val="24"/>
        </w:rPr>
        <w:t>зона влияния деятельности на растительный мир ограничивается границами производственной площадки</w:t>
      </w:r>
      <w:r>
        <w:rPr>
          <w:rFonts w:hint="default" w:ascii="Times New Roman" w:hAnsi="Times New Roman" w:cs="Times New Roman"/>
          <w:sz w:val="24"/>
          <w:szCs w:val="24"/>
        </w:rPr>
        <w:t xml:space="preserve"> и ближайшей прилегающей полосой (несколько метров от ограждения). За пределами этой зоны влияние не прослеживается. Концентрации загрязняющих веществ в воздухе вне площадки находятся на фоновом уровне, не отличаясь от обычных городских условий, поэтому дистанционного воздействия (на десятки или сотни метров) на растения нет. Следовательно, </w:t>
      </w:r>
      <w:r>
        <w:rPr>
          <w:rFonts w:hint="default" w:ascii="Times New Roman" w:hAnsi="Times New Roman" w:cs="Times New Roman"/>
          <w:b/>
          <w:bCs/>
          <w:sz w:val="24"/>
          <w:szCs w:val="24"/>
        </w:rPr>
        <w:t>не формируется какая-либо отдельная зона загрязнения или повреждения растительности</w:t>
      </w:r>
      <w:r>
        <w:rPr>
          <w:rFonts w:hint="default" w:ascii="Times New Roman" w:hAnsi="Times New Roman" w:cs="Times New Roman"/>
          <w:sz w:val="24"/>
          <w:szCs w:val="24"/>
        </w:rPr>
        <w:t>, выходящая за границы территории объекта.</w:t>
      </w:r>
    </w:p>
    <w:p w14:paraId="02091196">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10.4 Ожидаемые изменения растительного покрова.</w:t>
      </w:r>
      <w:r>
        <w:rPr>
          <w:rFonts w:hint="default" w:ascii="Times New Roman" w:hAnsi="Times New Roman" w:cs="Times New Roman"/>
          <w:sz w:val="24"/>
          <w:szCs w:val="24"/>
        </w:rPr>
        <w:t xml:space="preserve"> В связи с отсутствием прямого изъятия земель и крайне низким техногенным прессом, можно прогнозировать, что </w:t>
      </w:r>
      <w:r>
        <w:rPr>
          <w:rFonts w:hint="default" w:ascii="Times New Roman" w:hAnsi="Times New Roman" w:cs="Times New Roman"/>
          <w:b/>
          <w:bCs/>
          <w:sz w:val="24"/>
          <w:szCs w:val="24"/>
        </w:rPr>
        <w:t>растительный покров в районе объекта практически не изменится</w:t>
      </w:r>
      <w:r>
        <w:rPr>
          <w:rFonts w:hint="default" w:ascii="Times New Roman" w:hAnsi="Times New Roman" w:cs="Times New Roman"/>
          <w:sz w:val="24"/>
          <w:szCs w:val="24"/>
        </w:rPr>
        <w:t>. Единственным изменением может быть улучшение санитарного состояния: за счет уборки мусора и благоустройства территории прилегающие сорные растения могут получить более благоприятные условия (меньше бытового мусора, меньше пыли). Существенных отрицательных изменений (усыхание деревьев, деградация травостоя) не ожидается, поскольку факторов, вызывающих такие эффекты, объект не создает. Таким образом, состояние растительности сохранится близким к исходному (для данной урбанизированной местности).</w:t>
      </w:r>
    </w:p>
    <w:p w14:paraId="0451D6B5">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10.5 Мероприятия по защите растительного мира.</w:t>
      </w:r>
      <w:r>
        <w:rPr>
          <w:rFonts w:hint="default" w:ascii="Times New Roman" w:hAnsi="Times New Roman" w:cs="Times New Roman"/>
          <w:sz w:val="24"/>
          <w:szCs w:val="24"/>
        </w:rPr>
        <w:t xml:space="preserve"> Несмотря на минимальное воздействие, предприятием предусмотрены меры, направленные на недопущение даже локального повреждения зеленых насаждений:</w:t>
      </w:r>
    </w:p>
    <w:p w14:paraId="0C8FEC34">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Сохранение существующей зелени.</w:t>
      </w:r>
      <w:r>
        <w:rPr>
          <w:rFonts w:hint="default" w:ascii="Times New Roman" w:hAnsi="Times New Roman" w:cs="Times New Roman"/>
          <w:sz w:val="24"/>
          <w:szCs w:val="24"/>
        </w:rPr>
        <w:t xml:space="preserve"> Все имеющиеся на границах площадки зеленые насаждения (деревья, кустарники, трава) по возможности сохраняются. Работы, связанные с вырубкой или повреждением деревьев, не проводятся. Если по периметру растут деревья, сотрудники обеспечивают их защиту при выполнении работ (например, не складируют тяжелые предметы на корнях, не повреждают стволы).</w:t>
      </w:r>
    </w:p>
    <w:p w14:paraId="0546C50D">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Запрет складирования отходов на озелененных участках.</w:t>
      </w:r>
      <w:r>
        <w:rPr>
          <w:rFonts w:hint="default" w:ascii="Times New Roman" w:hAnsi="Times New Roman" w:cs="Times New Roman"/>
          <w:sz w:val="24"/>
          <w:szCs w:val="24"/>
        </w:rPr>
        <w:t xml:space="preserve"> Ни бытовые отходы, ни какие-либо материалы не размещаются на прилегающих озелененных территориях (например, на участках с травой или кустарником вне площадки). Это предотвращает засорение и деградацию этих участков. Весь мусор собирается только в контейнер, не допуская его раздувания на газоны.</w:t>
      </w:r>
    </w:p>
    <w:p w14:paraId="08BB5F4C">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Дополнительно, при наличии на территории сорной растительности, при уборке не используются химические средства (гербициды) – сорняки удаляются механически, чтобы не вносить в среду лишние реагенты. В случае если в будущем планируется озеленение территории (например, посадка деревьев вдоль ограждения), предприятие обеспечит уход за ними. В целом, принимаемые меры гарантируют, что </w:t>
      </w:r>
      <w:r>
        <w:rPr>
          <w:rFonts w:hint="default" w:ascii="Times New Roman" w:hAnsi="Times New Roman" w:cs="Times New Roman"/>
          <w:b/>
          <w:bCs/>
          <w:sz w:val="24"/>
          <w:szCs w:val="24"/>
        </w:rPr>
        <w:t>негативного воздействия на биоразнообразие и растительный мир не происходит</w:t>
      </w:r>
      <w:r>
        <w:rPr>
          <w:rFonts w:hint="default" w:ascii="Times New Roman" w:hAnsi="Times New Roman" w:cs="Times New Roman"/>
          <w:sz w:val="24"/>
          <w:szCs w:val="24"/>
        </w:rPr>
        <w:t>: природные растительные сообщества в районе объекта и так трансформированы городской средой, а деятельность площадки не ухудшает их состояние.</w:t>
      </w:r>
    </w:p>
    <w:p w14:paraId="77551748">
      <w:pPr>
        <w:pStyle w:val="3"/>
        <w:jc w:val="center"/>
        <w:rPr>
          <w:rFonts w:hint="default" w:ascii="Times New Roman" w:hAnsi="Times New Roman" w:cs="Times New Roman"/>
          <w:b/>
          <w:bCs/>
          <w:lang w:val="ru-RU"/>
        </w:rPr>
      </w:pPr>
      <w:r>
        <w:rPr>
          <w:rFonts w:hint="default"/>
        </w:rPr>
        <w:br w:type="page"/>
      </w:r>
      <w:r>
        <w:rPr>
          <w:rFonts w:hint="default" w:ascii="Times New Roman" w:hAnsi="Times New Roman" w:cs="Times New Roman"/>
          <w:b/>
          <w:bCs/>
          <w:lang w:val="ru-RU"/>
        </w:rPr>
        <w:t>11 ВОЗДЕЙСТВИЕ НА ЖИВОТНЫЙ МИР</w:t>
      </w:r>
    </w:p>
    <w:bookmarkEnd w:id="17"/>
    <w:p w14:paraId="014E8C1C">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bookmarkStart w:id="18" w:name="воздействие-на-животный-мир"/>
      <w:r>
        <w:rPr>
          <w:rFonts w:hint="default" w:ascii="Times New Roman" w:hAnsi="Times New Roman" w:cs="Times New Roman"/>
          <w:sz w:val="24"/>
          <w:szCs w:val="24"/>
        </w:rPr>
        <w:t xml:space="preserve">Основная территория, на которой расположен объект, – </w:t>
      </w:r>
      <w:r>
        <w:rPr>
          <w:rFonts w:hint="default" w:ascii="Times New Roman" w:hAnsi="Times New Roman" w:cs="Times New Roman"/>
          <w:b/>
          <w:bCs/>
          <w:sz w:val="24"/>
          <w:szCs w:val="24"/>
        </w:rPr>
        <w:t>урбанизированная зона</w:t>
      </w:r>
      <w:r>
        <w:rPr>
          <w:rFonts w:hint="default" w:ascii="Times New Roman" w:hAnsi="Times New Roman" w:cs="Times New Roman"/>
          <w:sz w:val="24"/>
          <w:szCs w:val="24"/>
        </w:rPr>
        <w:t xml:space="preserve">, давно освоенная под промышленность. Постоянные места обитания диких животных здесь отсутствуют. Нет поблизости ни лесных массивов, ни водоемов, ни иных естественных биотопов, которые могли бы привлекать или поддерживать значительную фауну. На самой площадке и прилегающей промзоне могут встречаться лишь отдельные </w:t>
      </w:r>
      <w:r>
        <w:rPr>
          <w:rFonts w:hint="default" w:ascii="Times New Roman" w:hAnsi="Times New Roman" w:cs="Times New Roman"/>
          <w:b/>
          <w:bCs/>
          <w:sz w:val="24"/>
          <w:szCs w:val="24"/>
        </w:rPr>
        <w:t>синантропные виды животных</w:t>
      </w:r>
      <w:r>
        <w:rPr>
          <w:rFonts w:hint="default" w:ascii="Times New Roman" w:hAnsi="Times New Roman" w:cs="Times New Roman"/>
          <w:sz w:val="24"/>
          <w:szCs w:val="24"/>
        </w:rPr>
        <w:t xml:space="preserve"> – те, что приспособились жить рядом с человеком. К ним относятся некоторые виды птиц (воробьи, голуби, вороны), мелкие грызуны (домовые мыши, серые крысы) и бездомные животные (коты, собаки). Эти виды не являются редкими или охраняемыми; их присутствие зависит от наличия пищи и убежищ. Эксплуатация объекта не создает условий, существенно меняющих численность таких животных: </w:t>
      </w:r>
      <w:r>
        <w:rPr>
          <w:rFonts w:hint="default" w:ascii="Times New Roman" w:hAnsi="Times New Roman" w:cs="Times New Roman"/>
          <w:b/>
          <w:bCs/>
          <w:sz w:val="24"/>
          <w:szCs w:val="24"/>
        </w:rPr>
        <w:t>при поддержании чистоты территории не происходит привлечения животных</w:t>
      </w:r>
      <w:r>
        <w:rPr>
          <w:rFonts w:hint="default" w:ascii="Times New Roman" w:hAnsi="Times New Roman" w:cs="Times New Roman"/>
          <w:sz w:val="24"/>
          <w:szCs w:val="24"/>
        </w:rPr>
        <w:t xml:space="preserve"> (например, мышей или птиц) из-за кормовой базы, так как все отходы хранятся закрыто. Шум и периодическое движение транспорта могут даже отгонять осторожных животных от площадки. Таким образом, </w:t>
      </w:r>
      <w:r>
        <w:rPr>
          <w:rFonts w:hint="default" w:ascii="Times New Roman" w:hAnsi="Times New Roman" w:cs="Times New Roman"/>
          <w:b/>
          <w:bCs/>
          <w:sz w:val="24"/>
          <w:szCs w:val="24"/>
        </w:rPr>
        <w:t>влияние деятельности предприятия на животный мир оценивается как незначительное</w:t>
      </w:r>
      <w:r>
        <w:rPr>
          <w:rFonts w:hint="default" w:ascii="Times New Roman" w:hAnsi="Times New Roman" w:cs="Times New Roman"/>
          <w:sz w:val="24"/>
          <w:szCs w:val="24"/>
        </w:rPr>
        <w:t>. Оно проявляется только в локальном масштабе: возможно, птицы не будут гнездиться непосредственно под навесом из-за присутствия людей, а грызуны не появятся из-за отсутствия доступа к мусору. В масштабах региона или даже района города это влияние несущественно.</w:t>
      </w:r>
    </w:p>
    <w:p w14:paraId="244E0DB1">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11.1 Мероприятия по защите животного мира.</w:t>
      </w:r>
      <w:r>
        <w:rPr>
          <w:rFonts w:hint="default" w:ascii="Times New Roman" w:hAnsi="Times New Roman" w:cs="Times New Roman"/>
          <w:sz w:val="24"/>
          <w:szCs w:val="24"/>
        </w:rPr>
        <w:t xml:space="preserve"> Специальные меры по защите или восстановлению животного мира в данном случае не требуются, так как предприятие практически не затрагивает фауну. Тем не менее, соблюдаются общие экологические и санитарные правила, которые косвенно защищают животных:</w:t>
      </w:r>
    </w:p>
    <w:p w14:paraId="3837970A">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Содержание территории без пищевых отходов.</w:t>
      </w:r>
      <w:r>
        <w:rPr>
          <w:rFonts w:hint="default" w:ascii="Times New Roman" w:hAnsi="Times New Roman" w:cs="Times New Roman"/>
          <w:sz w:val="24"/>
          <w:szCs w:val="24"/>
        </w:rPr>
        <w:t xml:space="preserve"> Регулярный вывоз мусора предотвращает скопление пищевых отбросов, которые могли бы привлечь грызунов или бродячих животных. Отсутствие пропитания не привлекает их на площадку, что снижает риск их гибели или конфликта с людьми.</w:t>
      </w:r>
    </w:p>
    <w:p w14:paraId="2180A600">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Гуманное отношение.</w:t>
      </w:r>
      <w:r>
        <w:rPr>
          <w:rFonts w:hint="default" w:ascii="Times New Roman" w:hAnsi="Times New Roman" w:cs="Times New Roman"/>
          <w:sz w:val="24"/>
          <w:szCs w:val="24"/>
        </w:rPr>
        <w:t xml:space="preserve"> Персоналу предписано не проявлять жестокость к случайно появившимся животным. Если на площадку забредет, например, бездомная собака или кошка, работники уведомляют соответствующие городские службы при необходимости, либо просто выдворяют животное за пределы территории, не нанося вреда.</w:t>
      </w:r>
    </w:p>
    <w:p w14:paraId="2B707653">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Исключение факторов травмирования диких животных.</w:t>
      </w:r>
      <w:r>
        <w:rPr>
          <w:rFonts w:hint="default" w:ascii="Times New Roman" w:hAnsi="Times New Roman" w:cs="Times New Roman"/>
          <w:sz w:val="24"/>
          <w:szCs w:val="24"/>
        </w:rPr>
        <w:t xml:space="preserve"> На территории не используются капканы, отравленные приманки или другие опасные средства борьбы с животными. При необходимости контролировать численность грызунов привлекаются профессиональные дератизаторы, но с соблюдением мер, исключающих вторичное отравление хищников и птиц.</w:t>
      </w:r>
    </w:p>
    <w:p w14:paraId="669FD901">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Перечисленные меры позволяют поддерживать санитарное благополучие без ущерба для окружающей фауны. В целом, можно заключить, что </w:t>
      </w:r>
      <w:r>
        <w:rPr>
          <w:rFonts w:hint="default" w:ascii="Times New Roman" w:hAnsi="Times New Roman" w:cs="Times New Roman"/>
          <w:b/>
          <w:bCs/>
          <w:sz w:val="24"/>
          <w:szCs w:val="24"/>
        </w:rPr>
        <w:t>деятельность объекта не создает угрозы для животного мира</w:t>
      </w:r>
      <w:r>
        <w:rPr>
          <w:rFonts w:hint="default" w:ascii="Times New Roman" w:hAnsi="Times New Roman" w:cs="Times New Roman"/>
          <w:sz w:val="24"/>
          <w:szCs w:val="24"/>
        </w:rPr>
        <w:t xml:space="preserve"> и не требует специальных мероприятий компенсационного характера (таких, как создание новых мест обитания или расселение животных).</w:t>
      </w:r>
    </w:p>
    <w:p w14:paraId="20A21A84">
      <w:pPr>
        <w:pStyle w:val="28"/>
        <w:pageBreakBefore w:val="0"/>
        <w:widowControl/>
        <w:kinsoku/>
        <w:wordWrap/>
        <w:overflowPunct/>
        <w:topLinePunct w:val="0"/>
        <w:autoSpaceDE/>
        <w:autoSpaceDN/>
        <w:bidi w:val="0"/>
        <w:adjustRightInd/>
        <w:snapToGrid/>
        <w:spacing w:before="0" w:after="0"/>
        <w:ind w:left="0" w:leftChars="0" w:firstLine="480" w:firstLineChars="200"/>
        <w:jc w:val="center"/>
        <w:textAlignment w:val="auto"/>
        <w:rPr>
          <w:rFonts w:hint="default" w:ascii="Times New Roman" w:hAnsi="Times New Roman" w:cs="Times New Roman"/>
          <w:b/>
          <w:bCs/>
          <w:sz w:val="24"/>
          <w:szCs w:val="24"/>
          <w:lang w:val="ru-RU"/>
        </w:rPr>
      </w:pPr>
      <w:r>
        <w:rPr>
          <w:rFonts w:hint="default" w:ascii="Times New Roman" w:hAnsi="Times New Roman" w:cs="Times New Roman"/>
          <w:sz w:val="24"/>
          <w:szCs w:val="24"/>
        </w:rPr>
        <w:br w:type="page"/>
      </w:r>
      <w:r>
        <w:rPr>
          <w:rFonts w:hint="default" w:ascii="Times New Roman" w:hAnsi="Times New Roman" w:cs="Times New Roman"/>
          <w:b/>
          <w:bCs/>
          <w:sz w:val="24"/>
          <w:szCs w:val="24"/>
          <w:lang w:val="ru-RU"/>
        </w:rPr>
        <w:t>12 СОЦИАЛЬНО-ЭКОНОМИЧЕСКАЯ ОБСТАНОВКА В РЕГИОНЕ</w:t>
      </w:r>
    </w:p>
    <w:bookmarkEnd w:id="18"/>
    <w:p w14:paraId="2B1B3757">
      <w:pPr>
        <w:pStyle w:val="4"/>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bookmarkStart w:id="19" w:name="Xf6f1276e11cc53e039384505e69c8329ea6b0a3"/>
    </w:p>
    <w:p w14:paraId="05FB5A86">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Объект расположен в пределах города Алматы – крупнейшего мегаполиса Казахстана, являющегося одним из ключевых экономических, транспортных и логистических центров страны. </w:t>
      </w:r>
      <w:r>
        <w:rPr>
          <w:rFonts w:hint="default" w:ascii="Times New Roman" w:hAnsi="Times New Roman" w:cs="Times New Roman"/>
          <w:b/>
          <w:bCs/>
          <w:sz w:val="24"/>
          <w:szCs w:val="24"/>
        </w:rPr>
        <w:t>Турксибский район г. Алматы</w:t>
      </w:r>
      <w:r>
        <w:rPr>
          <w:rFonts w:hint="default" w:ascii="Times New Roman" w:hAnsi="Times New Roman" w:cs="Times New Roman"/>
          <w:sz w:val="24"/>
          <w:szCs w:val="24"/>
        </w:rPr>
        <w:t xml:space="preserve"> сочетает в себе жилую застройку (микрорайоны, частный сектор) и значительные территории промышленно-складского назначения, включая транспортную инфраструктуру (железнодорожные узлы, логистические базы). Рассматриваемая площадка находится в зоне промышленного использования, вдали от мест компактного проживания населения. В связи с этим прямая социально-экономическая значимость деятельности объекта для местного населения невелика.</w:t>
      </w:r>
    </w:p>
    <w:p w14:paraId="105C2653">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12.1 Обеспеченность объекта трудовыми ресурсами.</w:t>
      </w:r>
      <w:r>
        <w:rPr>
          <w:rFonts w:hint="default" w:ascii="Times New Roman" w:hAnsi="Times New Roman" w:cs="Times New Roman"/>
          <w:sz w:val="24"/>
          <w:szCs w:val="24"/>
        </w:rPr>
        <w:t xml:space="preserve"> Для обслуживания деятельности площадки выделен небольшой штат – 6 человек, которые являются работниками предприятия. Никаких проблем с обеспеченностью трудовыми ресурсами не наблюдается: требуемая квалификация – стандартная (обслуживающий персонал, кладовщики и т.д.), специалисты доступны на местном рынке труда. Все сотрудники, работающие на площадке, проживают в г. Алматы, то есть предприятие привлекает местные кадры. Потребность в дополнительной рабочей силе отсутствует, так как масштабы деятельности стабильны. В случае расширения (маловероятного) в мегаполисе имеется достаточный резерв рабочих рук. Таким образом, объект не создает существенной нагрузки на рынок труда, но и не решает сколько-нибудь заметно проблему занятости – </w:t>
      </w:r>
      <w:r>
        <w:rPr>
          <w:rFonts w:hint="default" w:ascii="Times New Roman" w:hAnsi="Times New Roman" w:cs="Times New Roman"/>
          <w:b/>
          <w:bCs/>
          <w:sz w:val="24"/>
          <w:szCs w:val="24"/>
        </w:rPr>
        <w:t>воздействие на сферу трудовых ресурсов минимальное</w:t>
      </w:r>
      <w:r>
        <w:rPr>
          <w:rFonts w:hint="default" w:ascii="Times New Roman" w:hAnsi="Times New Roman" w:cs="Times New Roman"/>
          <w:sz w:val="24"/>
          <w:szCs w:val="24"/>
        </w:rPr>
        <w:t xml:space="preserve"> (6 рабочих мест, которые уже заняты).</w:t>
      </w:r>
    </w:p>
    <w:p w14:paraId="4EB05231">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12.2 Влияние предприятия на региональное природопользование.</w:t>
      </w:r>
      <w:r>
        <w:rPr>
          <w:rFonts w:hint="default" w:ascii="Times New Roman" w:hAnsi="Times New Roman" w:cs="Times New Roman"/>
          <w:sz w:val="24"/>
          <w:szCs w:val="24"/>
        </w:rPr>
        <w:t xml:space="preserve"> Деятельность объекта не связана с добычей природных ресурсов или использованием значительных земельных, водных, лесных угодий. Площадка арендуется на территории промышленной зоны, ранее уже отведенной под аналогичные нужды. Воздействие на региональное природопользование фактически отсутствует: нет влияния на сельское хозяйство, на состояние рек или лесов, на рекреационные зоны. Объект не препятствует другим видам территориального природопользования – например, не мешает прилегающим предприятиям, не ограничивает доступ к природным объектам. Экологический пресс на окружающую среду ничтожен, поэтому </w:t>
      </w:r>
      <w:r>
        <w:rPr>
          <w:rFonts w:hint="default" w:ascii="Times New Roman" w:hAnsi="Times New Roman" w:cs="Times New Roman"/>
          <w:b/>
          <w:bCs/>
          <w:sz w:val="24"/>
          <w:szCs w:val="24"/>
        </w:rPr>
        <w:t>совокупное воздействие на природу региона равно нулю</w:t>
      </w:r>
      <w:r>
        <w:rPr>
          <w:rFonts w:hint="default" w:ascii="Times New Roman" w:hAnsi="Times New Roman" w:cs="Times New Roman"/>
          <w:sz w:val="24"/>
          <w:szCs w:val="24"/>
        </w:rPr>
        <w:t>. Предприятие функционирует в рамках существующей индустриальной инфраструктуры, дополняя её, но не изменяя структуры природопользования.</w:t>
      </w:r>
    </w:p>
    <w:p w14:paraId="3E2AB7F0">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12.3 Прогноз изменений условий жизни местного населения.</w:t>
      </w:r>
      <w:r>
        <w:rPr>
          <w:rFonts w:hint="default" w:ascii="Times New Roman" w:hAnsi="Times New Roman" w:cs="Times New Roman"/>
          <w:sz w:val="24"/>
          <w:szCs w:val="24"/>
        </w:rPr>
        <w:t xml:space="preserve"> Поскольку объект расположен в промышленном районе, непосредственного соседства с жилыми кварталами нет. </w:t>
      </w:r>
      <w:r>
        <w:rPr>
          <w:rFonts w:hint="default" w:ascii="Times New Roman" w:hAnsi="Times New Roman" w:cs="Times New Roman"/>
          <w:b/>
          <w:bCs/>
          <w:sz w:val="24"/>
          <w:szCs w:val="24"/>
        </w:rPr>
        <w:t>Условия жизни населения</w:t>
      </w:r>
      <w:r>
        <w:rPr>
          <w:rFonts w:hint="default" w:ascii="Times New Roman" w:hAnsi="Times New Roman" w:cs="Times New Roman"/>
          <w:sz w:val="24"/>
          <w:szCs w:val="24"/>
        </w:rPr>
        <w:t xml:space="preserve"> (экологические, санитарные, социальные) в ближайшем жилом секторе не претерпят изменений вследствие работы площадки. Отсутствуют выбросы и шум, могущие достигать жилых домов, а небольшое количество отходов вывозится своевременно и не влияет на коммунальные услуги. Таким образом, для жителей города влияние предприятия незаметно. В экономическом плане тоже нет ощутимого эффекта: предприятие скромного масштаба, не создающее значительного притока инвестиций или массовой занятости. Косвенно можно отметить небольшой </w:t>
      </w:r>
      <w:r>
        <w:rPr>
          <w:rFonts w:hint="default" w:ascii="Times New Roman" w:hAnsi="Times New Roman" w:cs="Times New Roman"/>
          <w:b/>
          <w:bCs/>
          <w:sz w:val="24"/>
          <w:szCs w:val="24"/>
        </w:rPr>
        <w:t>положительный эффект</w:t>
      </w:r>
      <w:r>
        <w:rPr>
          <w:rFonts w:hint="default" w:ascii="Times New Roman" w:hAnsi="Times New Roman" w:cs="Times New Roman"/>
          <w:sz w:val="24"/>
          <w:szCs w:val="24"/>
        </w:rPr>
        <w:t xml:space="preserve"> – предприятие платит налоги (в местный бюджет), обеспечивая 6 рабочих мест, что хоть и незначительно, но добавляет стабильности в экономику района. Негативных же последствий (ухудшение экологии, увеличение нагрузки на дороги, рост социальной напряженности) не прогнозируется. Можно заключить, что </w:t>
      </w:r>
      <w:r>
        <w:rPr>
          <w:rFonts w:hint="default" w:ascii="Times New Roman" w:hAnsi="Times New Roman" w:cs="Times New Roman"/>
          <w:b/>
          <w:bCs/>
          <w:sz w:val="24"/>
          <w:szCs w:val="24"/>
        </w:rPr>
        <w:t>эксплуатация объекта не оказывает существенного влияния на социально-экономические условия жизни населения</w:t>
      </w:r>
      <w:r>
        <w:rPr>
          <w:rFonts w:hint="default" w:ascii="Times New Roman" w:hAnsi="Times New Roman" w:cs="Times New Roman"/>
          <w:sz w:val="24"/>
          <w:szCs w:val="24"/>
        </w:rPr>
        <w:t xml:space="preserve"> ближайших населённых пунктов и города в целом.</w:t>
      </w:r>
    </w:p>
    <w:p w14:paraId="2E52E2DE">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12.4 Санитарно-эпидемиологическое состояние территории.</w:t>
      </w:r>
      <w:r>
        <w:rPr>
          <w:rFonts w:hint="default" w:ascii="Times New Roman" w:hAnsi="Times New Roman" w:cs="Times New Roman"/>
          <w:sz w:val="24"/>
          <w:szCs w:val="24"/>
        </w:rPr>
        <w:t xml:space="preserve"> Территория объекта и прилегающая зона находятся под контролем как предприятия, так и местных коммунальных служб. Площадка поддерживается в чистоте; несанкционированных свалок или скопления отходов вокруг нет. Отсутствие выбросов и сточных вод означает, что </w:t>
      </w:r>
      <w:r>
        <w:rPr>
          <w:rFonts w:hint="default" w:ascii="Times New Roman" w:hAnsi="Times New Roman" w:cs="Times New Roman"/>
          <w:b/>
          <w:bCs/>
          <w:sz w:val="24"/>
          <w:szCs w:val="24"/>
        </w:rPr>
        <w:t>санитарно-эпидемиологическая обстановка не ухудшается</w:t>
      </w:r>
      <w:r>
        <w:rPr>
          <w:rFonts w:hint="default" w:ascii="Times New Roman" w:hAnsi="Times New Roman" w:cs="Times New Roman"/>
          <w:sz w:val="24"/>
          <w:szCs w:val="24"/>
        </w:rPr>
        <w:t xml:space="preserve">. В районе предприятия не фиксируется превышений санитарных нормативов по шуму, воздуху, воде – смежные с объектом территории остаются в благоприятном состоянии (насколько это применимо к индустриальной зоне). Санитарно-защитная зона предприятия (ориентировочно 50 м, как для прочих промплощадок без значимых выбросов) располагается в пределах промышленной зоны и не затрагивает жилую застройку. Эпидемиологических факторов (скопления стоячей воды, приток насекомых, грызунов) объект не создает. </w:t>
      </w:r>
      <w:r>
        <w:rPr>
          <w:rFonts w:hint="default" w:ascii="Times New Roman" w:hAnsi="Times New Roman" w:cs="Times New Roman"/>
          <w:b/>
          <w:bCs/>
          <w:sz w:val="24"/>
          <w:szCs w:val="24"/>
        </w:rPr>
        <w:t>Состояние территории с санитарно-гигиенической точки зрения стабильное и удовлетворительное</w:t>
      </w:r>
      <w:r>
        <w:rPr>
          <w:rFonts w:hint="default" w:ascii="Times New Roman" w:hAnsi="Times New Roman" w:cs="Times New Roman"/>
          <w:sz w:val="24"/>
          <w:szCs w:val="24"/>
        </w:rPr>
        <w:t>. Контроль за ним осуществляют как внутренние службы предприятия (регулярная уборка), так и при необходимости – органы санитарно-эпидемиологического надзора (плановые проверки). Поддержание хорошего санитарного состояния – одно из приоритетных условий работы площадки.</w:t>
      </w:r>
    </w:p>
    <w:p w14:paraId="1DFCFE7F">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12.5 Предложения по регулированию социальных аспектов.</w:t>
      </w:r>
      <w:r>
        <w:rPr>
          <w:rFonts w:hint="default" w:ascii="Times New Roman" w:hAnsi="Times New Roman" w:cs="Times New Roman"/>
          <w:sz w:val="24"/>
          <w:szCs w:val="24"/>
        </w:rPr>
        <w:t xml:space="preserve"> Учитывая минимальное социальное влияние объекта, </w:t>
      </w:r>
      <w:r>
        <w:rPr>
          <w:rFonts w:hint="default" w:ascii="Times New Roman" w:hAnsi="Times New Roman" w:cs="Times New Roman"/>
          <w:b/>
          <w:bCs/>
          <w:sz w:val="24"/>
          <w:szCs w:val="24"/>
        </w:rPr>
        <w:t>специальных мер регулирования социальных отношений не требуется</w:t>
      </w:r>
      <w:r>
        <w:rPr>
          <w:rFonts w:hint="default" w:ascii="Times New Roman" w:hAnsi="Times New Roman" w:cs="Times New Roman"/>
          <w:sz w:val="24"/>
          <w:szCs w:val="24"/>
        </w:rPr>
        <w:t>. Тем не менее, предприятие стремится соблюдать все нормативные требования, что само по себе положительно сказывается на социальной сфере (не возникает жалоб населения, не требуется вмешательство надзорных органов по нарушениям). В случае появления обращений от граждан или организаций, связанных с деятельностью площадки (например, по вопросам шума, загрязнения или иным) – руководство предприятия готово оперативно реагировать и принимать меры к устранению причин беспокойства. Для поддержания благоприятных отношений с местным сообществом, ТОО «Туран Экспресс» может участвовать в благоустройстве территории (в пределах своей ответственности) – содержать в порядке прилегающую улицу, осуществлять уборку мусора не только на своем участке, но и возле него. Также, при необходимости, предприятие взаимодействует с районным акиматом и эколо</w:t>
      </w:r>
      <w:r>
        <w:rPr>
          <w:rFonts w:hint="default" w:ascii="Times New Roman" w:hAnsi="Times New Roman" w:cs="Times New Roman"/>
          <w:sz w:val="24"/>
          <w:szCs w:val="24"/>
        </w:rPr>
        <w:softHyphen/>
      </w:r>
      <w:r>
        <w:rPr>
          <w:rFonts w:hint="default" w:ascii="Times New Roman" w:hAnsi="Times New Roman" w:cs="Times New Roman"/>
          <w:sz w:val="24"/>
          <w:szCs w:val="24"/>
        </w:rPr>
        <w:t xml:space="preserve">гическими органами, предоставляя достоверную информацию о своей деятельности. Таким образом, </w:t>
      </w:r>
      <w:r>
        <w:rPr>
          <w:rFonts w:hint="default" w:ascii="Times New Roman" w:hAnsi="Times New Roman" w:cs="Times New Roman"/>
          <w:b/>
          <w:bCs/>
          <w:sz w:val="24"/>
          <w:szCs w:val="24"/>
        </w:rPr>
        <w:t>социальная ответственность предприятия</w:t>
      </w:r>
      <w:r>
        <w:rPr>
          <w:rFonts w:hint="default" w:ascii="Times New Roman" w:hAnsi="Times New Roman" w:cs="Times New Roman"/>
          <w:sz w:val="24"/>
          <w:szCs w:val="24"/>
        </w:rPr>
        <w:t xml:space="preserve"> выражается в обеспечении экологической безопасности работы и готовности к диалогу с населением. Эти меры являются достаточными, поскольку негативных социальных факторов проект не вносит.</w:t>
      </w:r>
    </w:p>
    <w:p w14:paraId="53366B3D">
      <w:pPr>
        <w:pStyle w:val="3"/>
        <w:pageBreakBefore w:val="0"/>
        <w:widowControl/>
        <w:kinsoku/>
        <w:wordWrap/>
        <w:overflowPunct/>
        <w:topLinePunct w:val="0"/>
        <w:autoSpaceDE/>
        <w:autoSpaceDN/>
        <w:bidi w:val="0"/>
        <w:adjustRightInd/>
        <w:snapToGrid/>
        <w:spacing w:before="0" w:after="0"/>
        <w:ind w:left="0" w:leftChars="0" w:firstLine="480" w:firstLineChars="200"/>
        <w:jc w:val="center"/>
        <w:textAlignment w:val="auto"/>
        <w:rPr>
          <w:rFonts w:hint="default" w:ascii="Times New Roman" w:hAnsi="Times New Roman" w:cs="Times New Roman"/>
          <w:b/>
          <w:bCs/>
          <w:sz w:val="24"/>
          <w:szCs w:val="24"/>
          <w:lang w:val="ru-RU"/>
        </w:rPr>
      </w:pPr>
      <w:r>
        <w:rPr>
          <w:rFonts w:hint="default" w:ascii="Times New Roman" w:hAnsi="Times New Roman" w:cs="Times New Roman"/>
          <w:sz w:val="24"/>
          <w:szCs w:val="24"/>
        </w:rPr>
        <w:br w:type="page"/>
      </w:r>
      <w:r>
        <w:rPr>
          <w:rFonts w:hint="default" w:ascii="Times New Roman" w:hAnsi="Times New Roman" w:cs="Times New Roman"/>
          <w:b/>
          <w:bCs/>
          <w:sz w:val="24"/>
          <w:szCs w:val="24"/>
          <w:lang w:val="ru-RU"/>
        </w:rPr>
        <w:t>13 ОЦЕНКА ФИЗИЧЕСКИХ ВОЗДЕЙСТВИЙ</w:t>
      </w:r>
    </w:p>
    <w:bookmarkEnd w:id="19"/>
    <w:p w14:paraId="00C74AA2">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b/>
          <w:bCs/>
          <w:sz w:val="24"/>
          <w:szCs w:val="24"/>
        </w:rPr>
      </w:pPr>
      <w:bookmarkStart w:id="20" w:name="оценка-физических-воздействий"/>
    </w:p>
    <w:p w14:paraId="663F2D62">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Источники физических факторов.</w:t>
      </w:r>
      <w:r>
        <w:rPr>
          <w:rFonts w:hint="default" w:ascii="Times New Roman" w:hAnsi="Times New Roman" w:cs="Times New Roman"/>
          <w:sz w:val="24"/>
          <w:szCs w:val="24"/>
        </w:rPr>
        <w:t xml:space="preserve"> К потенциальным физическим факторам воздействия данного объекта относятся: </w:t>
      </w:r>
      <w:r>
        <w:rPr>
          <w:rFonts w:hint="default" w:ascii="Times New Roman" w:hAnsi="Times New Roman" w:cs="Times New Roman"/>
          <w:b/>
          <w:bCs/>
          <w:sz w:val="24"/>
          <w:szCs w:val="24"/>
        </w:rPr>
        <w:t>шум и вибрация</w:t>
      </w:r>
      <w:r>
        <w:rPr>
          <w:rFonts w:hint="default" w:ascii="Times New Roman" w:hAnsi="Times New Roman" w:cs="Times New Roman"/>
          <w:sz w:val="24"/>
          <w:szCs w:val="24"/>
        </w:rPr>
        <w:t xml:space="preserve">, возникающие при работе автотранспорта и проведении погрузочно-разгрузочных работ, а также </w:t>
      </w:r>
      <w:r>
        <w:rPr>
          <w:rFonts w:hint="default" w:ascii="Times New Roman" w:hAnsi="Times New Roman" w:cs="Times New Roman"/>
          <w:b/>
          <w:bCs/>
          <w:sz w:val="24"/>
          <w:szCs w:val="24"/>
        </w:rPr>
        <w:t>световое воздействие</w:t>
      </w:r>
      <w:r>
        <w:rPr>
          <w:rFonts w:hint="default" w:ascii="Times New Roman" w:hAnsi="Times New Roman" w:cs="Times New Roman"/>
          <w:sz w:val="24"/>
          <w:szCs w:val="24"/>
        </w:rPr>
        <w:t xml:space="preserve"> от наружного освещения площадки в темное время суток. Другие возможные физические факторы – электромагнитные поля, тепловое излучение, ионизирующие излучения – в деятельности объекта отсутствуют либо пренебрежимо малы. Так, небольшое электромагнитное поле создается лишь местной линией электропередачи и электрическим оборудованием (осветительными приборами), однако уровень электромагнитной напряженности от них не выходит за пределы допустимых норм и </w:t>
      </w:r>
      <w:r>
        <w:rPr>
          <w:rFonts w:hint="default" w:ascii="Times New Roman" w:hAnsi="Times New Roman" w:cs="Times New Roman"/>
          <w:b/>
          <w:bCs/>
          <w:sz w:val="24"/>
          <w:szCs w:val="24"/>
        </w:rPr>
        <w:t>не представляет опасности</w:t>
      </w:r>
      <w:r>
        <w:rPr>
          <w:rFonts w:hint="default" w:ascii="Times New Roman" w:hAnsi="Times New Roman" w:cs="Times New Roman"/>
          <w:sz w:val="24"/>
          <w:szCs w:val="24"/>
        </w:rPr>
        <w:t xml:space="preserve"> для персонала и окружающей среды (напряженность поля у источников мала и быстро спадает с расстоянием).</w:t>
      </w:r>
    </w:p>
    <w:p w14:paraId="4D3A1D57">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Шумовое и вибрационное воздействие.</w:t>
      </w:r>
      <w:r>
        <w:rPr>
          <w:rFonts w:hint="default" w:ascii="Times New Roman" w:hAnsi="Times New Roman" w:cs="Times New Roman"/>
          <w:sz w:val="24"/>
          <w:szCs w:val="24"/>
        </w:rPr>
        <w:t xml:space="preserve"> Основным источником шума на площадке является </w:t>
      </w:r>
      <w:r>
        <w:rPr>
          <w:rFonts w:hint="default" w:ascii="Times New Roman" w:hAnsi="Times New Roman" w:cs="Times New Roman"/>
          <w:b/>
          <w:bCs/>
          <w:sz w:val="24"/>
          <w:szCs w:val="24"/>
        </w:rPr>
        <w:t>движение транспортных средств</w:t>
      </w:r>
      <w:r>
        <w:rPr>
          <w:rFonts w:hint="default" w:ascii="Times New Roman" w:hAnsi="Times New Roman" w:cs="Times New Roman"/>
          <w:sz w:val="24"/>
          <w:szCs w:val="24"/>
        </w:rPr>
        <w:t xml:space="preserve"> (грузовые автомобили, автомашины) и работа их двигателей. Кроме того, шум может создаваться при разгрузке или погрузке тяжелых предметов (удары, скрежет). Периодически используется ручной электроинструмент (дрели, болгарки) – кратковременно, нечасто. Все эти шумовые воздействия носят </w:t>
      </w:r>
      <w:r>
        <w:rPr>
          <w:rFonts w:hint="default" w:ascii="Times New Roman" w:hAnsi="Times New Roman" w:cs="Times New Roman"/>
          <w:b/>
          <w:bCs/>
          <w:sz w:val="24"/>
          <w:szCs w:val="24"/>
        </w:rPr>
        <w:t>непостоянный, эпизодический характер</w:t>
      </w:r>
      <w:r>
        <w:rPr>
          <w:rFonts w:hint="default" w:ascii="Times New Roman" w:hAnsi="Times New Roman" w:cs="Times New Roman"/>
          <w:sz w:val="24"/>
          <w:szCs w:val="24"/>
        </w:rPr>
        <w:t xml:space="preserve">: в течение большей части времени на площадке тихо, шум появляется лишь во время проведения конкретных операций. По спектральному составу шум широкополосный, периодический, дневной. </w:t>
      </w:r>
      <w:r>
        <w:rPr>
          <w:rFonts w:hint="default" w:ascii="Times New Roman" w:hAnsi="Times New Roman" w:cs="Times New Roman"/>
          <w:b/>
          <w:bCs/>
          <w:sz w:val="24"/>
          <w:szCs w:val="24"/>
        </w:rPr>
        <w:t>Вибрация</w:t>
      </w:r>
      <w:r>
        <w:rPr>
          <w:rFonts w:hint="default" w:ascii="Times New Roman" w:hAnsi="Times New Roman" w:cs="Times New Roman"/>
          <w:sz w:val="24"/>
          <w:szCs w:val="24"/>
        </w:rPr>
        <w:t xml:space="preserve"> может возникать от проезда автомобиля по неровному покрытию или при падении тяжелого предмета, однако она локализуется непосредственно у источника и не распространяется на значительное расстояние.</w:t>
      </w:r>
    </w:p>
    <w:p w14:paraId="43EE869D">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Уровни шума, генерируемые подобной деятельностью, сравнительно невысоки – оцениваются порядка 70–80 дБ(A) в непосредственной близости от работающего двигателя или механизма. Для рабочих, находящихся постоянно на площадке, это может вызывать утомление при длительном воздействии. Однако следует подчеркнуть, что длительного шума нет: техника работает от случая к случаю, большую часть смены тишина или фоновый городской шум. По </w:t>
      </w:r>
      <w:r>
        <w:rPr>
          <w:rFonts w:hint="default" w:ascii="Times New Roman" w:hAnsi="Times New Roman" w:cs="Times New Roman"/>
          <w:b/>
          <w:bCs/>
          <w:sz w:val="24"/>
          <w:szCs w:val="24"/>
        </w:rPr>
        <w:t>санитарным нормам</w:t>
      </w:r>
      <w:r>
        <w:rPr>
          <w:rFonts w:hint="default" w:ascii="Times New Roman" w:hAnsi="Times New Roman" w:cs="Times New Roman"/>
          <w:sz w:val="24"/>
          <w:szCs w:val="24"/>
        </w:rPr>
        <w:t xml:space="preserve"> для промплощадок дневной эквивалентный уровень шума не должен превышать 80 дБ – данный критерий соблюдается. Вблизи жилых зон (которых нет вплотную) расчетные уровни еще ниже. Таким образом, </w:t>
      </w:r>
      <w:r>
        <w:rPr>
          <w:rFonts w:hint="default" w:ascii="Times New Roman" w:hAnsi="Times New Roman" w:cs="Times New Roman"/>
          <w:b/>
          <w:bCs/>
          <w:sz w:val="24"/>
          <w:szCs w:val="24"/>
        </w:rPr>
        <w:t>шумовая нагрузка</w:t>
      </w:r>
      <w:r>
        <w:rPr>
          <w:rFonts w:hint="default" w:ascii="Times New Roman" w:hAnsi="Times New Roman" w:cs="Times New Roman"/>
          <w:sz w:val="24"/>
          <w:szCs w:val="24"/>
        </w:rPr>
        <w:t xml:space="preserve"> от объекта считается допустимой. Тем не менее, персонал проинструктирован о средствах защиты: при использовании громкого электроинструмента рекомендуются беруши или наушники (СИЗ органов слуха).</w:t>
      </w:r>
    </w:p>
    <w:p w14:paraId="2334178B">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Влияние на население.</w:t>
      </w:r>
      <w:r>
        <w:rPr>
          <w:rFonts w:hint="default" w:ascii="Times New Roman" w:hAnsi="Times New Roman" w:cs="Times New Roman"/>
          <w:sz w:val="24"/>
          <w:szCs w:val="24"/>
        </w:rPr>
        <w:t xml:space="preserve"> Ближайшая жилоя застройка расположена на значительном расстоянии (свыше 300–500 м, за пределами промышленной зоны). С учетом расстояния и наличия между объектом и жильем других построек шум от работы площадки </w:t>
      </w:r>
      <w:r>
        <w:rPr>
          <w:rFonts w:hint="default" w:ascii="Times New Roman" w:hAnsi="Times New Roman" w:cs="Times New Roman"/>
          <w:b/>
          <w:bCs/>
          <w:sz w:val="24"/>
          <w:szCs w:val="24"/>
        </w:rPr>
        <w:t>не достигает селитебной территории в заметных уровнях</w:t>
      </w:r>
      <w:r>
        <w:rPr>
          <w:rFonts w:hint="default" w:ascii="Times New Roman" w:hAnsi="Times New Roman" w:cs="Times New Roman"/>
          <w:sz w:val="24"/>
          <w:szCs w:val="24"/>
        </w:rPr>
        <w:t>. Даже в наиболее шумные моменты (например, прибытие грузовика) уровень звука на таком удалении растворяется в общем городском фоне. Световое излучение от прожекторов площадки также не направлено на жилые окна. Следовательно, физические факторы объекта не влияют на условия проживания населения.</w:t>
      </w:r>
    </w:p>
    <w:p w14:paraId="1CDAB918">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Мероприятия по снижению физических воздействий.</w:t>
      </w:r>
      <w:r>
        <w:rPr>
          <w:rFonts w:hint="default" w:ascii="Times New Roman" w:hAnsi="Times New Roman" w:cs="Times New Roman"/>
          <w:sz w:val="24"/>
          <w:szCs w:val="24"/>
        </w:rPr>
        <w:t xml:space="preserve"> Для обеспечения нормативного уровня физических факторов на территории и минимизации возможного дискомфорта предусмотрены следующие меры:</w:t>
      </w:r>
    </w:p>
    <w:p w14:paraId="35D7D85E">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Соблюдение дневного режима работы.</w:t>
      </w:r>
      <w:r>
        <w:rPr>
          <w:rFonts w:hint="default" w:ascii="Times New Roman" w:hAnsi="Times New Roman" w:cs="Times New Roman"/>
          <w:sz w:val="24"/>
          <w:szCs w:val="24"/>
        </w:rPr>
        <w:t xml:space="preserve"> Все погрузочно-разгрузочные и другие шумные работы осуществляются </w:t>
      </w:r>
      <w:r>
        <w:rPr>
          <w:rFonts w:hint="default" w:ascii="Times New Roman" w:hAnsi="Times New Roman" w:cs="Times New Roman"/>
          <w:b/>
          <w:bCs/>
          <w:sz w:val="24"/>
          <w:szCs w:val="24"/>
        </w:rPr>
        <w:t>только в дневное время</w:t>
      </w:r>
      <w:r>
        <w:rPr>
          <w:rFonts w:hint="default" w:ascii="Times New Roman" w:hAnsi="Times New Roman" w:cs="Times New Roman"/>
          <w:sz w:val="24"/>
          <w:szCs w:val="24"/>
        </w:rPr>
        <w:t xml:space="preserve"> (как правило, в пределах 9:00–18:00). В ночные часы деятельность на площадке не ведется, поэтому не возникает риска нарушения покоя населения в ночное время.</w:t>
      </w:r>
    </w:p>
    <w:p w14:paraId="7B7BE75A">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Контроль технического состояния оборудования.</w:t>
      </w:r>
      <w:r>
        <w:rPr>
          <w:rFonts w:hint="default" w:ascii="Times New Roman" w:hAnsi="Times New Roman" w:cs="Times New Roman"/>
          <w:sz w:val="24"/>
          <w:szCs w:val="24"/>
        </w:rPr>
        <w:t xml:space="preserve"> Автотранспорт и погрузочные механизмы поддерживаются в исправном состоянии, своевременно проходят ТО. Это исключает появление чрезмерного шума (например, из-за неисправного глушителя) и вибрации от разбалансированных узлов. Ровное покрытие площадки также снижает лишние вибрации и шум от тряски машин.</w:t>
      </w:r>
    </w:p>
    <w:p w14:paraId="0746DDBE">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Рациональное освещение.</w:t>
      </w:r>
      <w:r>
        <w:rPr>
          <w:rFonts w:hint="default" w:ascii="Times New Roman" w:hAnsi="Times New Roman" w:cs="Times New Roman"/>
          <w:sz w:val="24"/>
          <w:szCs w:val="24"/>
        </w:rPr>
        <w:t xml:space="preserve"> На площадке установлено направленное наружное освещение – светильники расположены таким образом, чтобы световой поток был направлен вниз на рабочую зону, </w:t>
      </w:r>
      <w:r>
        <w:rPr>
          <w:rFonts w:hint="default" w:ascii="Times New Roman" w:hAnsi="Times New Roman" w:cs="Times New Roman"/>
          <w:b/>
          <w:bCs/>
          <w:sz w:val="24"/>
          <w:szCs w:val="24"/>
        </w:rPr>
        <w:t>не ослепляя</w:t>
      </w:r>
      <w:r>
        <w:rPr>
          <w:rFonts w:hint="default" w:ascii="Times New Roman" w:hAnsi="Times New Roman" w:cs="Times New Roman"/>
          <w:sz w:val="24"/>
          <w:szCs w:val="24"/>
        </w:rPr>
        <w:t xml:space="preserve"> водителей на прилегающих дорогах и не создавая засветки на соседних территориях. Используются светильники в защитных плафонах, исключающих прямое излучение выше горизонтали.</w:t>
      </w:r>
    </w:p>
    <w:p w14:paraId="64A82BB5">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Средства индивидуальной защиты.</w:t>
      </w:r>
      <w:r>
        <w:rPr>
          <w:rFonts w:hint="default" w:ascii="Times New Roman" w:hAnsi="Times New Roman" w:cs="Times New Roman"/>
          <w:sz w:val="24"/>
          <w:szCs w:val="24"/>
        </w:rPr>
        <w:t xml:space="preserve"> При проведении при необходимости очень шумных операций (например, резки металла переносной пилой) работники обеспечиваются СИЗ (противошумные наушники). Однако на практике такая необходимость возникает редко из-за отсутствия постоянных шумных процессов.</w:t>
      </w:r>
    </w:p>
    <w:p w14:paraId="100375BA">
      <w:pPr>
        <w:pStyle w:val="29"/>
        <w:pageBreakBefore w:val="0"/>
        <w:widowControl/>
        <w:numPr>
          <w:ilvl w:val="0"/>
          <w:numId w:val="2"/>
        </w:numPr>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Организационные меры.</w:t>
      </w:r>
      <w:r>
        <w:rPr>
          <w:rFonts w:hint="default" w:ascii="Times New Roman" w:hAnsi="Times New Roman" w:cs="Times New Roman"/>
          <w:sz w:val="24"/>
          <w:szCs w:val="24"/>
        </w:rPr>
        <w:t xml:space="preserve"> Рабочие информированы об опасности длительного шума для здоровья – поэтому стараются не находиться близко к работающему двигателю без причины, распределяют обязанности так, чтобы никто не подвергался шуму длительно. При разгрузке тяжелых грузов применяются мягкие прокладки или амортизирующие проставки (чтобы снизить ударный шум при опускании на землю).</w:t>
      </w:r>
    </w:p>
    <w:p w14:paraId="2A301C91">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Эффективность перечисленных мер подтверждается тем, что </w:t>
      </w:r>
      <w:r>
        <w:rPr>
          <w:rFonts w:hint="default" w:ascii="Times New Roman" w:hAnsi="Times New Roman" w:cs="Times New Roman"/>
          <w:b/>
          <w:bCs/>
          <w:sz w:val="24"/>
          <w:szCs w:val="24"/>
        </w:rPr>
        <w:t>уровни физических воздействий остаются в пределах допустимых</w:t>
      </w:r>
      <w:r>
        <w:rPr>
          <w:rFonts w:hint="default" w:ascii="Times New Roman" w:hAnsi="Times New Roman" w:cs="Times New Roman"/>
          <w:sz w:val="24"/>
          <w:szCs w:val="24"/>
        </w:rPr>
        <w:t xml:space="preserve"> как для работников, так и для окружающей среды. Нормативы по шуму на границе СЗЗ и на рабочих местах выдерживаются (при необходимости будет проведена инструментальная проверка уровня шума в рабочих зонах). В результате, отрицательное влияние физических факторов сведено к минимуму.</w:t>
      </w:r>
    </w:p>
    <w:p w14:paraId="0891DE7C">
      <w:pPr>
        <w:pStyle w:val="3"/>
        <w:rPr>
          <w:rFonts w:hint="default" w:ascii="Times New Roman" w:hAnsi="Times New Roman" w:cs="Times New Roman"/>
          <w:sz w:val="24"/>
          <w:szCs w:val="24"/>
        </w:rPr>
      </w:pPr>
    </w:p>
    <w:p w14:paraId="4212242B">
      <w:pPr>
        <w:pStyle w:val="3"/>
        <w:jc w:val="center"/>
        <w:rPr>
          <w:rFonts w:hint="default" w:ascii="Times New Roman" w:hAnsi="Times New Roman" w:cs="Times New Roman"/>
          <w:b/>
          <w:bCs/>
          <w:sz w:val="24"/>
          <w:szCs w:val="24"/>
          <w:lang w:val="ru-RU"/>
        </w:rPr>
      </w:pPr>
      <w:r>
        <w:rPr>
          <w:rFonts w:hint="default" w:ascii="Times New Roman" w:hAnsi="Times New Roman" w:cs="Times New Roman"/>
          <w:sz w:val="24"/>
          <w:szCs w:val="24"/>
        </w:rPr>
        <w:br w:type="page"/>
      </w:r>
      <w:r>
        <w:rPr>
          <w:rFonts w:hint="default" w:ascii="Times New Roman" w:hAnsi="Times New Roman" w:cs="Times New Roman"/>
          <w:b/>
          <w:bCs/>
          <w:sz w:val="24"/>
          <w:szCs w:val="24"/>
          <w:lang w:val="ru-RU"/>
        </w:rPr>
        <w:t>14 КОМПЛЕКСНАЯ ОЦЕНКА ЭКОЛОГИЧЕСКИХ РИСКОВ</w:t>
      </w:r>
    </w:p>
    <w:bookmarkEnd w:id="20"/>
    <w:p w14:paraId="2659A32C">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bookmarkStart w:id="21" w:name="комплексная-оценка-экологических-рисков"/>
      <w:r>
        <w:rPr>
          <w:rFonts w:hint="default" w:ascii="Times New Roman" w:hAnsi="Times New Roman" w:cs="Times New Roman"/>
          <w:sz w:val="24"/>
          <w:szCs w:val="24"/>
        </w:rPr>
        <w:t xml:space="preserve">В целях обобщенной оценки влияния объекта на окружающую среду выполнена </w:t>
      </w:r>
      <w:r>
        <w:rPr>
          <w:rFonts w:hint="default" w:ascii="Times New Roman" w:hAnsi="Times New Roman" w:cs="Times New Roman"/>
          <w:b/>
          <w:bCs/>
          <w:sz w:val="24"/>
          <w:szCs w:val="24"/>
        </w:rPr>
        <w:t>качественная оценка экологических рисков</w:t>
      </w:r>
      <w:r>
        <w:rPr>
          <w:rFonts w:hint="default" w:ascii="Times New Roman" w:hAnsi="Times New Roman" w:cs="Times New Roman"/>
          <w:sz w:val="24"/>
          <w:szCs w:val="24"/>
        </w:rPr>
        <w:t>. Рассмотрены потенциальные нежелательные события, связанные с деятельностью площадки, оценена их вероятность и тяжесть последствий, определены уровни риска и меры управления. Результаты приведены в таблице ниже.</w:t>
      </w:r>
    </w:p>
    <w:p w14:paraId="34917F7E">
      <w:pPr>
        <w:pStyle w:val="3"/>
        <w:keepNext w:val="0"/>
        <w:keepLines w:val="0"/>
        <w:pageBreakBefore w:val="0"/>
        <w:widowControl/>
        <w:kinsoku/>
        <w:wordWrap/>
        <w:overflowPunct/>
        <w:topLinePunct w:val="0"/>
        <w:autoSpaceDE/>
        <w:autoSpaceDN/>
        <w:bidi w:val="0"/>
        <w:adjustRightInd/>
        <w:snapToGrid/>
        <w:spacing w:before="0" w:after="0"/>
        <w:textAlignment w:val="auto"/>
        <w:rPr>
          <w:rFonts w:hint="default" w:ascii="Times New Roman" w:hAnsi="Times New Roman" w:cs="Times New Roman"/>
        </w:rPr>
      </w:pPr>
    </w:p>
    <w:tbl>
      <w:tblPr>
        <w:tblStyle w:val="46"/>
        <w:tblW w:w="9378" w:type="dxa"/>
        <w:tblInd w:w="0" w:type="dxa"/>
        <w:tblLayout w:type="fixed"/>
        <w:tblCellMar>
          <w:top w:w="0" w:type="dxa"/>
          <w:left w:w="108" w:type="dxa"/>
          <w:bottom w:w="0" w:type="dxa"/>
          <w:right w:w="108" w:type="dxa"/>
        </w:tblCellMar>
      </w:tblPr>
      <w:tblGrid>
        <w:gridCol w:w="1862"/>
        <w:gridCol w:w="1842"/>
        <w:gridCol w:w="1731"/>
        <w:gridCol w:w="1917"/>
        <w:gridCol w:w="2026"/>
      </w:tblGrid>
      <w:tr w14:paraId="330FE89B">
        <w:tblPrEx>
          <w:tblCellMar>
            <w:top w:w="0" w:type="dxa"/>
            <w:left w:w="108" w:type="dxa"/>
            <w:bottom w:w="0" w:type="dxa"/>
            <w:right w:w="108" w:type="dxa"/>
          </w:tblCellMar>
        </w:tblPrEx>
        <w:trPr>
          <w:tblHeader/>
        </w:trPr>
        <w:tc>
          <w:tcPr>
            <w:tcW w:w="1862" w:type="dxa"/>
            <w:tcBorders>
              <w:top w:val="single" w:color="auto" w:sz="4" w:space="0"/>
              <w:left w:val="single" w:color="auto" w:sz="4" w:space="0"/>
              <w:bottom w:val="single" w:color="auto" w:sz="4" w:space="0"/>
              <w:right w:val="single" w:color="auto" w:sz="4" w:space="0"/>
            </w:tcBorders>
          </w:tcPr>
          <w:p w14:paraId="6278080F">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b/>
                <w:bCs/>
                <w:sz w:val="24"/>
                <w:szCs w:val="24"/>
              </w:rPr>
              <w:t>Событие / опасность</w:t>
            </w:r>
          </w:p>
        </w:tc>
        <w:tc>
          <w:tcPr>
            <w:tcW w:w="1842" w:type="dxa"/>
            <w:tcBorders>
              <w:top w:val="single" w:color="auto" w:sz="4" w:space="0"/>
              <w:left w:val="single" w:color="auto" w:sz="4" w:space="0"/>
              <w:bottom w:val="single" w:color="auto" w:sz="4" w:space="0"/>
              <w:right w:val="single" w:color="auto" w:sz="4" w:space="0"/>
            </w:tcBorders>
          </w:tcPr>
          <w:p w14:paraId="2FD5C92B">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Вероятность</w:t>
            </w:r>
          </w:p>
        </w:tc>
        <w:tc>
          <w:tcPr>
            <w:tcW w:w="1731" w:type="dxa"/>
            <w:tcBorders>
              <w:top w:val="single" w:color="auto" w:sz="4" w:space="0"/>
              <w:left w:val="single" w:color="auto" w:sz="4" w:space="0"/>
              <w:bottom w:val="single" w:color="auto" w:sz="4" w:space="0"/>
              <w:right w:val="single" w:color="auto" w:sz="4" w:space="0"/>
            </w:tcBorders>
          </w:tcPr>
          <w:p w14:paraId="12E3D25C">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Последствия</w:t>
            </w:r>
          </w:p>
        </w:tc>
        <w:tc>
          <w:tcPr>
            <w:tcW w:w="1917" w:type="dxa"/>
            <w:tcBorders>
              <w:top w:val="single" w:color="auto" w:sz="4" w:space="0"/>
              <w:left w:val="single" w:color="auto" w:sz="4" w:space="0"/>
              <w:bottom w:val="single" w:color="auto" w:sz="4" w:space="0"/>
              <w:right w:val="single" w:color="auto" w:sz="4" w:space="0"/>
            </w:tcBorders>
          </w:tcPr>
          <w:p w14:paraId="6E8B1492">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b/>
                <w:bCs/>
                <w:sz w:val="24"/>
                <w:szCs w:val="24"/>
              </w:rPr>
              <w:t>Уровень риска</w:t>
            </w:r>
          </w:p>
        </w:tc>
        <w:tc>
          <w:tcPr>
            <w:tcW w:w="2026" w:type="dxa"/>
            <w:tcBorders>
              <w:top w:val="single" w:color="auto" w:sz="4" w:space="0"/>
              <w:left w:val="single" w:color="auto" w:sz="4" w:space="0"/>
              <w:bottom w:val="single" w:color="auto" w:sz="4" w:space="0"/>
              <w:right w:val="single" w:color="auto" w:sz="4" w:space="0"/>
            </w:tcBorders>
          </w:tcPr>
          <w:p w14:paraId="64D80D32">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Меры управления риском</w:t>
            </w:r>
          </w:p>
        </w:tc>
      </w:tr>
      <w:tr w14:paraId="62D3CCE7">
        <w:tblPrEx>
          <w:tblCellMar>
            <w:top w:w="0" w:type="dxa"/>
            <w:left w:w="108" w:type="dxa"/>
            <w:bottom w:w="0" w:type="dxa"/>
            <w:right w:w="108" w:type="dxa"/>
          </w:tblCellMar>
        </w:tblPrEx>
        <w:tc>
          <w:tcPr>
            <w:tcW w:w="1862" w:type="dxa"/>
            <w:tcBorders>
              <w:top w:val="single" w:color="auto" w:sz="4" w:space="0"/>
              <w:left w:val="single" w:color="auto" w:sz="4" w:space="0"/>
              <w:bottom w:val="single" w:color="auto" w:sz="4" w:space="0"/>
              <w:right w:val="single" w:color="auto" w:sz="4" w:space="0"/>
            </w:tcBorders>
          </w:tcPr>
          <w:p w14:paraId="0E3643AD">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Пыление при движении транспорта по щебню</w:t>
            </w:r>
          </w:p>
        </w:tc>
        <w:tc>
          <w:tcPr>
            <w:tcW w:w="1842" w:type="dxa"/>
            <w:tcBorders>
              <w:top w:val="single" w:color="auto" w:sz="4" w:space="0"/>
              <w:left w:val="single" w:color="auto" w:sz="4" w:space="0"/>
              <w:bottom w:val="single" w:color="auto" w:sz="4" w:space="0"/>
              <w:right w:val="single" w:color="auto" w:sz="4" w:space="0"/>
            </w:tcBorders>
          </w:tcPr>
          <w:p w14:paraId="7CCAB9FE">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Низкая–средняя</w:t>
            </w:r>
          </w:p>
        </w:tc>
        <w:tc>
          <w:tcPr>
            <w:tcW w:w="1731" w:type="dxa"/>
            <w:tcBorders>
              <w:top w:val="single" w:color="auto" w:sz="4" w:space="0"/>
              <w:left w:val="single" w:color="auto" w:sz="4" w:space="0"/>
              <w:bottom w:val="single" w:color="auto" w:sz="4" w:space="0"/>
              <w:right w:val="single" w:color="auto" w:sz="4" w:space="0"/>
            </w:tcBorders>
          </w:tcPr>
          <w:p w14:paraId="26C1D2EB">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Локальное ухудшение качества воздуха (пыль)</w:t>
            </w:r>
          </w:p>
        </w:tc>
        <w:tc>
          <w:tcPr>
            <w:tcW w:w="1917" w:type="dxa"/>
            <w:tcBorders>
              <w:top w:val="single" w:color="auto" w:sz="4" w:space="0"/>
              <w:left w:val="single" w:color="auto" w:sz="4" w:space="0"/>
              <w:bottom w:val="single" w:color="auto" w:sz="4" w:space="0"/>
              <w:right w:val="single" w:color="auto" w:sz="4" w:space="0"/>
            </w:tcBorders>
          </w:tcPr>
          <w:p w14:paraId="48430FEE">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Низкий</w:t>
            </w:r>
          </w:p>
        </w:tc>
        <w:tc>
          <w:tcPr>
            <w:tcW w:w="2026" w:type="dxa"/>
            <w:tcBorders>
              <w:top w:val="single" w:color="auto" w:sz="4" w:space="0"/>
              <w:left w:val="single" w:color="auto" w:sz="4" w:space="0"/>
              <w:bottom w:val="single" w:color="auto" w:sz="4" w:space="0"/>
              <w:right w:val="single" w:color="auto" w:sz="4" w:space="0"/>
            </w:tcBorders>
          </w:tcPr>
          <w:p w14:paraId="4D41C4A6">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Ограничение скорости; регулярная уборка и при необходимости увлажнение покрытия</w:t>
            </w:r>
          </w:p>
        </w:tc>
      </w:tr>
      <w:tr w14:paraId="4EE132DE">
        <w:tblPrEx>
          <w:tblCellMar>
            <w:top w:w="0" w:type="dxa"/>
            <w:left w:w="108" w:type="dxa"/>
            <w:bottom w:w="0" w:type="dxa"/>
            <w:right w:w="108" w:type="dxa"/>
          </w:tblCellMar>
        </w:tblPrEx>
        <w:tc>
          <w:tcPr>
            <w:tcW w:w="1862" w:type="dxa"/>
            <w:tcBorders>
              <w:top w:val="single" w:color="auto" w:sz="4" w:space="0"/>
              <w:left w:val="single" w:color="auto" w:sz="4" w:space="0"/>
              <w:bottom w:val="single" w:color="auto" w:sz="4" w:space="0"/>
              <w:right w:val="single" w:color="auto" w:sz="4" w:space="0"/>
            </w:tcBorders>
          </w:tcPr>
          <w:p w14:paraId="0A1C6C2E">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b/>
                <w:bCs/>
                <w:sz w:val="24"/>
                <w:szCs w:val="24"/>
              </w:rPr>
              <w:t>Случайный разлив ГСМ / техжидкостей</w:t>
            </w:r>
          </w:p>
        </w:tc>
        <w:tc>
          <w:tcPr>
            <w:tcW w:w="1842" w:type="dxa"/>
            <w:tcBorders>
              <w:top w:val="single" w:color="auto" w:sz="4" w:space="0"/>
              <w:left w:val="single" w:color="auto" w:sz="4" w:space="0"/>
              <w:bottom w:val="single" w:color="auto" w:sz="4" w:space="0"/>
              <w:right w:val="single" w:color="auto" w:sz="4" w:space="0"/>
            </w:tcBorders>
          </w:tcPr>
          <w:p w14:paraId="2CEDE5D9">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Низкая</w:t>
            </w:r>
          </w:p>
        </w:tc>
        <w:tc>
          <w:tcPr>
            <w:tcW w:w="1731" w:type="dxa"/>
            <w:tcBorders>
              <w:top w:val="single" w:color="auto" w:sz="4" w:space="0"/>
              <w:left w:val="single" w:color="auto" w:sz="4" w:space="0"/>
              <w:bottom w:val="single" w:color="auto" w:sz="4" w:space="0"/>
              <w:right w:val="single" w:color="auto" w:sz="4" w:space="0"/>
            </w:tcBorders>
          </w:tcPr>
          <w:p w14:paraId="4F0BAE8C">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Локальное загрязнение покрытия и почвы</w:t>
            </w:r>
          </w:p>
        </w:tc>
        <w:tc>
          <w:tcPr>
            <w:tcW w:w="1917" w:type="dxa"/>
            <w:tcBorders>
              <w:top w:val="single" w:color="auto" w:sz="4" w:space="0"/>
              <w:left w:val="single" w:color="auto" w:sz="4" w:space="0"/>
              <w:bottom w:val="single" w:color="auto" w:sz="4" w:space="0"/>
              <w:right w:val="single" w:color="auto" w:sz="4" w:space="0"/>
            </w:tcBorders>
          </w:tcPr>
          <w:p w14:paraId="692A8D64">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Низкий–средний</w:t>
            </w:r>
          </w:p>
        </w:tc>
        <w:tc>
          <w:tcPr>
            <w:tcW w:w="2026" w:type="dxa"/>
            <w:tcBorders>
              <w:top w:val="single" w:color="auto" w:sz="4" w:space="0"/>
              <w:left w:val="single" w:color="auto" w:sz="4" w:space="0"/>
              <w:bottom w:val="single" w:color="auto" w:sz="4" w:space="0"/>
              <w:right w:val="single" w:color="auto" w:sz="4" w:space="0"/>
            </w:tcBorders>
          </w:tcPr>
          <w:p w14:paraId="3BAD05C3">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Запрет ремонта техники на площадке; наличие сорбента; оперативная ликвидация и вывоз загрязнённых материалов</w:t>
            </w:r>
          </w:p>
        </w:tc>
      </w:tr>
      <w:tr w14:paraId="41A3DFE0">
        <w:tblPrEx>
          <w:tblCellMar>
            <w:top w:w="0" w:type="dxa"/>
            <w:left w:w="108" w:type="dxa"/>
            <w:bottom w:w="0" w:type="dxa"/>
            <w:right w:w="108" w:type="dxa"/>
          </w:tblCellMar>
        </w:tblPrEx>
        <w:tc>
          <w:tcPr>
            <w:tcW w:w="1862" w:type="dxa"/>
            <w:tcBorders>
              <w:top w:val="single" w:color="auto" w:sz="4" w:space="0"/>
              <w:left w:val="single" w:color="auto" w:sz="4" w:space="0"/>
              <w:bottom w:val="single" w:color="auto" w:sz="4" w:space="0"/>
              <w:right w:val="single" w:color="auto" w:sz="4" w:space="0"/>
            </w:tcBorders>
          </w:tcPr>
          <w:p w14:paraId="50E4E700">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Загрязнение территории ТБО</w:t>
            </w:r>
          </w:p>
        </w:tc>
        <w:tc>
          <w:tcPr>
            <w:tcW w:w="1842" w:type="dxa"/>
            <w:tcBorders>
              <w:top w:val="single" w:color="auto" w:sz="4" w:space="0"/>
              <w:left w:val="single" w:color="auto" w:sz="4" w:space="0"/>
              <w:bottom w:val="single" w:color="auto" w:sz="4" w:space="0"/>
              <w:right w:val="single" w:color="auto" w:sz="4" w:space="0"/>
            </w:tcBorders>
          </w:tcPr>
          <w:p w14:paraId="150B950A">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Средняя</w:t>
            </w:r>
          </w:p>
        </w:tc>
        <w:tc>
          <w:tcPr>
            <w:tcW w:w="1731" w:type="dxa"/>
            <w:tcBorders>
              <w:top w:val="single" w:color="auto" w:sz="4" w:space="0"/>
              <w:left w:val="single" w:color="auto" w:sz="4" w:space="0"/>
              <w:bottom w:val="single" w:color="auto" w:sz="4" w:space="0"/>
              <w:right w:val="single" w:color="auto" w:sz="4" w:space="0"/>
            </w:tcBorders>
          </w:tcPr>
          <w:p w14:paraId="4AC8CFFB">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Нарушение санитарного состояния, привлечение синантропных животных (грызуны, птицы)</w:t>
            </w:r>
          </w:p>
        </w:tc>
        <w:tc>
          <w:tcPr>
            <w:tcW w:w="1917" w:type="dxa"/>
            <w:tcBorders>
              <w:top w:val="single" w:color="auto" w:sz="4" w:space="0"/>
              <w:left w:val="single" w:color="auto" w:sz="4" w:space="0"/>
              <w:bottom w:val="single" w:color="auto" w:sz="4" w:space="0"/>
              <w:right w:val="single" w:color="auto" w:sz="4" w:space="0"/>
            </w:tcBorders>
          </w:tcPr>
          <w:p w14:paraId="3CBF63D1">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Средний</w:t>
            </w:r>
          </w:p>
        </w:tc>
        <w:tc>
          <w:tcPr>
            <w:tcW w:w="2026" w:type="dxa"/>
            <w:tcBorders>
              <w:top w:val="single" w:color="auto" w:sz="4" w:space="0"/>
              <w:left w:val="single" w:color="auto" w:sz="4" w:space="0"/>
              <w:bottom w:val="single" w:color="auto" w:sz="4" w:space="0"/>
              <w:right w:val="single" w:color="auto" w:sz="4" w:space="0"/>
            </w:tcBorders>
          </w:tcPr>
          <w:p w14:paraId="43614B1C">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Использование закрытых контейнеров; регулярный вывоз отходов; инструктаж персонала по уборке мусора</w:t>
            </w:r>
          </w:p>
        </w:tc>
      </w:tr>
      <w:tr w14:paraId="24184F85">
        <w:tblPrEx>
          <w:tblCellMar>
            <w:top w:w="0" w:type="dxa"/>
            <w:left w:w="108" w:type="dxa"/>
            <w:bottom w:w="0" w:type="dxa"/>
            <w:right w:w="108" w:type="dxa"/>
          </w:tblCellMar>
        </w:tblPrEx>
        <w:tc>
          <w:tcPr>
            <w:tcW w:w="1862" w:type="dxa"/>
            <w:tcBorders>
              <w:top w:val="single" w:color="auto" w:sz="4" w:space="0"/>
              <w:left w:val="single" w:color="auto" w:sz="4" w:space="0"/>
              <w:bottom w:val="single" w:color="auto" w:sz="4" w:space="0"/>
              <w:right w:val="single" w:color="auto" w:sz="4" w:space="0"/>
            </w:tcBorders>
          </w:tcPr>
          <w:p w14:paraId="591ACF89">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Пожар (по вине человека или техники)</w:t>
            </w:r>
          </w:p>
        </w:tc>
        <w:tc>
          <w:tcPr>
            <w:tcW w:w="1842" w:type="dxa"/>
            <w:tcBorders>
              <w:top w:val="single" w:color="auto" w:sz="4" w:space="0"/>
              <w:left w:val="single" w:color="auto" w:sz="4" w:space="0"/>
              <w:bottom w:val="single" w:color="auto" w:sz="4" w:space="0"/>
              <w:right w:val="single" w:color="auto" w:sz="4" w:space="0"/>
            </w:tcBorders>
          </w:tcPr>
          <w:p w14:paraId="0C48FA85">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Низкая</w:t>
            </w:r>
          </w:p>
        </w:tc>
        <w:tc>
          <w:tcPr>
            <w:tcW w:w="1731" w:type="dxa"/>
            <w:tcBorders>
              <w:top w:val="single" w:color="auto" w:sz="4" w:space="0"/>
              <w:left w:val="single" w:color="auto" w:sz="4" w:space="0"/>
              <w:bottom w:val="single" w:color="auto" w:sz="4" w:space="0"/>
              <w:right w:val="single" w:color="auto" w:sz="4" w:space="0"/>
            </w:tcBorders>
          </w:tcPr>
          <w:p w14:paraId="72017C99">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Выбросы продуктов горения, ущерб имуществу</w:t>
            </w:r>
          </w:p>
        </w:tc>
        <w:tc>
          <w:tcPr>
            <w:tcW w:w="1917" w:type="dxa"/>
            <w:tcBorders>
              <w:top w:val="single" w:color="auto" w:sz="4" w:space="0"/>
              <w:left w:val="single" w:color="auto" w:sz="4" w:space="0"/>
              <w:bottom w:val="single" w:color="auto" w:sz="4" w:space="0"/>
              <w:right w:val="single" w:color="auto" w:sz="4" w:space="0"/>
            </w:tcBorders>
          </w:tcPr>
          <w:p w14:paraId="7EB0E0E8">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Средний</w:t>
            </w:r>
          </w:p>
        </w:tc>
        <w:tc>
          <w:tcPr>
            <w:tcW w:w="2026" w:type="dxa"/>
            <w:tcBorders>
              <w:top w:val="single" w:color="auto" w:sz="4" w:space="0"/>
              <w:left w:val="single" w:color="auto" w:sz="4" w:space="0"/>
              <w:bottom w:val="single" w:color="auto" w:sz="4" w:space="0"/>
              <w:right w:val="single" w:color="auto" w:sz="4" w:space="0"/>
            </w:tcBorders>
          </w:tcPr>
          <w:p w14:paraId="4EC156E9">
            <w:pPr>
              <w:pStyle w:val="29"/>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Соблюдение правил пожарной безопасности; наличие исправных огнетушителей; запрет открытого огня на территории</w:t>
            </w:r>
          </w:p>
        </w:tc>
      </w:tr>
    </w:tbl>
    <w:p w14:paraId="4763D209">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i/>
          <w:iCs/>
          <w:sz w:val="24"/>
          <w:szCs w:val="24"/>
        </w:rPr>
      </w:pPr>
    </w:p>
    <w:p w14:paraId="1BD6ACD2">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i/>
          <w:iCs/>
          <w:sz w:val="24"/>
          <w:szCs w:val="24"/>
        </w:rPr>
        <w:t>Анализ таблицы:</w:t>
      </w:r>
      <w:r>
        <w:rPr>
          <w:rFonts w:hint="default" w:ascii="Times New Roman" w:hAnsi="Times New Roman" w:cs="Times New Roman"/>
          <w:sz w:val="24"/>
          <w:szCs w:val="24"/>
        </w:rPr>
        <w:t xml:space="preserve"> Все рассмотренные риски имеют </w:t>
      </w:r>
      <w:r>
        <w:rPr>
          <w:rFonts w:hint="default" w:ascii="Times New Roman" w:hAnsi="Times New Roman" w:cs="Times New Roman"/>
          <w:b/>
          <w:bCs/>
          <w:sz w:val="24"/>
          <w:szCs w:val="24"/>
        </w:rPr>
        <w:t>низкий или средний уровень</w:t>
      </w:r>
      <w:r>
        <w:rPr>
          <w:rFonts w:hint="default" w:ascii="Times New Roman" w:hAnsi="Times New Roman" w:cs="Times New Roman"/>
          <w:sz w:val="24"/>
          <w:szCs w:val="24"/>
        </w:rPr>
        <w:t xml:space="preserve">. Наиболее вероятное событие – это засорение территории мусором (если не проводить уборку), но его последствия не критичны и легко устранимы, к тому же меры управления (контейнеры, вывоз) позволяют держать риск под контролем. Риск пожара и аварийных разливов оценивается как низкий по вероятности благодаря соблюдению предписаний (нет хранимых ГСМ, проводится инструктаж по ПБ). Даже в случае реализации таких событий их воздействие будет локальным. В целом, </w:t>
      </w:r>
      <w:r>
        <w:rPr>
          <w:rFonts w:hint="default" w:ascii="Times New Roman" w:hAnsi="Times New Roman" w:cs="Times New Roman"/>
          <w:b/>
          <w:bCs/>
          <w:sz w:val="24"/>
          <w:szCs w:val="24"/>
        </w:rPr>
        <w:t>экологические риски деятельности объекта находятся на приемлемом уровне</w:t>
      </w:r>
      <w:r>
        <w:rPr>
          <w:rFonts w:hint="default" w:ascii="Times New Roman" w:hAnsi="Times New Roman" w:cs="Times New Roman"/>
          <w:sz w:val="24"/>
          <w:szCs w:val="24"/>
        </w:rPr>
        <w:t>. Реализация предложенных мероприятий снижает вероятность и масштабы негативных событий до минимально возможных значений.</w:t>
      </w:r>
    </w:p>
    <w:p w14:paraId="56ED2C29">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p>
    <w:p w14:paraId="26066AFF">
      <w:pPr>
        <w:pStyle w:val="3"/>
        <w:pageBreakBefore w:val="0"/>
        <w:widowControl/>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cs="Times New Roman"/>
          <w:b/>
          <w:bCs/>
          <w:sz w:val="24"/>
          <w:szCs w:val="24"/>
          <w:lang w:val="ru-RU"/>
        </w:rPr>
      </w:pPr>
      <w:r>
        <w:rPr>
          <w:rFonts w:hint="default" w:ascii="Times New Roman" w:hAnsi="Times New Roman" w:cs="Times New Roman"/>
          <w:sz w:val="24"/>
          <w:szCs w:val="24"/>
        </w:rPr>
        <w:br w:type="page"/>
      </w:r>
      <w:r>
        <w:rPr>
          <w:rFonts w:hint="default" w:ascii="Times New Roman" w:hAnsi="Times New Roman" w:cs="Times New Roman"/>
          <w:b/>
          <w:bCs/>
          <w:sz w:val="24"/>
          <w:szCs w:val="24"/>
          <w:lang w:val="ru-RU"/>
        </w:rPr>
        <w:t>ЗАКЛЮЧЕНИЕ</w:t>
      </w:r>
    </w:p>
    <w:bookmarkEnd w:id="21"/>
    <w:p w14:paraId="20C7532E">
      <w:pPr>
        <w:pStyle w:val="4"/>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bookmarkStart w:id="22" w:name="заключение"/>
    </w:p>
    <w:p w14:paraId="561A4C97">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Эксплуатация арендованной площадки ТОО «Пассажирская Компания «Туран Экспресс» по адресу: г. Алматы, Турксибский район, ул. Сортировочная, д. 1/2 </w:t>
      </w:r>
      <w:r>
        <w:rPr>
          <w:rFonts w:hint="default" w:ascii="Times New Roman" w:hAnsi="Times New Roman" w:cs="Times New Roman"/>
          <w:b/>
          <w:bCs/>
          <w:sz w:val="24"/>
          <w:szCs w:val="24"/>
        </w:rPr>
        <w:t>характеризуется минимальным воздействием на окружающую среду</w:t>
      </w:r>
      <w:r>
        <w:rPr>
          <w:rFonts w:hint="default" w:ascii="Times New Roman" w:hAnsi="Times New Roman" w:cs="Times New Roman"/>
          <w:sz w:val="24"/>
          <w:szCs w:val="24"/>
        </w:rPr>
        <w:t>. Стационарные источники выбросов загрязняющих веществ отсутствуют, специальные сбросы сточных вод не осуществляются. Основные экологические аспекты деятельности – это обращение с твёрдыми бытовыми отходами и поддержание надлежащего санитарного состояния территории. Проведенная оценка показала, что качественное состояние компонентов окружающей среды в районе объекта соответствует нормативным требованиям и не выходит за рамки фоновых колебаний.</w:t>
      </w:r>
    </w:p>
    <w:p w14:paraId="3B3693CB">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Реализация комплекса предложенных природоохранных мероприятий (регулярная уборка, ограничение пыления, правильное обращение с отходами, меры пожарной безопасности и др.) позволяет свести возможные воздействия и экологические риски до </w:t>
      </w:r>
      <w:r>
        <w:rPr>
          <w:rFonts w:hint="default" w:ascii="Times New Roman" w:hAnsi="Times New Roman" w:cs="Times New Roman"/>
          <w:b/>
          <w:bCs/>
          <w:sz w:val="24"/>
          <w:szCs w:val="24"/>
        </w:rPr>
        <w:t>допустимого уровня</w:t>
      </w:r>
      <w:r>
        <w:rPr>
          <w:rFonts w:hint="default" w:ascii="Times New Roman" w:hAnsi="Times New Roman" w:cs="Times New Roman"/>
          <w:sz w:val="24"/>
          <w:szCs w:val="24"/>
        </w:rPr>
        <w:t xml:space="preserve">. Оставшееся влияние носит локальный и незначительный характер (в пределах территории предприятия) и не приводит к ухудшению состояния окружающей природной среды или условий жизни населения. Учитывая категорию и масштабы объекта, можно заключить, что деятельность площадки </w:t>
      </w:r>
      <w:r>
        <w:rPr>
          <w:rFonts w:hint="default" w:ascii="Times New Roman" w:hAnsi="Times New Roman" w:cs="Times New Roman"/>
          <w:b/>
          <w:bCs/>
          <w:sz w:val="24"/>
          <w:szCs w:val="24"/>
        </w:rPr>
        <w:t>экологически приемлема</w:t>
      </w:r>
      <w:r>
        <w:rPr>
          <w:rFonts w:hint="default" w:ascii="Times New Roman" w:hAnsi="Times New Roman" w:cs="Times New Roman"/>
          <w:sz w:val="24"/>
          <w:szCs w:val="24"/>
        </w:rPr>
        <w:t xml:space="preserve"> и соответствует критериям, предъявляемым к объектам </w:t>
      </w:r>
      <w:r>
        <w:rPr>
          <w:rFonts w:hint="default" w:ascii="Times New Roman" w:hAnsi="Times New Roman" w:cs="Times New Roman"/>
          <w:sz w:val="24"/>
          <w:szCs w:val="24"/>
          <w:lang w:val="en-US"/>
        </w:rPr>
        <w:t>III</w:t>
      </w:r>
      <w:r>
        <w:rPr>
          <w:rFonts w:hint="default" w:ascii="Times New Roman" w:hAnsi="Times New Roman" w:cs="Times New Roman"/>
          <w:sz w:val="24"/>
          <w:szCs w:val="24"/>
        </w:rPr>
        <w:t xml:space="preserve"> категории воздействия на ОС.</w:t>
      </w:r>
    </w:p>
    <w:p w14:paraId="188FA5FD">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В дальнейшем предприятие планирует продолжать экологически ответственную практику эксплуатации, выполнять мониторинг ключевых аспектов (отходов, состояния территории) и при необходимости внедрять дополнительные природоохранные меры. Полученные в рамках данного РООС сведения и выводы будут использованы при подготовке декларации о воздействии на окружающую среду, как это требуется законодательством.</w:t>
      </w:r>
    </w:p>
    <w:p w14:paraId="7CA1D4C2">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p>
    <w:p w14:paraId="4D32A3BA">
      <w:pPr>
        <w:pStyle w:val="3"/>
        <w:pageBreakBefore w:val="0"/>
        <w:widowControl/>
        <w:kinsoku/>
        <w:wordWrap/>
        <w:overflowPunct/>
        <w:topLinePunct w:val="0"/>
        <w:autoSpaceDE/>
        <w:autoSpaceDN/>
        <w:bidi w:val="0"/>
        <w:adjustRightInd/>
        <w:snapToGrid/>
        <w:spacing w:before="0" w:after="0"/>
        <w:ind w:left="0" w:leftChars="0" w:firstLine="480" w:firstLineChars="200"/>
        <w:jc w:val="center"/>
        <w:textAlignment w:val="auto"/>
        <w:rPr>
          <w:rFonts w:hint="default" w:ascii="Times New Roman" w:hAnsi="Times New Roman" w:cs="Times New Roman"/>
          <w:b/>
          <w:bCs/>
          <w:sz w:val="24"/>
          <w:szCs w:val="24"/>
          <w:lang w:val="kk-KZ"/>
        </w:rPr>
      </w:pPr>
      <w:r>
        <w:rPr>
          <w:rFonts w:hint="default" w:ascii="Times New Roman" w:hAnsi="Times New Roman" w:cs="Times New Roman"/>
          <w:sz w:val="24"/>
          <w:szCs w:val="24"/>
        </w:rPr>
        <w:br w:type="page"/>
      </w:r>
      <w:r>
        <w:rPr>
          <w:rFonts w:hint="default" w:ascii="Times New Roman" w:hAnsi="Times New Roman" w:cs="Times New Roman"/>
          <w:b/>
          <w:bCs/>
          <w:sz w:val="24"/>
          <w:szCs w:val="24"/>
          <w:lang w:val="kk-KZ"/>
        </w:rPr>
        <w:t>СПИСОК ИСПОЛЬЗОВАННЫХ ИСТОЧНИКОВ</w:t>
      </w:r>
    </w:p>
    <w:p w14:paraId="5EE02276">
      <w:pPr>
        <w:pStyle w:val="3"/>
        <w:pageBreakBefore w:val="0"/>
        <w:widowControl/>
        <w:kinsoku/>
        <w:wordWrap/>
        <w:overflowPunct/>
        <w:topLinePunct w:val="0"/>
        <w:autoSpaceDE/>
        <w:autoSpaceDN/>
        <w:bidi w:val="0"/>
        <w:adjustRightInd/>
        <w:snapToGrid/>
        <w:spacing w:before="0" w:after="0"/>
        <w:ind w:left="0" w:leftChars="0" w:firstLine="480" w:firstLineChars="200"/>
        <w:jc w:val="center"/>
        <w:textAlignment w:val="auto"/>
        <w:rPr>
          <w:rFonts w:hint="default" w:ascii="Times New Roman" w:hAnsi="Times New Roman" w:cs="Times New Roman"/>
          <w:b/>
          <w:bCs/>
          <w:sz w:val="24"/>
          <w:szCs w:val="24"/>
          <w:lang w:val="kk-KZ"/>
        </w:rPr>
      </w:pPr>
    </w:p>
    <w:bookmarkEnd w:id="22"/>
    <w:p w14:paraId="4F026253">
      <w:pPr>
        <w:pStyle w:val="29"/>
        <w:pageBreakBefore w:val="0"/>
        <w:widowControl/>
        <w:numPr>
          <w:ilvl w:val="0"/>
          <w:numId w:val="3"/>
        </w:numPr>
        <w:kinsoku/>
        <w:wordWrap/>
        <w:overflowPunct/>
        <w:topLinePunct w:val="0"/>
        <w:autoSpaceDE/>
        <w:autoSpaceDN/>
        <w:bidi w:val="0"/>
        <w:adjustRightInd/>
        <w:snapToGrid/>
        <w:spacing w:before="0" w:after="0"/>
        <w:ind w:left="0" w:leftChars="0" w:firstLine="720" w:firstLineChars="300"/>
        <w:jc w:val="both"/>
        <w:textAlignment w:val="auto"/>
        <w:rPr>
          <w:rFonts w:hint="default" w:ascii="Times New Roman" w:hAnsi="Times New Roman" w:cs="Times New Roman"/>
          <w:b w:val="0"/>
          <w:bCs w:val="0"/>
          <w:i w:val="0"/>
          <w:iCs w:val="0"/>
          <w:sz w:val="24"/>
          <w:szCs w:val="24"/>
        </w:rPr>
      </w:pPr>
      <w:bookmarkStart w:id="23" w:name="список-использованных-источников"/>
      <w:r>
        <w:rPr>
          <w:rFonts w:hint="default" w:ascii="Times New Roman" w:hAnsi="Times New Roman" w:cs="Times New Roman"/>
          <w:b w:val="0"/>
          <w:bCs w:val="0"/>
          <w:i w:val="0"/>
          <w:iCs w:val="0"/>
          <w:sz w:val="24"/>
          <w:szCs w:val="24"/>
        </w:rPr>
        <w:t>Экологический кодекс Республики Казахстан №400-VI ЗРК от 02.01.2021 г.</w:t>
      </w:r>
    </w:p>
    <w:p w14:paraId="4D2C5B97">
      <w:pPr>
        <w:pStyle w:val="29"/>
        <w:pageBreakBefore w:val="0"/>
        <w:widowControl/>
        <w:numPr>
          <w:ilvl w:val="0"/>
          <w:numId w:val="3"/>
        </w:numPr>
        <w:kinsoku/>
        <w:wordWrap/>
        <w:overflowPunct/>
        <w:topLinePunct w:val="0"/>
        <w:autoSpaceDE/>
        <w:autoSpaceDN/>
        <w:bidi w:val="0"/>
        <w:adjustRightInd/>
        <w:snapToGrid/>
        <w:spacing w:before="0" w:after="0"/>
        <w:ind w:left="0" w:leftChars="0" w:firstLine="720" w:firstLineChars="300"/>
        <w:jc w:val="both"/>
        <w:textAlignment w:val="auto"/>
        <w:rPr>
          <w:rFonts w:hint="default" w:ascii="Times New Roman" w:hAnsi="Times New Roman" w:cs="Times New Roman"/>
          <w:b w:val="0"/>
          <w:bCs w:val="0"/>
          <w:i w:val="0"/>
          <w:iCs w:val="0"/>
          <w:sz w:val="24"/>
          <w:szCs w:val="24"/>
        </w:rPr>
      </w:pPr>
      <w:r>
        <w:rPr>
          <w:rFonts w:hint="default" w:ascii="Times New Roman" w:hAnsi="Times New Roman" w:cs="Times New Roman"/>
          <w:b w:val="0"/>
          <w:bCs w:val="0"/>
          <w:i w:val="0"/>
          <w:iCs w:val="0"/>
          <w:sz w:val="24"/>
          <w:szCs w:val="24"/>
        </w:rPr>
        <w:t>«Инструкция по организации и проведению экологической оценки», утверждённая Приказом Министра экологии, геологии и природных ресурсов Республики Казахстан от 30 июля 2021 года № 280.</w:t>
      </w:r>
    </w:p>
    <w:p w14:paraId="73BCB12E">
      <w:pPr>
        <w:pStyle w:val="29"/>
        <w:pageBreakBefore w:val="0"/>
        <w:widowControl/>
        <w:numPr>
          <w:ilvl w:val="0"/>
          <w:numId w:val="3"/>
        </w:numPr>
        <w:kinsoku/>
        <w:wordWrap/>
        <w:overflowPunct/>
        <w:topLinePunct w:val="0"/>
        <w:autoSpaceDE/>
        <w:autoSpaceDN/>
        <w:bidi w:val="0"/>
        <w:adjustRightInd/>
        <w:snapToGrid/>
        <w:spacing w:before="0" w:after="0"/>
        <w:ind w:left="0" w:leftChars="0" w:firstLine="720" w:firstLineChars="300"/>
        <w:jc w:val="both"/>
        <w:textAlignment w:val="auto"/>
        <w:rPr>
          <w:rFonts w:hint="default" w:ascii="Times New Roman" w:hAnsi="Times New Roman" w:cs="Times New Roman"/>
          <w:b w:val="0"/>
          <w:bCs w:val="0"/>
          <w:i w:val="0"/>
          <w:iCs w:val="0"/>
          <w:sz w:val="24"/>
          <w:szCs w:val="24"/>
        </w:rPr>
      </w:pPr>
      <w:r>
        <w:rPr>
          <w:rFonts w:hint="default" w:ascii="Times New Roman" w:hAnsi="Times New Roman" w:cs="Times New Roman"/>
          <w:b w:val="0"/>
          <w:bCs w:val="0"/>
          <w:i w:val="0"/>
          <w:iCs w:val="0"/>
          <w:sz w:val="24"/>
          <w:szCs w:val="24"/>
        </w:rPr>
        <w:t>Приказ Министра окружающей среды и водных ресурсов Республики Казахстан от 12 июня 2014 года № 221-Ө «Об утверждении отдельных методических документов в области охраны окружающей среды».</w:t>
      </w:r>
    </w:p>
    <w:p w14:paraId="2D1282AE">
      <w:pPr>
        <w:pStyle w:val="29"/>
        <w:pageBreakBefore w:val="0"/>
        <w:widowControl/>
        <w:numPr>
          <w:ilvl w:val="0"/>
          <w:numId w:val="3"/>
        </w:numPr>
        <w:kinsoku/>
        <w:wordWrap/>
        <w:overflowPunct/>
        <w:topLinePunct w:val="0"/>
        <w:autoSpaceDE/>
        <w:autoSpaceDN/>
        <w:bidi w:val="0"/>
        <w:adjustRightInd/>
        <w:snapToGrid/>
        <w:spacing w:before="0" w:after="0"/>
        <w:ind w:left="0" w:leftChars="0" w:firstLine="720" w:firstLineChars="300"/>
        <w:jc w:val="both"/>
        <w:textAlignment w:val="auto"/>
        <w:rPr>
          <w:rFonts w:hint="default" w:ascii="Times New Roman" w:hAnsi="Times New Roman" w:cs="Times New Roman"/>
          <w:b w:val="0"/>
          <w:bCs w:val="0"/>
          <w:i w:val="0"/>
          <w:iCs w:val="0"/>
          <w:sz w:val="24"/>
          <w:szCs w:val="24"/>
        </w:rPr>
      </w:pPr>
      <w:r>
        <w:rPr>
          <w:rFonts w:hint="default" w:ascii="Times New Roman" w:hAnsi="Times New Roman" w:cs="Times New Roman"/>
          <w:b w:val="0"/>
          <w:bCs w:val="0"/>
          <w:i w:val="0"/>
          <w:iCs w:val="0"/>
          <w:sz w:val="24"/>
          <w:szCs w:val="24"/>
        </w:rPr>
        <w:t>Санитарные правила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утверждённые приказом и.о. Министра здравоохранения Республики Казахстан от 11 января 2022 года № ҚР ДСМ-2.</w:t>
      </w:r>
    </w:p>
    <w:p w14:paraId="5C94076E">
      <w:pPr>
        <w:pStyle w:val="29"/>
        <w:pageBreakBefore w:val="0"/>
        <w:widowControl/>
        <w:numPr>
          <w:ilvl w:val="0"/>
          <w:numId w:val="3"/>
        </w:numPr>
        <w:kinsoku/>
        <w:wordWrap/>
        <w:overflowPunct/>
        <w:topLinePunct w:val="0"/>
        <w:autoSpaceDE/>
        <w:autoSpaceDN/>
        <w:bidi w:val="0"/>
        <w:adjustRightInd/>
        <w:snapToGrid/>
        <w:spacing w:before="0" w:after="0"/>
        <w:ind w:left="0" w:leftChars="0" w:firstLine="720" w:firstLineChars="300"/>
        <w:jc w:val="both"/>
        <w:textAlignment w:val="auto"/>
        <w:rPr>
          <w:rFonts w:hint="default" w:ascii="Times New Roman" w:hAnsi="Times New Roman" w:cs="Times New Roman"/>
          <w:b w:val="0"/>
          <w:bCs w:val="0"/>
          <w:i w:val="0"/>
          <w:iCs w:val="0"/>
          <w:sz w:val="24"/>
          <w:szCs w:val="24"/>
        </w:rPr>
      </w:pPr>
      <w:r>
        <w:rPr>
          <w:rFonts w:hint="default" w:ascii="Times New Roman" w:hAnsi="Times New Roman" w:cs="Times New Roman"/>
          <w:b w:val="0"/>
          <w:bCs w:val="0"/>
          <w:i w:val="0"/>
          <w:iCs w:val="0"/>
          <w:sz w:val="24"/>
          <w:szCs w:val="24"/>
        </w:rPr>
        <w:t>Приказ Министра здравоохранения Республики Казахстан от 2 августа 2022 года № ҚР ДСМ-70 «Об утверждении Гигиенических нормативов к атмосферному воздуху в городских и сельских населённых пунктах, на территориях промышленных организаций».</w:t>
      </w:r>
    </w:p>
    <w:p w14:paraId="5F3CCA98">
      <w:pPr>
        <w:pStyle w:val="29"/>
        <w:pageBreakBefore w:val="0"/>
        <w:widowControl/>
        <w:numPr>
          <w:ilvl w:val="0"/>
          <w:numId w:val="3"/>
        </w:numPr>
        <w:kinsoku/>
        <w:wordWrap/>
        <w:overflowPunct/>
        <w:topLinePunct w:val="0"/>
        <w:autoSpaceDE/>
        <w:autoSpaceDN/>
        <w:bidi w:val="0"/>
        <w:adjustRightInd/>
        <w:snapToGrid/>
        <w:spacing w:before="0" w:after="0"/>
        <w:ind w:left="0" w:leftChars="0" w:firstLine="720" w:firstLineChars="300"/>
        <w:jc w:val="both"/>
        <w:textAlignment w:val="auto"/>
        <w:rPr>
          <w:rFonts w:hint="default" w:ascii="Times New Roman" w:hAnsi="Times New Roman" w:cs="Times New Roman"/>
          <w:b w:val="0"/>
          <w:bCs w:val="0"/>
          <w:i w:val="0"/>
          <w:iCs w:val="0"/>
          <w:sz w:val="24"/>
          <w:szCs w:val="24"/>
        </w:rPr>
      </w:pPr>
      <w:r>
        <w:rPr>
          <w:rFonts w:hint="default" w:ascii="Times New Roman" w:hAnsi="Times New Roman" w:cs="Times New Roman"/>
          <w:b w:val="0"/>
          <w:bCs w:val="0"/>
          <w:i w:val="0"/>
          <w:iCs w:val="0"/>
          <w:sz w:val="24"/>
          <w:szCs w:val="24"/>
        </w:rPr>
        <w:t>Сборник методик по расчёту выбросов вредных веществ в атмосферу различными производствами. Включ</w:t>
      </w:r>
      <w:r>
        <w:rPr>
          <w:rFonts w:hint="default" w:ascii="Times New Roman" w:hAnsi="Times New Roman" w:cs="Times New Roman"/>
          <w:b w:val="0"/>
          <w:bCs w:val="0"/>
          <w:i w:val="0"/>
          <w:iCs w:val="0"/>
          <w:sz w:val="24"/>
          <w:szCs w:val="24"/>
          <w:lang w:val="ru-RU"/>
        </w:rPr>
        <w:t>е</w:t>
      </w:r>
      <w:r>
        <w:rPr>
          <w:rFonts w:hint="default" w:ascii="Times New Roman" w:hAnsi="Times New Roman" w:cs="Times New Roman"/>
          <w:b w:val="0"/>
          <w:bCs w:val="0"/>
          <w:i w:val="0"/>
          <w:iCs w:val="0"/>
          <w:sz w:val="24"/>
          <w:szCs w:val="24"/>
        </w:rPr>
        <w:t>н в перечень действующих НПА в области ООС, приказ МООС № 324-п от 27.10.2006 г.</w:t>
      </w:r>
    </w:p>
    <w:p w14:paraId="2289F743">
      <w:pPr>
        <w:pStyle w:val="29"/>
        <w:pageBreakBefore w:val="0"/>
        <w:widowControl/>
        <w:numPr>
          <w:ilvl w:val="0"/>
          <w:numId w:val="3"/>
        </w:numPr>
        <w:kinsoku/>
        <w:wordWrap/>
        <w:overflowPunct/>
        <w:topLinePunct w:val="0"/>
        <w:autoSpaceDE/>
        <w:autoSpaceDN/>
        <w:bidi w:val="0"/>
        <w:adjustRightInd/>
        <w:snapToGrid/>
        <w:spacing w:before="0" w:after="0"/>
        <w:ind w:left="0" w:leftChars="0" w:firstLine="720" w:firstLineChars="300"/>
        <w:jc w:val="both"/>
        <w:textAlignment w:val="auto"/>
        <w:rPr>
          <w:rFonts w:hint="default" w:ascii="Times New Roman" w:hAnsi="Times New Roman" w:cs="Times New Roman"/>
          <w:b w:val="0"/>
          <w:bCs w:val="0"/>
          <w:i w:val="0"/>
          <w:iCs w:val="0"/>
          <w:sz w:val="24"/>
          <w:szCs w:val="24"/>
        </w:rPr>
      </w:pPr>
      <w:r>
        <w:rPr>
          <w:rFonts w:hint="default" w:ascii="Times New Roman" w:hAnsi="Times New Roman" w:cs="Times New Roman"/>
          <w:b w:val="0"/>
          <w:bCs w:val="0"/>
          <w:i w:val="0"/>
          <w:iCs w:val="0"/>
          <w:sz w:val="24"/>
          <w:szCs w:val="24"/>
        </w:rPr>
        <w:t>«Методики расч</w:t>
      </w:r>
      <w:r>
        <w:rPr>
          <w:rFonts w:hint="default" w:ascii="Times New Roman" w:hAnsi="Times New Roman" w:cs="Times New Roman"/>
          <w:b w:val="0"/>
          <w:bCs w:val="0"/>
          <w:i w:val="0"/>
          <w:iCs w:val="0"/>
          <w:sz w:val="24"/>
          <w:szCs w:val="24"/>
          <w:lang w:val="ru-RU"/>
        </w:rPr>
        <w:t>е</w:t>
      </w:r>
      <w:r>
        <w:rPr>
          <w:rFonts w:hint="default" w:ascii="Times New Roman" w:hAnsi="Times New Roman" w:cs="Times New Roman"/>
          <w:b w:val="0"/>
          <w:bCs w:val="0"/>
          <w:i w:val="0"/>
          <w:iCs w:val="0"/>
          <w:sz w:val="24"/>
          <w:szCs w:val="24"/>
        </w:rPr>
        <w:t>тов концентраций в атмосферном воздухе вредных веществ, содержащихся в выбросах предприятий», РНД 211.2.01.01-97.</w:t>
      </w:r>
    </w:p>
    <w:p w14:paraId="016A95F1">
      <w:pPr>
        <w:pStyle w:val="29"/>
        <w:pageBreakBefore w:val="0"/>
        <w:widowControl/>
        <w:numPr>
          <w:ilvl w:val="0"/>
          <w:numId w:val="3"/>
        </w:numPr>
        <w:kinsoku/>
        <w:wordWrap/>
        <w:overflowPunct/>
        <w:topLinePunct w:val="0"/>
        <w:autoSpaceDE/>
        <w:autoSpaceDN/>
        <w:bidi w:val="0"/>
        <w:adjustRightInd/>
        <w:snapToGrid/>
        <w:spacing w:before="0" w:after="0"/>
        <w:ind w:left="0" w:leftChars="0" w:firstLine="720" w:firstLineChars="300"/>
        <w:jc w:val="both"/>
        <w:textAlignment w:val="auto"/>
        <w:rPr>
          <w:rFonts w:hint="default" w:ascii="Times New Roman" w:hAnsi="Times New Roman" w:cs="Times New Roman"/>
          <w:b w:val="0"/>
          <w:bCs w:val="0"/>
          <w:i w:val="0"/>
          <w:iCs w:val="0"/>
          <w:sz w:val="24"/>
          <w:szCs w:val="24"/>
        </w:rPr>
      </w:pPr>
      <w:r>
        <w:rPr>
          <w:rFonts w:hint="default" w:ascii="Times New Roman" w:hAnsi="Times New Roman" w:cs="Times New Roman"/>
          <w:b w:val="0"/>
          <w:bCs w:val="0"/>
          <w:i w:val="0"/>
          <w:iCs w:val="0"/>
          <w:sz w:val="24"/>
          <w:szCs w:val="24"/>
        </w:rPr>
        <w:t>Приказ Министра экологии, геологии и природных ресурсов Республики Казахстан от 10 марта 2021 года № 63 «Об утверждении Методики определения нормативов эмиссий в окружающую среду».</w:t>
      </w:r>
    </w:p>
    <w:p w14:paraId="47A69E76">
      <w:pPr>
        <w:pStyle w:val="29"/>
        <w:pageBreakBefore w:val="0"/>
        <w:widowControl/>
        <w:numPr>
          <w:ilvl w:val="0"/>
          <w:numId w:val="3"/>
        </w:numPr>
        <w:kinsoku/>
        <w:wordWrap/>
        <w:overflowPunct/>
        <w:topLinePunct w:val="0"/>
        <w:autoSpaceDE/>
        <w:autoSpaceDN/>
        <w:bidi w:val="0"/>
        <w:adjustRightInd/>
        <w:snapToGrid/>
        <w:spacing w:before="0" w:after="0"/>
        <w:ind w:left="0" w:leftChars="0" w:firstLine="720" w:firstLineChars="300"/>
        <w:jc w:val="both"/>
        <w:textAlignment w:val="auto"/>
        <w:rPr>
          <w:rFonts w:hint="default" w:ascii="Times New Roman" w:hAnsi="Times New Roman" w:cs="Times New Roman"/>
          <w:b w:val="0"/>
          <w:bCs w:val="0"/>
          <w:i w:val="0"/>
          <w:iCs w:val="0"/>
          <w:sz w:val="24"/>
          <w:szCs w:val="24"/>
        </w:rPr>
      </w:pPr>
      <w:r>
        <w:rPr>
          <w:rFonts w:hint="default" w:ascii="Times New Roman" w:hAnsi="Times New Roman" w:cs="Times New Roman"/>
          <w:b w:val="0"/>
          <w:bCs w:val="0"/>
          <w:i w:val="0"/>
          <w:iCs w:val="0"/>
          <w:sz w:val="24"/>
          <w:szCs w:val="24"/>
        </w:rPr>
        <w:t>Методика определения нормативов эмиссий в окружающую среду. Утверждена Приказом Министра охраны окружающей среды Республики Казахстан от 16 апреля 2012 года № 110-П.</w:t>
      </w:r>
    </w:p>
    <w:p w14:paraId="199D4301">
      <w:pPr>
        <w:pStyle w:val="29"/>
        <w:pageBreakBefore w:val="0"/>
        <w:widowControl/>
        <w:numPr>
          <w:ilvl w:val="0"/>
          <w:numId w:val="3"/>
        </w:numPr>
        <w:kinsoku/>
        <w:wordWrap/>
        <w:overflowPunct/>
        <w:topLinePunct w:val="0"/>
        <w:autoSpaceDE/>
        <w:autoSpaceDN/>
        <w:bidi w:val="0"/>
        <w:adjustRightInd/>
        <w:snapToGrid/>
        <w:spacing w:before="0" w:after="0"/>
        <w:ind w:left="0" w:leftChars="0" w:firstLine="720" w:firstLineChars="300"/>
        <w:jc w:val="both"/>
        <w:textAlignment w:val="auto"/>
        <w:rPr>
          <w:rFonts w:hint="default" w:ascii="Times New Roman" w:hAnsi="Times New Roman" w:cs="Times New Roman"/>
          <w:b w:val="0"/>
          <w:bCs w:val="0"/>
          <w:i w:val="0"/>
          <w:iCs w:val="0"/>
          <w:sz w:val="24"/>
          <w:szCs w:val="24"/>
        </w:rPr>
      </w:pPr>
      <w:r>
        <w:rPr>
          <w:rFonts w:hint="default" w:ascii="Times New Roman" w:hAnsi="Times New Roman" w:cs="Times New Roman"/>
          <w:b w:val="0"/>
          <w:bCs w:val="0"/>
          <w:i w:val="0"/>
          <w:iCs w:val="0"/>
          <w:sz w:val="24"/>
          <w:szCs w:val="24"/>
        </w:rPr>
        <w:t>ГОСТ 17.2.104-77 «Охрана природы. Атмосфера. Источники и метеорологические факторы загрязнения, промышленные выбросы, термины и определения».</w:t>
      </w:r>
    </w:p>
    <w:p w14:paraId="28A107CD">
      <w:pPr>
        <w:pStyle w:val="29"/>
        <w:pageBreakBefore w:val="0"/>
        <w:widowControl/>
        <w:numPr>
          <w:ilvl w:val="0"/>
          <w:numId w:val="3"/>
        </w:numPr>
        <w:kinsoku/>
        <w:wordWrap/>
        <w:overflowPunct/>
        <w:topLinePunct w:val="0"/>
        <w:autoSpaceDE/>
        <w:autoSpaceDN/>
        <w:bidi w:val="0"/>
        <w:adjustRightInd/>
        <w:snapToGrid/>
        <w:spacing w:before="0" w:after="0"/>
        <w:ind w:left="0" w:leftChars="0" w:firstLine="720" w:firstLineChars="300"/>
        <w:jc w:val="both"/>
        <w:textAlignment w:val="auto"/>
        <w:rPr>
          <w:rFonts w:hint="default" w:ascii="Times New Roman" w:hAnsi="Times New Roman" w:cs="Times New Roman"/>
          <w:b w:val="0"/>
          <w:bCs w:val="0"/>
          <w:i w:val="0"/>
          <w:iCs w:val="0"/>
          <w:sz w:val="24"/>
          <w:szCs w:val="24"/>
        </w:rPr>
      </w:pPr>
      <w:r>
        <w:rPr>
          <w:rFonts w:hint="default" w:ascii="Times New Roman" w:hAnsi="Times New Roman" w:cs="Times New Roman"/>
          <w:b w:val="0"/>
          <w:bCs w:val="0"/>
          <w:i w:val="0"/>
          <w:iCs w:val="0"/>
          <w:sz w:val="24"/>
          <w:szCs w:val="24"/>
        </w:rPr>
        <w:t>Методика расч</w:t>
      </w:r>
      <w:r>
        <w:rPr>
          <w:rFonts w:hint="default" w:ascii="Times New Roman" w:hAnsi="Times New Roman" w:cs="Times New Roman"/>
          <w:b w:val="0"/>
          <w:bCs w:val="0"/>
          <w:i w:val="0"/>
          <w:iCs w:val="0"/>
          <w:sz w:val="24"/>
          <w:szCs w:val="24"/>
          <w:lang w:val="ru-RU"/>
        </w:rPr>
        <w:t>е</w:t>
      </w:r>
      <w:r>
        <w:rPr>
          <w:rFonts w:hint="default" w:ascii="Times New Roman" w:hAnsi="Times New Roman" w:cs="Times New Roman"/>
          <w:b w:val="0"/>
          <w:bCs w:val="0"/>
          <w:i w:val="0"/>
          <w:iCs w:val="0"/>
          <w:sz w:val="24"/>
          <w:szCs w:val="24"/>
        </w:rPr>
        <w:t>та лимитов накопления отходов и лимитов захоронения отходов. Утверждена Приказом Министра экологии, геологии и природных ресурсов Республики Казахстан от 22 июня 2021 года № 206.</w:t>
      </w:r>
    </w:p>
    <w:p w14:paraId="1DECB15A">
      <w:pPr>
        <w:pStyle w:val="29"/>
        <w:pageBreakBefore w:val="0"/>
        <w:widowControl/>
        <w:numPr>
          <w:ilvl w:val="0"/>
          <w:numId w:val="3"/>
        </w:numPr>
        <w:kinsoku/>
        <w:wordWrap/>
        <w:overflowPunct/>
        <w:topLinePunct w:val="0"/>
        <w:autoSpaceDE/>
        <w:autoSpaceDN/>
        <w:bidi w:val="0"/>
        <w:adjustRightInd/>
        <w:snapToGrid/>
        <w:spacing w:before="0" w:after="0"/>
        <w:ind w:left="0" w:leftChars="0" w:firstLine="720" w:firstLineChars="300"/>
        <w:jc w:val="both"/>
        <w:textAlignment w:val="auto"/>
        <w:rPr>
          <w:rFonts w:hint="default" w:ascii="Times New Roman" w:hAnsi="Times New Roman" w:cs="Times New Roman"/>
          <w:b w:val="0"/>
          <w:bCs w:val="0"/>
          <w:i w:val="0"/>
          <w:iCs w:val="0"/>
          <w:sz w:val="24"/>
          <w:szCs w:val="24"/>
        </w:rPr>
      </w:pPr>
      <w:r>
        <w:rPr>
          <w:rFonts w:hint="default" w:ascii="Times New Roman" w:hAnsi="Times New Roman" w:cs="Times New Roman"/>
          <w:b w:val="0"/>
          <w:bCs w:val="0"/>
          <w:i w:val="0"/>
          <w:iCs w:val="0"/>
          <w:sz w:val="24"/>
          <w:szCs w:val="24"/>
        </w:rPr>
        <w:t>Порядок нормирования объ</w:t>
      </w:r>
      <w:r>
        <w:rPr>
          <w:rFonts w:hint="default" w:ascii="Times New Roman" w:hAnsi="Times New Roman" w:cs="Times New Roman"/>
          <w:b w:val="0"/>
          <w:bCs w:val="0"/>
          <w:i w:val="0"/>
          <w:iCs w:val="0"/>
          <w:sz w:val="24"/>
          <w:szCs w:val="24"/>
          <w:lang w:val="ru-RU"/>
        </w:rPr>
        <w:t>е</w:t>
      </w:r>
      <w:r>
        <w:rPr>
          <w:rFonts w:hint="default" w:ascii="Times New Roman" w:hAnsi="Times New Roman" w:cs="Times New Roman"/>
          <w:b w:val="0"/>
          <w:bCs w:val="0"/>
          <w:i w:val="0"/>
          <w:iCs w:val="0"/>
          <w:sz w:val="24"/>
          <w:szCs w:val="24"/>
        </w:rPr>
        <w:t>мов образования и размещения отходов производства. РНД 03.1.0.3.01-96.</w:t>
      </w:r>
    </w:p>
    <w:p w14:paraId="303F1D0F">
      <w:pPr>
        <w:pStyle w:val="29"/>
        <w:pageBreakBefore w:val="0"/>
        <w:widowControl/>
        <w:numPr>
          <w:ilvl w:val="0"/>
          <w:numId w:val="3"/>
        </w:numPr>
        <w:kinsoku/>
        <w:wordWrap/>
        <w:overflowPunct/>
        <w:topLinePunct w:val="0"/>
        <w:autoSpaceDE/>
        <w:autoSpaceDN/>
        <w:bidi w:val="0"/>
        <w:adjustRightInd/>
        <w:snapToGrid/>
        <w:spacing w:before="0" w:after="0"/>
        <w:ind w:left="0" w:leftChars="0" w:firstLine="720" w:firstLineChars="300"/>
        <w:jc w:val="both"/>
        <w:textAlignment w:val="auto"/>
        <w:rPr>
          <w:rFonts w:hint="default" w:ascii="Times New Roman" w:hAnsi="Times New Roman" w:cs="Times New Roman"/>
          <w:b w:val="0"/>
          <w:bCs w:val="0"/>
          <w:i w:val="0"/>
          <w:iCs w:val="0"/>
          <w:sz w:val="24"/>
          <w:szCs w:val="24"/>
        </w:rPr>
      </w:pPr>
      <w:r>
        <w:rPr>
          <w:rFonts w:hint="default" w:ascii="Times New Roman" w:hAnsi="Times New Roman" w:cs="Times New Roman"/>
          <w:b w:val="0"/>
          <w:bCs w:val="0"/>
          <w:i w:val="0"/>
          <w:iCs w:val="0"/>
          <w:sz w:val="24"/>
          <w:szCs w:val="24"/>
        </w:rPr>
        <w:t>Классификатор отходов. Утверждён приказом Министра экологии, геологии и природных ресурсов Республики Казахстан от 6 августа 2021 года № 314.</w:t>
      </w:r>
    </w:p>
    <w:p w14:paraId="642B00BE">
      <w:pPr>
        <w:pStyle w:val="29"/>
        <w:pageBreakBefore w:val="0"/>
        <w:widowControl/>
        <w:numPr>
          <w:ilvl w:val="0"/>
          <w:numId w:val="3"/>
        </w:numPr>
        <w:kinsoku/>
        <w:wordWrap/>
        <w:overflowPunct/>
        <w:topLinePunct w:val="0"/>
        <w:autoSpaceDE/>
        <w:autoSpaceDN/>
        <w:bidi w:val="0"/>
        <w:adjustRightInd/>
        <w:snapToGrid/>
        <w:spacing w:before="0" w:after="0"/>
        <w:ind w:left="0" w:leftChars="0" w:firstLine="720" w:firstLineChars="300"/>
        <w:jc w:val="both"/>
        <w:textAlignment w:val="auto"/>
        <w:rPr>
          <w:rFonts w:hint="default" w:ascii="Times New Roman" w:hAnsi="Times New Roman" w:cs="Times New Roman"/>
          <w:b w:val="0"/>
          <w:bCs w:val="0"/>
          <w:i w:val="0"/>
          <w:iCs w:val="0"/>
          <w:sz w:val="24"/>
          <w:szCs w:val="24"/>
        </w:rPr>
      </w:pPr>
      <w:r>
        <w:rPr>
          <w:rFonts w:hint="default" w:ascii="Times New Roman" w:hAnsi="Times New Roman" w:cs="Times New Roman"/>
          <w:b w:val="0"/>
          <w:bCs w:val="0"/>
          <w:i w:val="0"/>
          <w:iCs w:val="0"/>
          <w:sz w:val="24"/>
          <w:szCs w:val="24"/>
        </w:rPr>
        <w:t>Приказ Министра национальной экономики Республики Казахстан от 28 февраля 2015 года № 169 «Об утверждении Гигиенических нормативов к физическим факторам, оказывающим воздействие на человека».</w:t>
      </w:r>
    </w:p>
    <w:p w14:paraId="4DF69AE1">
      <w:pPr>
        <w:pStyle w:val="29"/>
        <w:pageBreakBefore w:val="0"/>
        <w:widowControl/>
        <w:numPr>
          <w:ilvl w:val="0"/>
          <w:numId w:val="3"/>
        </w:numPr>
        <w:kinsoku/>
        <w:wordWrap/>
        <w:overflowPunct/>
        <w:topLinePunct w:val="0"/>
        <w:autoSpaceDE/>
        <w:autoSpaceDN/>
        <w:bidi w:val="0"/>
        <w:adjustRightInd/>
        <w:snapToGrid/>
        <w:spacing w:before="0" w:after="0"/>
        <w:ind w:left="0" w:leftChars="0" w:firstLine="720" w:firstLineChars="300"/>
        <w:jc w:val="both"/>
        <w:textAlignment w:val="auto"/>
        <w:rPr>
          <w:rFonts w:hint="default" w:ascii="Times New Roman" w:hAnsi="Times New Roman" w:cs="Times New Roman"/>
          <w:b w:val="0"/>
          <w:bCs w:val="0"/>
          <w:i w:val="0"/>
          <w:iCs w:val="0"/>
          <w:sz w:val="24"/>
          <w:szCs w:val="24"/>
        </w:rPr>
      </w:pPr>
      <w:r>
        <w:rPr>
          <w:rFonts w:hint="default" w:ascii="Times New Roman" w:hAnsi="Times New Roman" w:cs="Times New Roman"/>
          <w:b w:val="0"/>
          <w:bCs w:val="0"/>
          <w:i w:val="0"/>
          <w:iCs w:val="0"/>
          <w:sz w:val="24"/>
          <w:szCs w:val="24"/>
        </w:rPr>
        <w:t>Санитарные правила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утверждённые приказом Министра национальной экономики РК № 209 от 16.03.2015 г.</w:t>
      </w:r>
    </w:p>
    <w:p w14:paraId="5E5C90E8">
      <w:pPr>
        <w:pStyle w:val="29"/>
        <w:pageBreakBefore w:val="0"/>
        <w:widowControl/>
        <w:numPr>
          <w:ilvl w:val="0"/>
          <w:numId w:val="3"/>
        </w:numPr>
        <w:kinsoku/>
        <w:wordWrap/>
        <w:overflowPunct/>
        <w:topLinePunct w:val="0"/>
        <w:autoSpaceDE/>
        <w:autoSpaceDN/>
        <w:bidi w:val="0"/>
        <w:adjustRightInd/>
        <w:snapToGrid/>
        <w:spacing w:before="0" w:after="0"/>
        <w:ind w:left="0" w:leftChars="0" w:firstLine="720" w:firstLineChars="300"/>
        <w:jc w:val="both"/>
        <w:textAlignment w:val="auto"/>
        <w:rPr>
          <w:rFonts w:hint="default" w:ascii="Times New Roman" w:hAnsi="Times New Roman" w:cs="Times New Roman"/>
          <w:b w:val="0"/>
          <w:bCs w:val="0"/>
          <w:i w:val="0"/>
          <w:iCs w:val="0"/>
          <w:sz w:val="24"/>
          <w:szCs w:val="24"/>
        </w:rPr>
      </w:pPr>
      <w:r>
        <w:rPr>
          <w:rFonts w:hint="default" w:ascii="Times New Roman" w:hAnsi="Times New Roman" w:cs="Times New Roman"/>
          <w:b w:val="0"/>
          <w:bCs w:val="0"/>
          <w:i w:val="0"/>
          <w:iCs w:val="0"/>
          <w:sz w:val="24"/>
          <w:szCs w:val="24"/>
        </w:rPr>
        <w:t>Санитарные правила «Санитарно-эпидемиологические требования к сбору, использованию, применению, обезвреживанию, транспортировке, хранению и захоронению отходов производства и потребления», утверждённые Приказом МЗ РК № КР ДСМ-331/2020 от 25.12.2020 г.</w:t>
      </w:r>
    </w:p>
    <w:p w14:paraId="065A5E17">
      <w:pPr>
        <w:pStyle w:val="29"/>
        <w:pageBreakBefore w:val="0"/>
        <w:widowControl/>
        <w:numPr>
          <w:ilvl w:val="0"/>
          <w:numId w:val="3"/>
        </w:numPr>
        <w:kinsoku/>
        <w:wordWrap/>
        <w:overflowPunct/>
        <w:topLinePunct w:val="0"/>
        <w:autoSpaceDE/>
        <w:autoSpaceDN/>
        <w:bidi w:val="0"/>
        <w:adjustRightInd/>
        <w:snapToGrid/>
        <w:spacing w:before="0" w:after="0"/>
        <w:ind w:left="0" w:leftChars="0" w:firstLine="720" w:firstLineChars="300"/>
        <w:jc w:val="both"/>
        <w:textAlignment w:val="auto"/>
        <w:rPr>
          <w:rFonts w:hint="default" w:ascii="Times New Roman" w:hAnsi="Times New Roman" w:cs="Times New Roman"/>
          <w:b w:val="0"/>
          <w:bCs w:val="0"/>
          <w:i w:val="0"/>
          <w:iCs w:val="0"/>
          <w:sz w:val="24"/>
          <w:szCs w:val="24"/>
        </w:rPr>
      </w:pPr>
      <w:r>
        <w:rPr>
          <w:rFonts w:hint="default" w:ascii="Times New Roman" w:hAnsi="Times New Roman" w:cs="Times New Roman"/>
          <w:b w:val="0"/>
          <w:bCs w:val="0"/>
          <w:i w:val="0"/>
          <w:iCs w:val="0"/>
          <w:sz w:val="24"/>
          <w:szCs w:val="24"/>
        </w:rPr>
        <w:t>Типовой договор имущественного найма (аренды) № 55044-ЭТП (земельный участок: г. Алматы, ул. Сортировочная, д. 1/2).</w:t>
      </w:r>
    </w:p>
    <w:bookmarkEnd w:id="23"/>
    <w:p w14:paraId="5A2A0053">
      <w:pPr>
        <w:pStyle w:val="4"/>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bookmarkStart w:id="24" w:name="приложения"/>
    </w:p>
    <w:p w14:paraId="166D147A">
      <w:pPr>
        <w:pStyle w:val="4"/>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p>
    <w:p w14:paraId="37DDB74C">
      <w:pPr>
        <w:pStyle w:val="4"/>
        <w:pageBreakBefore w:val="0"/>
        <w:widowControl/>
        <w:kinsoku/>
        <w:wordWrap/>
        <w:overflowPunct/>
        <w:topLinePunct w:val="0"/>
        <w:autoSpaceDE/>
        <w:autoSpaceDN/>
        <w:bidi w:val="0"/>
        <w:adjustRightInd/>
        <w:snapToGrid/>
        <w:spacing w:before="0" w:after="0"/>
        <w:ind w:left="0" w:leftChars="0" w:firstLine="480" w:firstLineChars="200"/>
        <w:jc w:val="center"/>
        <w:textAlignment w:val="auto"/>
        <w:rPr>
          <w:rFonts w:hint="default" w:ascii="Times New Roman" w:hAnsi="Times New Roman" w:cs="Times New Roman"/>
          <w:b/>
          <w:bCs/>
          <w:color w:val="auto"/>
          <w:sz w:val="24"/>
          <w:szCs w:val="24"/>
          <w:lang w:val="ru-RU"/>
        </w:rPr>
      </w:pPr>
      <w:r>
        <w:rPr>
          <w:rFonts w:hint="default" w:ascii="Times New Roman" w:hAnsi="Times New Roman" w:cs="Times New Roman"/>
          <w:sz w:val="24"/>
          <w:szCs w:val="24"/>
        </w:rPr>
        <w:br w:type="page"/>
      </w:r>
      <w:r>
        <w:rPr>
          <w:rFonts w:hint="default" w:ascii="Times New Roman" w:hAnsi="Times New Roman" w:cs="Times New Roman"/>
          <w:b/>
          <w:bCs/>
          <w:color w:val="auto"/>
          <w:sz w:val="24"/>
          <w:szCs w:val="24"/>
          <w:lang w:val="ru-RU"/>
        </w:rPr>
        <w:t>ПРИЛОЖЕНИЯ</w:t>
      </w:r>
    </w:p>
    <w:p w14:paraId="7E4440D5">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b/>
          <w:bCs/>
          <w:sz w:val="24"/>
          <w:szCs w:val="24"/>
        </w:rPr>
      </w:pPr>
    </w:p>
    <w:p w14:paraId="3CFB89F1">
      <w:pPr>
        <w:pStyle w:val="28"/>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Приложение А</w:t>
      </w:r>
      <w:r>
        <w:rPr>
          <w:rFonts w:hint="default" w:ascii="Times New Roman" w:hAnsi="Times New Roman" w:cs="Times New Roman"/>
          <w:sz w:val="24"/>
          <w:szCs w:val="24"/>
        </w:rPr>
        <w:t xml:space="preserve"> Правоустанавливающие документы на земельный участок (договор аренды №55044-ЭТП, кадастровые сведения).</w:t>
      </w:r>
    </w:p>
    <w:p w14:paraId="2ADDA474">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b/>
          <w:bCs/>
          <w:sz w:val="24"/>
          <w:szCs w:val="24"/>
        </w:rPr>
      </w:pPr>
    </w:p>
    <w:p w14:paraId="4C78723F">
      <w:pPr>
        <w:pStyle w:val="3"/>
        <w:pageBreakBefore w:val="0"/>
        <w:widowControl/>
        <w:kinsoku/>
        <w:wordWrap/>
        <w:overflowPunct/>
        <w:topLinePunct w:val="0"/>
        <w:autoSpaceDE/>
        <w:autoSpaceDN/>
        <w:bidi w:val="0"/>
        <w:adjustRightInd/>
        <w:snapToGrid/>
        <w:spacing w:before="0" w:after="0"/>
        <w:ind w:left="0" w:leftChars="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Pr>
        <w:t xml:space="preserve">Приложение </w:t>
      </w:r>
      <w:r>
        <w:rPr>
          <w:rFonts w:hint="default" w:ascii="Times New Roman" w:hAnsi="Times New Roman" w:cs="Times New Roman"/>
          <w:b/>
          <w:bCs/>
          <w:sz w:val="24"/>
          <w:szCs w:val="24"/>
          <w:lang w:val="kk-KZ"/>
        </w:rPr>
        <w:t>Б</w:t>
      </w:r>
      <w:r>
        <w:rPr>
          <w:rFonts w:hint="default" w:ascii="Times New Roman" w:hAnsi="Times New Roman" w:cs="Times New Roman"/>
          <w:sz w:val="24"/>
          <w:szCs w:val="24"/>
        </w:rPr>
        <w:t xml:space="preserve"> Объявление (сообщение) о проведении общественных слушаний по проекту РООС</w:t>
      </w:r>
      <w:r>
        <w:rPr>
          <w:rFonts w:hint="default" w:ascii="Times New Roman" w:hAnsi="Times New Roman" w:cs="Times New Roman"/>
          <w:sz w:val="24"/>
          <w:szCs w:val="24"/>
          <w:lang w:val="ru-RU"/>
        </w:rPr>
        <w:t>,</w:t>
      </w:r>
      <w:r>
        <w:rPr>
          <w:rFonts w:hint="default" w:ascii="Times New Roman" w:hAnsi="Times New Roman" w:cs="Times New Roman"/>
          <w:sz w:val="24"/>
          <w:szCs w:val="24"/>
          <w:lang w:val="kk-KZ"/>
        </w:rPr>
        <w:t xml:space="preserve"> </w:t>
      </w:r>
      <w:r>
        <w:rPr>
          <w:rFonts w:hint="default" w:ascii="Times New Roman" w:hAnsi="Times New Roman" w:cs="Times New Roman"/>
          <w:sz w:val="24"/>
          <w:szCs w:val="24"/>
          <w:lang w:val="ru-RU"/>
        </w:rPr>
        <w:t>о</w:t>
      </w:r>
      <w:r>
        <w:rPr>
          <w:rFonts w:hint="default" w:ascii="Times New Roman" w:hAnsi="Times New Roman" w:cs="Times New Roman"/>
          <w:sz w:val="24"/>
          <w:szCs w:val="24"/>
          <w:lang w:val="kk-KZ"/>
        </w:rPr>
        <w:t xml:space="preserve">бъявление в газете </w:t>
      </w:r>
      <w:r>
        <w:rPr>
          <w:rFonts w:hint="default" w:ascii="Times New Roman" w:hAnsi="Times New Roman" w:cs="Times New Roman"/>
          <w:sz w:val="24"/>
          <w:szCs w:val="24"/>
          <w:lang w:val="ru-RU"/>
        </w:rPr>
        <w:t>«</w:t>
      </w:r>
      <w:r>
        <w:rPr>
          <w:rFonts w:hint="default" w:ascii="Times New Roman" w:hAnsi="Times New Roman" w:cs="Times New Roman"/>
          <w:sz w:val="24"/>
          <w:szCs w:val="24"/>
          <w:lang w:val="kk-KZ"/>
        </w:rPr>
        <w:t>Вечерний Алматы</w:t>
      </w:r>
      <w:r>
        <w:rPr>
          <w:rFonts w:hint="default" w:ascii="Times New Roman" w:hAnsi="Times New Roman" w:cs="Times New Roman"/>
          <w:sz w:val="24"/>
          <w:szCs w:val="24"/>
          <w:lang w:val="ru-RU"/>
        </w:rPr>
        <w:t>»</w:t>
      </w:r>
      <w:r>
        <w:rPr>
          <w:rFonts w:hint="default" w:ascii="Times New Roman" w:hAnsi="Times New Roman" w:cs="Times New Roman"/>
          <w:sz w:val="24"/>
          <w:szCs w:val="24"/>
        </w:rPr>
        <w:t>.</w:t>
      </w:r>
    </w:p>
    <w:bookmarkEnd w:id="1"/>
    <w:bookmarkEnd w:id="2"/>
    <w:bookmarkEnd w:id="24"/>
    <w:p w14:paraId="4427EF86">
      <w:r>
        <w:drawing>
          <wp:inline distT="0" distB="0" distL="114300" distR="114300">
            <wp:extent cx="5481955" cy="7884160"/>
            <wp:effectExtent l="0" t="0" r="4445" b="2540"/>
            <wp:docPr id="3"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6"/>
                    <pic:cNvPicPr>
                      <a:picLocks noChangeAspect="1"/>
                    </pic:cNvPicPr>
                  </pic:nvPicPr>
                  <pic:blipFill>
                    <a:blip r:embed="rId11"/>
                    <a:stretch>
                      <a:fillRect/>
                    </a:stretch>
                  </pic:blipFill>
                  <pic:spPr>
                    <a:xfrm>
                      <a:off x="0" y="0"/>
                      <a:ext cx="5481955" cy="7884160"/>
                    </a:xfrm>
                    <a:prstGeom prst="rect">
                      <a:avLst/>
                    </a:prstGeom>
                    <a:noFill/>
                    <a:ln>
                      <a:noFill/>
                    </a:ln>
                  </pic:spPr>
                </pic:pic>
              </a:graphicData>
            </a:graphic>
          </wp:inline>
        </w:drawing>
      </w:r>
    </w:p>
    <w:p w14:paraId="1674A30E">
      <w:r>
        <w:drawing>
          <wp:inline distT="0" distB="0" distL="114300" distR="114300">
            <wp:extent cx="5325745" cy="7550150"/>
            <wp:effectExtent l="0" t="0" r="8255" b="12700"/>
            <wp:docPr id="4"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7"/>
                    <pic:cNvPicPr>
                      <a:picLocks noChangeAspect="1"/>
                    </pic:cNvPicPr>
                  </pic:nvPicPr>
                  <pic:blipFill>
                    <a:blip r:embed="rId12"/>
                    <a:stretch>
                      <a:fillRect/>
                    </a:stretch>
                  </pic:blipFill>
                  <pic:spPr>
                    <a:xfrm>
                      <a:off x="0" y="0"/>
                      <a:ext cx="5325745" cy="7550150"/>
                    </a:xfrm>
                    <a:prstGeom prst="rect">
                      <a:avLst/>
                    </a:prstGeom>
                    <a:noFill/>
                    <a:ln>
                      <a:noFill/>
                    </a:ln>
                  </pic:spPr>
                </pic:pic>
              </a:graphicData>
            </a:graphic>
          </wp:inline>
        </w:drawing>
      </w:r>
    </w:p>
    <w:p w14:paraId="51C23D06"/>
    <w:p w14:paraId="42573099">
      <w:pPr>
        <w:pStyle w:val="88"/>
        <w:ind w:left="0" w:leftChars="0" w:firstLine="0" w:firstLineChars="0"/>
        <w:jc w:val="center"/>
        <w:rPr>
          <w:rFonts w:ascii="Times New Roman" w:hAnsi="Times New Roman" w:cs="Times New Roman"/>
          <w:b/>
          <w:sz w:val="28"/>
          <w:szCs w:val="28"/>
          <w:lang w:val="ru-RU"/>
        </w:rPr>
      </w:pPr>
      <w:r>
        <w:rPr>
          <w:rFonts w:ascii="Times New Roman" w:hAnsi="Times New Roman" w:cs="Times New Roman"/>
          <w:b/>
          <w:sz w:val="28"/>
          <w:szCs w:val="28"/>
          <w:lang w:val="ru-RU"/>
        </w:rPr>
        <w:t>Объявление</w:t>
      </w:r>
    </w:p>
    <w:p w14:paraId="17FA0499">
      <w:pPr>
        <w:pStyle w:val="88"/>
        <w:ind w:left="720"/>
        <w:jc w:val="center"/>
        <w:rPr>
          <w:rFonts w:ascii="Times New Roman" w:hAnsi="Times New Roman" w:cs="Times New Roman"/>
          <w:b/>
          <w:sz w:val="28"/>
          <w:szCs w:val="28"/>
          <w:lang w:val="ru-RU"/>
        </w:rPr>
      </w:pPr>
    </w:p>
    <w:p w14:paraId="2D63FC54">
      <w:pPr>
        <w:pStyle w:val="24"/>
        <w:keepNext w:val="0"/>
        <w:keepLines w:val="0"/>
        <w:pageBreakBefore w:val="0"/>
        <w:widowControl/>
        <w:suppressLineNumbers w:val="0"/>
        <w:kinsoku/>
        <w:wordWrap/>
        <w:overflowPunct/>
        <w:topLinePunct w:val="0"/>
        <w:autoSpaceDE/>
        <w:autoSpaceDN/>
        <w:bidi w:val="0"/>
        <w:adjustRightInd/>
        <w:snapToGrid/>
        <w:spacing w:beforeAutospacing="0" w:afterAutospacing="0"/>
        <w:jc w:val="both"/>
        <w:textAlignment w:val="auto"/>
      </w:pPr>
      <w:r>
        <w:t xml:space="preserve">ТОО «Пассажирская Компания «Туран Экспресс»» проводит общественные слушания в форме </w:t>
      </w:r>
      <w:r>
        <w:rPr>
          <w:rStyle w:val="17"/>
        </w:rPr>
        <w:t>публичного обсуждения</w:t>
      </w:r>
      <w:r>
        <w:t xml:space="preserve"> на </w:t>
      </w:r>
      <w:r>
        <w:rPr>
          <w:rStyle w:val="17"/>
        </w:rPr>
        <w:t>Едином экологическом портале</w:t>
      </w:r>
      <w:r>
        <w:t xml:space="preserve"> (ecoportal.kz) по разделу «</w:t>
      </w:r>
      <w:r>
        <w:rPr>
          <w:rStyle w:val="17"/>
        </w:rPr>
        <w:t>Охрана окружающей среды (РООС)</w:t>
      </w:r>
      <w:r>
        <w:t xml:space="preserve">» проектной документации по адресу: </w:t>
      </w:r>
      <w:r>
        <w:rPr>
          <w:rStyle w:val="17"/>
        </w:rPr>
        <w:t>г. Алматы, Турксибский район, ул. Сортировочная, д. 1/2</w:t>
      </w:r>
      <w:r>
        <w:t>.</w:t>
      </w:r>
    </w:p>
    <w:p w14:paraId="521FE192">
      <w:pPr>
        <w:pStyle w:val="24"/>
        <w:keepNext w:val="0"/>
        <w:keepLines w:val="0"/>
        <w:pageBreakBefore w:val="0"/>
        <w:widowControl/>
        <w:suppressLineNumbers w:val="0"/>
        <w:kinsoku/>
        <w:wordWrap/>
        <w:overflowPunct/>
        <w:topLinePunct w:val="0"/>
        <w:autoSpaceDE/>
        <w:autoSpaceDN/>
        <w:bidi w:val="0"/>
        <w:adjustRightInd/>
        <w:snapToGrid/>
        <w:spacing w:beforeAutospacing="0" w:afterAutospacing="0"/>
        <w:jc w:val="both"/>
        <w:textAlignment w:val="auto"/>
      </w:pPr>
      <w:r>
        <w:t xml:space="preserve">Проектные материалы будут доступны для ознакомления </w:t>
      </w:r>
      <w:r>
        <w:rPr>
          <w:rStyle w:val="17"/>
        </w:rPr>
        <w:t xml:space="preserve">с </w:t>
      </w:r>
      <w:r>
        <w:rPr>
          <w:rStyle w:val="17"/>
          <w:rFonts w:hint="default"/>
          <w:lang w:val="ru-RU"/>
        </w:rPr>
        <w:t>2</w:t>
      </w:r>
      <w:r>
        <w:rPr>
          <w:rStyle w:val="17"/>
          <w:rFonts w:hint="default"/>
          <w:lang w:val="en-US"/>
        </w:rPr>
        <w:t>7</w:t>
      </w:r>
      <w:r>
        <w:rPr>
          <w:rStyle w:val="17"/>
        </w:rPr>
        <w:t xml:space="preserve"> февраля</w:t>
      </w:r>
      <w:r>
        <w:t xml:space="preserve"> </w:t>
      </w:r>
      <w:r>
        <w:rPr>
          <w:b/>
          <w:bCs/>
          <w:lang w:val="ru-RU"/>
        </w:rPr>
        <w:t>по</w:t>
      </w:r>
      <w:r>
        <w:rPr>
          <w:rFonts w:hint="default"/>
          <w:b/>
          <w:bCs/>
          <w:lang w:val="ru-RU"/>
        </w:rPr>
        <w:t xml:space="preserve"> </w:t>
      </w:r>
      <w:r>
        <w:rPr>
          <w:rFonts w:hint="default"/>
          <w:b/>
          <w:bCs/>
          <w:lang w:val="en-US"/>
        </w:rPr>
        <w:t>1</w:t>
      </w:r>
      <w:r>
        <w:rPr>
          <w:rFonts w:hint="default"/>
          <w:b/>
          <w:bCs/>
          <w:lang w:val="ru-RU"/>
        </w:rPr>
        <w:t>3 марта</w:t>
      </w:r>
      <w:r>
        <w:rPr>
          <w:rFonts w:hint="default"/>
          <w:lang w:val="ru-RU"/>
        </w:rPr>
        <w:t xml:space="preserve"> </w:t>
      </w:r>
      <w:r>
        <w:t>на следующих ресурсах:</w:t>
      </w:r>
    </w:p>
    <w:p w14:paraId="2E3C4B3F">
      <w:pPr>
        <w:pStyle w:val="24"/>
        <w:keepNext w:val="0"/>
        <w:keepLines w:val="0"/>
        <w:pageBreakBefore w:val="0"/>
        <w:widowControl/>
        <w:suppressLineNumbers w:val="0"/>
        <w:kinsoku/>
        <w:wordWrap/>
        <w:overflowPunct/>
        <w:topLinePunct w:val="0"/>
        <w:autoSpaceDE/>
        <w:autoSpaceDN/>
        <w:bidi w:val="0"/>
        <w:adjustRightInd/>
        <w:snapToGrid/>
        <w:spacing w:beforeAutospacing="0" w:afterAutospacing="0"/>
        <w:ind w:left="720"/>
        <w:jc w:val="both"/>
        <w:textAlignment w:val="auto"/>
      </w:pPr>
      <w:r>
        <w:rPr>
          <w:rFonts w:hint="default"/>
          <w:lang w:val="ru-RU"/>
        </w:rPr>
        <w:t xml:space="preserve">- </w:t>
      </w:r>
      <w:r>
        <w:t xml:space="preserve">«Национальный банк данных о состоянии окружающей среды и сохранении ресурсов» — </w:t>
      </w:r>
      <w:r>
        <w:fldChar w:fldCharType="begin"/>
      </w:r>
      <w:r>
        <w:instrText xml:space="preserve"> HYPERLINK "https://hearings.ndbecology.gov.kz" \t "_new" </w:instrText>
      </w:r>
      <w:r>
        <w:fldChar w:fldCharType="separate"/>
      </w:r>
      <w:r>
        <w:rPr>
          <w:rStyle w:val="16"/>
        </w:rPr>
        <w:t>https://hearings.ndbecology.gov.kz</w:t>
      </w:r>
      <w:r>
        <w:fldChar w:fldCharType="end"/>
      </w:r>
      <w:r>
        <w:t xml:space="preserve"> (раздел «Публичные слушания»);</w:t>
      </w:r>
    </w:p>
    <w:p w14:paraId="36594EB2">
      <w:pPr>
        <w:pStyle w:val="24"/>
        <w:keepNext w:val="0"/>
        <w:keepLines w:val="0"/>
        <w:pageBreakBefore w:val="0"/>
        <w:widowControl/>
        <w:suppressLineNumbers w:val="0"/>
        <w:kinsoku/>
        <w:wordWrap/>
        <w:overflowPunct/>
        <w:topLinePunct w:val="0"/>
        <w:autoSpaceDE/>
        <w:autoSpaceDN/>
        <w:bidi w:val="0"/>
        <w:adjustRightInd/>
        <w:snapToGrid/>
        <w:spacing w:beforeAutospacing="0" w:afterAutospacing="0"/>
        <w:ind w:left="720"/>
        <w:jc w:val="both"/>
        <w:textAlignment w:val="auto"/>
      </w:pPr>
      <w:r>
        <w:rPr>
          <w:rFonts w:hint="default"/>
          <w:lang w:val="ru-RU"/>
        </w:rPr>
        <w:t xml:space="preserve">- </w:t>
      </w:r>
      <w:r>
        <w:t xml:space="preserve">Единый экологический портал — </w:t>
      </w:r>
      <w:r>
        <w:fldChar w:fldCharType="begin"/>
      </w:r>
      <w:r>
        <w:instrText xml:space="preserve"> HYPERLINK "https://ecoportal.kz" \t "_new" </w:instrText>
      </w:r>
      <w:r>
        <w:fldChar w:fldCharType="separate"/>
      </w:r>
      <w:r>
        <w:rPr>
          <w:rStyle w:val="16"/>
        </w:rPr>
        <w:t>https://ecoportal.kz</w:t>
      </w:r>
      <w:r>
        <w:fldChar w:fldCharType="end"/>
      </w:r>
      <w:r>
        <w:t>;</w:t>
      </w:r>
    </w:p>
    <w:p w14:paraId="563701EF">
      <w:pPr>
        <w:pStyle w:val="24"/>
        <w:keepNext w:val="0"/>
        <w:keepLines w:val="0"/>
        <w:pageBreakBefore w:val="0"/>
        <w:widowControl/>
        <w:suppressLineNumbers w:val="0"/>
        <w:kinsoku/>
        <w:wordWrap/>
        <w:overflowPunct/>
        <w:topLinePunct w:val="0"/>
        <w:autoSpaceDE/>
        <w:autoSpaceDN/>
        <w:bidi w:val="0"/>
        <w:adjustRightInd/>
        <w:snapToGrid/>
        <w:spacing w:beforeAutospacing="0" w:afterAutospacing="0"/>
        <w:ind w:left="720"/>
        <w:jc w:val="both"/>
        <w:textAlignment w:val="auto"/>
      </w:pPr>
      <w:r>
        <w:rPr>
          <w:rFonts w:hint="default"/>
          <w:lang w:val="ru-RU"/>
        </w:rPr>
        <w:t xml:space="preserve">- </w:t>
      </w:r>
      <w:r>
        <w:t>сайт ГУ «Управление природных ресурсов и регулирования природопользования г. Алматы».</w:t>
      </w:r>
    </w:p>
    <w:p w14:paraId="3BCB342F">
      <w:pPr>
        <w:pStyle w:val="24"/>
        <w:keepNext w:val="0"/>
        <w:keepLines w:val="0"/>
        <w:pageBreakBefore w:val="0"/>
        <w:widowControl/>
        <w:suppressLineNumbers w:val="0"/>
        <w:kinsoku/>
        <w:wordWrap/>
        <w:overflowPunct/>
        <w:topLinePunct w:val="0"/>
        <w:autoSpaceDE/>
        <w:autoSpaceDN/>
        <w:bidi w:val="0"/>
        <w:adjustRightInd/>
        <w:snapToGrid/>
        <w:spacing w:beforeAutospacing="0" w:afterAutospacing="0"/>
        <w:jc w:val="both"/>
        <w:textAlignment w:val="auto"/>
      </w:pPr>
      <w:r>
        <w:rPr>
          <w:rStyle w:val="17"/>
        </w:rPr>
        <w:t>Замечания и предложения</w:t>
      </w:r>
      <w:r>
        <w:t xml:space="preserve"> принимаются через функционал порталов </w:t>
      </w:r>
      <w:r>
        <w:rPr>
          <w:rStyle w:val="17"/>
        </w:rPr>
        <w:t>в указанный период</w:t>
      </w:r>
      <w:r>
        <w:t>.</w:t>
      </w:r>
    </w:p>
    <w:p w14:paraId="39D14E86">
      <w:pPr>
        <w:pStyle w:val="24"/>
        <w:keepNext w:val="0"/>
        <w:keepLines w:val="0"/>
        <w:pageBreakBefore w:val="0"/>
        <w:widowControl/>
        <w:suppressLineNumbers w:val="0"/>
        <w:kinsoku/>
        <w:wordWrap/>
        <w:overflowPunct/>
        <w:topLinePunct w:val="0"/>
        <w:autoSpaceDE/>
        <w:autoSpaceDN/>
        <w:bidi w:val="0"/>
        <w:adjustRightInd/>
        <w:snapToGrid/>
        <w:spacing w:beforeAutospacing="0" w:afterAutospacing="0"/>
        <w:jc w:val="both"/>
        <w:textAlignment w:val="auto"/>
      </w:pPr>
      <w:r>
        <w:rPr>
          <w:rStyle w:val="17"/>
        </w:rPr>
        <w:t>Инициатор намечаемой деятельности:</w:t>
      </w:r>
      <w:r>
        <w:br w:type="textWrapping"/>
      </w:r>
      <w:r>
        <w:t>ТОО «Пассажирская Компания «Туран Экспресс»», БИН 060540004487, 050050, Республика Казахстан, г. Алматы, ул. Ахтанова, 43.</w:t>
      </w:r>
      <w:r>
        <w:br w:type="textWrapping"/>
      </w:r>
      <w:r>
        <w:t>Тел.: 8 (727) 234-34-65, 66, 67, 68, 70; факс: 8 (727) 234-33-65.</w:t>
      </w:r>
    </w:p>
    <w:p w14:paraId="73386F03">
      <w:pPr>
        <w:spacing w:before="100" w:beforeAutospacing="1" w:after="100" w:afterAutospacing="1" w:line="240" w:lineRule="auto"/>
        <w:ind w:left="0" w:leftChars="0" w:firstLine="0" w:firstLineChars="0"/>
        <w:jc w:val="center"/>
        <w:rPr>
          <w:rFonts w:ascii="Times New Roman" w:hAnsi="Times New Roman" w:eastAsia="Times New Roman" w:cs="Times New Roman"/>
          <w:sz w:val="28"/>
          <w:szCs w:val="24"/>
          <w:lang w:val="ru-RU" w:eastAsia="ru-RU"/>
        </w:rPr>
      </w:pPr>
      <w:r>
        <w:rPr>
          <w:rFonts w:ascii="Times New Roman" w:hAnsi="Times New Roman" w:eastAsia="Times New Roman" w:cs="Times New Roman"/>
          <w:b/>
          <w:bCs/>
          <w:sz w:val="28"/>
          <w:szCs w:val="24"/>
          <w:lang w:val="ru-RU" w:eastAsia="ru-RU"/>
        </w:rPr>
        <w:t>Хабарландыру</w:t>
      </w:r>
    </w:p>
    <w:p w14:paraId="469ECAC1">
      <w:pPr>
        <w:pStyle w:val="24"/>
        <w:keepNext w:val="0"/>
        <w:keepLines w:val="0"/>
        <w:pageBreakBefore w:val="0"/>
        <w:widowControl/>
        <w:suppressLineNumbers w:val="0"/>
        <w:kinsoku/>
        <w:wordWrap/>
        <w:overflowPunct/>
        <w:topLinePunct w:val="0"/>
        <w:autoSpaceDE/>
        <w:autoSpaceDN/>
        <w:bidi w:val="0"/>
        <w:adjustRightInd/>
        <w:snapToGrid/>
        <w:spacing w:beforeAutospacing="0" w:after="0" w:afterAutospacing="0" w:line="240" w:lineRule="auto"/>
        <w:jc w:val="both"/>
        <w:textAlignment w:val="auto"/>
      </w:pPr>
      <w:r>
        <w:t>«Пассажирская Компания «Туран Экспресс»» ЖШС «Бірыңғай экологиялық портал» (</w:t>
      </w:r>
      <w:r>
        <w:fldChar w:fldCharType="begin"/>
      </w:r>
      <w:r>
        <w:instrText xml:space="preserve"> HYPERLINK "https://ecoportal.kz/" \t "_new" </w:instrText>
      </w:r>
      <w:r>
        <w:fldChar w:fldCharType="separate"/>
      </w:r>
      <w:r>
        <w:rPr>
          <w:rStyle w:val="16"/>
        </w:rPr>
        <w:t>https://ecoportal.kz/</w:t>
      </w:r>
      <w:r>
        <w:fldChar w:fldCharType="end"/>
      </w:r>
      <w:r>
        <w:t xml:space="preserve">) платформасында </w:t>
      </w:r>
      <w:r>
        <w:rPr>
          <w:rStyle w:val="17"/>
        </w:rPr>
        <w:t>жария талқылау</w:t>
      </w:r>
      <w:r>
        <w:t xml:space="preserve"> форматында, жобаның «</w:t>
      </w:r>
      <w:r>
        <w:rPr>
          <w:rStyle w:val="17"/>
        </w:rPr>
        <w:t>Қоршаған ортаны қорғау бөлімі (РООС)</w:t>
      </w:r>
      <w:r>
        <w:t xml:space="preserve">» бойынша қоғамдық тыңдаулар өткізеді. Жоба іске асырылатын мекенжай: </w:t>
      </w:r>
      <w:r>
        <w:rPr>
          <w:rStyle w:val="17"/>
        </w:rPr>
        <w:t>Алматы қ., Түрксіб ауданы, Сортировочная көш., 1/2 үй</w:t>
      </w:r>
      <w:r>
        <w:t>.</w:t>
      </w:r>
    </w:p>
    <w:p w14:paraId="2FF5537D">
      <w:pPr>
        <w:pStyle w:val="24"/>
        <w:keepNext w:val="0"/>
        <w:keepLines w:val="0"/>
        <w:pageBreakBefore w:val="0"/>
        <w:widowControl/>
        <w:suppressLineNumbers w:val="0"/>
        <w:kinsoku/>
        <w:wordWrap/>
        <w:overflowPunct/>
        <w:topLinePunct w:val="0"/>
        <w:autoSpaceDE/>
        <w:autoSpaceDN/>
        <w:bidi w:val="0"/>
        <w:adjustRightInd/>
        <w:snapToGrid/>
        <w:spacing w:beforeAutospacing="0" w:after="0" w:afterAutospacing="0" w:line="240" w:lineRule="auto"/>
        <w:jc w:val="both"/>
        <w:textAlignment w:val="auto"/>
        <w:rPr>
          <w:rFonts w:hint="default" w:ascii="Times New Roman" w:hAnsi="Times New Roman" w:cs="Times New Roman"/>
        </w:rPr>
      </w:pPr>
      <w:r>
        <w:rPr>
          <w:rFonts w:hint="default" w:ascii="Times New Roman" w:hAnsi="Times New Roman" w:eastAsia="SimSun" w:cs="Times New Roman"/>
          <w:sz w:val="24"/>
          <w:szCs w:val="24"/>
        </w:rPr>
        <w:t xml:space="preserve">Жобалық материалдармен </w:t>
      </w:r>
      <w:r>
        <w:rPr>
          <w:rFonts w:hint="default" w:ascii="Times New Roman" w:hAnsi="Times New Roman" w:eastAsia="SimSun" w:cs="Times New Roman"/>
          <w:b/>
          <w:bCs/>
          <w:sz w:val="24"/>
          <w:szCs w:val="24"/>
        </w:rPr>
        <w:t>2</w:t>
      </w:r>
      <w:r>
        <w:rPr>
          <w:rFonts w:hint="default" w:ascii="Times New Roman" w:hAnsi="Times New Roman" w:cs="Times New Roman"/>
          <w:b/>
          <w:bCs/>
          <w:sz w:val="24"/>
          <w:szCs w:val="24"/>
          <w:lang w:val="en-US"/>
        </w:rPr>
        <w:t>7</w:t>
      </w:r>
      <w:r>
        <w:rPr>
          <w:rFonts w:hint="default" w:ascii="Times New Roman" w:hAnsi="Times New Roman" w:eastAsia="SimSun" w:cs="Times New Roman"/>
          <w:b/>
          <w:bCs/>
          <w:sz w:val="24"/>
          <w:szCs w:val="24"/>
        </w:rPr>
        <w:t xml:space="preserve"> ақпаннан </w:t>
      </w:r>
      <w:r>
        <w:rPr>
          <w:rFonts w:hint="default" w:ascii="Times New Roman" w:hAnsi="Times New Roman" w:cs="Times New Roman"/>
          <w:b/>
          <w:bCs/>
          <w:sz w:val="24"/>
          <w:szCs w:val="24"/>
          <w:lang w:val="en-US"/>
        </w:rPr>
        <w:t>1</w:t>
      </w:r>
      <w:r>
        <w:rPr>
          <w:rFonts w:hint="default" w:cs="Times New Roman"/>
          <w:b/>
          <w:bCs/>
          <w:sz w:val="24"/>
          <w:szCs w:val="24"/>
          <w:lang w:val="ru-RU"/>
        </w:rPr>
        <w:t>3</w:t>
      </w:r>
      <w:r>
        <w:rPr>
          <w:rFonts w:hint="default" w:ascii="Times New Roman" w:hAnsi="Times New Roman" w:eastAsia="SimSun" w:cs="Times New Roman"/>
          <w:b/>
          <w:bCs/>
          <w:sz w:val="24"/>
          <w:szCs w:val="24"/>
        </w:rPr>
        <w:t xml:space="preserve"> наурызға дейін </w:t>
      </w:r>
      <w:r>
        <w:rPr>
          <w:rFonts w:hint="default" w:ascii="Times New Roman" w:hAnsi="Times New Roman" w:eastAsia="SimSun" w:cs="Times New Roman"/>
          <w:sz w:val="24"/>
          <w:szCs w:val="24"/>
        </w:rPr>
        <w:t>төмендегі ресурстарда танысуға болады</w:t>
      </w:r>
      <w:r>
        <w:rPr>
          <w:rFonts w:hint="default" w:ascii="Times New Roman" w:hAnsi="Times New Roman" w:cs="Times New Roman"/>
        </w:rPr>
        <w:t>:</w:t>
      </w:r>
    </w:p>
    <w:p w14:paraId="7B119915">
      <w:pPr>
        <w:pStyle w:val="24"/>
        <w:keepNext w:val="0"/>
        <w:keepLines w:val="0"/>
        <w:pageBreakBefore w:val="0"/>
        <w:widowControl/>
        <w:suppressLineNumbers w:val="0"/>
        <w:kinsoku/>
        <w:wordWrap/>
        <w:overflowPunct/>
        <w:topLinePunct w:val="0"/>
        <w:autoSpaceDE/>
        <w:autoSpaceDN/>
        <w:bidi w:val="0"/>
        <w:adjustRightInd/>
        <w:snapToGrid/>
        <w:spacing w:beforeAutospacing="0" w:after="0" w:afterAutospacing="0" w:line="240" w:lineRule="auto"/>
        <w:ind w:left="720"/>
        <w:jc w:val="both"/>
        <w:textAlignment w:val="auto"/>
      </w:pPr>
      <w:r>
        <w:rPr>
          <w:rFonts w:hint="default"/>
          <w:lang w:val="ru-RU"/>
        </w:rPr>
        <w:t xml:space="preserve">- </w:t>
      </w:r>
      <w:r>
        <w:t xml:space="preserve">«Қоршаған ортаның жай-күйі және ресурстарды сақтау туралы ұлттық деректер банкі» — </w:t>
      </w:r>
      <w:r>
        <w:fldChar w:fldCharType="begin"/>
      </w:r>
      <w:r>
        <w:instrText xml:space="preserve"> HYPERLINK "https://hearings.ndbecology.gov.kz" \t "_new" </w:instrText>
      </w:r>
      <w:r>
        <w:fldChar w:fldCharType="separate"/>
      </w:r>
      <w:r>
        <w:rPr>
          <w:rStyle w:val="16"/>
        </w:rPr>
        <w:t>https://hearings.ndbecology.gov.kz</w:t>
      </w:r>
      <w:r>
        <w:fldChar w:fldCharType="end"/>
      </w:r>
      <w:r>
        <w:t xml:space="preserve"> ( «Жария тыңдаулар» бөлімі);</w:t>
      </w:r>
    </w:p>
    <w:p w14:paraId="6831A91B">
      <w:pPr>
        <w:pStyle w:val="24"/>
        <w:keepNext w:val="0"/>
        <w:keepLines w:val="0"/>
        <w:pageBreakBefore w:val="0"/>
        <w:widowControl/>
        <w:suppressLineNumbers w:val="0"/>
        <w:kinsoku/>
        <w:wordWrap/>
        <w:overflowPunct/>
        <w:topLinePunct w:val="0"/>
        <w:autoSpaceDE/>
        <w:autoSpaceDN/>
        <w:bidi w:val="0"/>
        <w:adjustRightInd/>
        <w:snapToGrid/>
        <w:spacing w:beforeAutospacing="0" w:after="0" w:afterAutospacing="0" w:line="240" w:lineRule="auto"/>
        <w:ind w:left="720"/>
        <w:jc w:val="both"/>
        <w:textAlignment w:val="auto"/>
      </w:pPr>
      <w:r>
        <w:rPr>
          <w:rFonts w:hint="default"/>
          <w:lang w:val="ru-RU"/>
        </w:rPr>
        <w:t xml:space="preserve">- </w:t>
      </w:r>
      <w:r>
        <w:t xml:space="preserve">«Бірыңғай экологиялық портал» — </w:t>
      </w:r>
      <w:r>
        <w:fldChar w:fldCharType="begin"/>
      </w:r>
      <w:r>
        <w:instrText xml:space="preserve"> HYPERLINK "https://ecoportal.kz" \t "_new" </w:instrText>
      </w:r>
      <w:r>
        <w:fldChar w:fldCharType="separate"/>
      </w:r>
      <w:r>
        <w:rPr>
          <w:rStyle w:val="16"/>
        </w:rPr>
        <w:t>https://ecoportal.kz</w:t>
      </w:r>
      <w:r>
        <w:fldChar w:fldCharType="end"/>
      </w:r>
      <w:r>
        <w:t>;</w:t>
      </w:r>
    </w:p>
    <w:p w14:paraId="187D3938">
      <w:pPr>
        <w:pStyle w:val="24"/>
        <w:keepNext w:val="0"/>
        <w:keepLines w:val="0"/>
        <w:pageBreakBefore w:val="0"/>
        <w:widowControl/>
        <w:suppressLineNumbers w:val="0"/>
        <w:kinsoku/>
        <w:wordWrap/>
        <w:overflowPunct/>
        <w:topLinePunct w:val="0"/>
        <w:autoSpaceDE/>
        <w:autoSpaceDN/>
        <w:bidi w:val="0"/>
        <w:adjustRightInd/>
        <w:snapToGrid/>
        <w:spacing w:beforeAutospacing="0" w:after="0" w:afterAutospacing="0" w:line="240" w:lineRule="auto"/>
        <w:ind w:left="720"/>
        <w:jc w:val="both"/>
        <w:textAlignment w:val="auto"/>
      </w:pPr>
      <w:r>
        <w:rPr>
          <w:rFonts w:hint="default"/>
          <w:lang w:val="ru-RU"/>
        </w:rPr>
        <w:t xml:space="preserve">- </w:t>
      </w:r>
      <w:r>
        <w:t>«Алматы қаласының табиғи ресурстар және табиғат пайдалануды реттеу басқармасы» ММ сайты.</w:t>
      </w:r>
    </w:p>
    <w:p w14:paraId="5037796C">
      <w:pPr>
        <w:pStyle w:val="24"/>
        <w:keepNext w:val="0"/>
        <w:keepLines w:val="0"/>
        <w:pageBreakBefore w:val="0"/>
        <w:widowControl/>
        <w:suppressLineNumbers w:val="0"/>
        <w:kinsoku/>
        <w:wordWrap/>
        <w:overflowPunct/>
        <w:topLinePunct w:val="0"/>
        <w:autoSpaceDE/>
        <w:autoSpaceDN/>
        <w:bidi w:val="0"/>
        <w:adjustRightInd/>
        <w:snapToGrid/>
        <w:spacing w:beforeAutospacing="0" w:after="0" w:afterAutospacing="0" w:line="240" w:lineRule="auto"/>
        <w:jc w:val="both"/>
        <w:textAlignment w:val="auto"/>
      </w:pPr>
      <w:r>
        <w:rPr>
          <w:rStyle w:val="17"/>
        </w:rPr>
        <w:t>Ескертулер мен ұсыныстар</w:t>
      </w:r>
      <w:r>
        <w:t xml:space="preserve"> көрсетілген кезең ішінде порталдардың функционалы арқылы қабылданады.</w:t>
      </w:r>
    </w:p>
    <w:p w14:paraId="5AAC1638">
      <w:pPr>
        <w:pStyle w:val="24"/>
        <w:keepNext w:val="0"/>
        <w:keepLines w:val="0"/>
        <w:pageBreakBefore w:val="0"/>
        <w:widowControl/>
        <w:suppressLineNumbers w:val="0"/>
        <w:kinsoku/>
        <w:wordWrap/>
        <w:overflowPunct/>
        <w:topLinePunct w:val="0"/>
        <w:autoSpaceDE/>
        <w:autoSpaceDN/>
        <w:bidi w:val="0"/>
        <w:adjustRightInd/>
        <w:snapToGrid/>
        <w:spacing w:beforeAutospacing="0" w:after="0" w:afterAutospacing="0" w:line="240" w:lineRule="auto"/>
        <w:jc w:val="both"/>
        <w:textAlignment w:val="auto"/>
      </w:pPr>
      <w:r>
        <w:rPr>
          <w:rStyle w:val="17"/>
        </w:rPr>
        <w:t>Жоспарланып отырған қызметтің бастамашысы:</w:t>
      </w:r>
      <w:r>
        <w:br w:type="textWrapping"/>
      </w:r>
      <w:r>
        <w:t>«Пассажирская Компания «Туран Экспресс»» ЖШС, БСН 060540004487, 050050, Қазақстан Республикасы, Алматы қ., Ахтанов көш., 43.</w:t>
      </w:r>
      <w:r>
        <w:br w:type="textWrapping"/>
      </w:r>
      <w:r>
        <w:t>Тел.: 8 (727) 234-34-65, 66, 67, 68, 70; факс: 8 (727) 234-33-65.</w:t>
      </w:r>
    </w:p>
    <w:p w14:paraId="7AC14EE9">
      <w:pPr>
        <w:pStyle w:val="24"/>
        <w:keepNext w:val="0"/>
        <w:keepLines w:val="0"/>
        <w:pageBreakBefore w:val="0"/>
        <w:widowControl/>
        <w:suppressLineNumbers w:val="0"/>
        <w:kinsoku/>
        <w:wordWrap/>
        <w:overflowPunct/>
        <w:topLinePunct w:val="0"/>
        <w:autoSpaceDE/>
        <w:autoSpaceDN/>
        <w:bidi w:val="0"/>
        <w:adjustRightInd/>
        <w:snapToGrid/>
        <w:spacing w:beforeAutospacing="0" w:after="0" w:afterAutospacing="0" w:line="240" w:lineRule="auto"/>
        <w:jc w:val="both"/>
        <w:textAlignment w:val="auto"/>
      </w:pPr>
      <w:r>
        <w:br w:type="page"/>
      </w:r>
      <w:r>
        <w:drawing>
          <wp:inline distT="0" distB="0" distL="114300" distR="114300">
            <wp:extent cx="5469255" cy="8087360"/>
            <wp:effectExtent l="0" t="0" r="17145" b="8890"/>
            <wp:docPr id="5"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2"/>
                    <pic:cNvPicPr>
                      <a:picLocks noChangeAspect="1"/>
                    </pic:cNvPicPr>
                  </pic:nvPicPr>
                  <pic:blipFill>
                    <a:blip r:embed="rId13"/>
                    <a:stretch>
                      <a:fillRect/>
                    </a:stretch>
                  </pic:blipFill>
                  <pic:spPr>
                    <a:xfrm>
                      <a:off x="0" y="0"/>
                      <a:ext cx="5469255" cy="8087360"/>
                    </a:xfrm>
                    <a:prstGeom prst="rect">
                      <a:avLst/>
                    </a:prstGeom>
                    <a:noFill/>
                    <a:ln>
                      <a:noFill/>
                    </a:ln>
                  </pic:spPr>
                </pic:pic>
              </a:graphicData>
            </a:graphic>
          </wp:inline>
        </w:drawing>
      </w:r>
    </w:p>
    <w:p w14:paraId="375A5CDC">
      <w:pPr>
        <w:pStyle w:val="24"/>
        <w:keepNext w:val="0"/>
        <w:keepLines w:val="0"/>
        <w:pageBreakBefore w:val="0"/>
        <w:widowControl/>
        <w:suppressLineNumbers w:val="0"/>
        <w:kinsoku/>
        <w:wordWrap/>
        <w:overflowPunct/>
        <w:topLinePunct w:val="0"/>
        <w:autoSpaceDE/>
        <w:autoSpaceDN/>
        <w:bidi w:val="0"/>
        <w:adjustRightInd/>
        <w:snapToGrid/>
        <w:spacing w:beforeAutospacing="0" w:after="0" w:afterAutospacing="0" w:line="240" w:lineRule="auto"/>
        <w:jc w:val="both"/>
        <w:textAlignment w:val="auto"/>
      </w:pPr>
      <w:r>
        <w:drawing>
          <wp:inline distT="0" distB="0" distL="114300" distR="114300">
            <wp:extent cx="6144260" cy="7877810"/>
            <wp:effectExtent l="0" t="0" r="8890" b="8890"/>
            <wp:docPr id="7"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 4"/>
                    <pic:cNvPicPr>
                      <a:picLocks noChangeAspect="1"/>
                    </pic:cNvPicPr>
                  </pic:nvPicPr>
                  <pic:blipFill>
                    <a:blip r:embed="rId14"/>
                    <a:stretch>
                      <a:fillRect/>
                    </a:stretch>
                  </pic:blipFill>
                  <pic:spPr>
                    <a:xfrm>
                      <a:off x="0" y="0"/>
                      <a:ext cx="6144260" cy="7877810"/>
                    </a:xfrm>
                    <a:prstGeom prst="rect">
                      <a:avLst/>
                    </a:prstGeom>
                    <a:noFill/>
                    <a:ln>
                      <a:noFill/>
                    </a:ln>
                  </pic:spPr>
                </pic:pic>
              </a:graphicData>
            </a:graphic>
          </wp:inline>
        </w:drawing>
      </w:r>
    </w:p>
    <w:p w14:paraId="6029471E"/>
    <w:sectPr>
      <w:headerReference r:id="rId4" w:type="default"/>
      <w:footerReference r:id="rId5" w:type="default"/>
      <w:footnotePr>
        <w:numRestart w:val="eachSect"/>
      </w:footnotePr>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ptos">
    <w:altName w:val="SimSun"/>
    <w:panose1 w:val="020B0004020202020204"/>
    <w:charset w:val="86"/>
    <w:family w:val="swiss"/>
    <w:pitch w:val="default"/>
    <w:sig w:usb0="00000000" w:usb1="00000000" w:usb2="00000000" w:usb3="00000000" w:csb0="0000019F" w:csb1="00000000"/>
  </w:font>
  <w:font w:name="Aptos">
    <w:altName w:val="SimSun"/>
    <w:panose1 w:val="00000000000000000000"/>
    <w:charset w:val="86"/>
    <w:family w:val="auto"/>
    <w:pitch w:val="default"/>
    <w:sig w:usb0="00000000" w:usb1="00000000" w:usb2="00000000" w:usb3="00000000" w:csb0="00000000" w:csb1="00000000"/>
  </w:font>
  <w:font w:name="Aptos">
    <w:altName w:val="Segoe Print"/>
    <w:panose1 w:val="00000000000000000000"/>
    <w:charset w:val="00"/>
    <w:family w:val="auto"/>
    <w:pitch w:val="default"/>
    <w:sig w:usb0="00000000" w:usb1="00000000" w:usb2="00000000" w:usb3="00000000" w:csb0="00000000" w:csb1="00000000"/>
  </w:font>
  <w:font w:name="Aptos Display">
    <w:altName w:val="Segoe Print"/>
    <w:panose1 w:val="020B0004020202020204"/>
    <w:charset w:val="00"/>
    <w:family w:val="swiss"/>
    <w:pitch w:val="default"/>
    <w:sig w:usb0="00000000" w:usb1="00000000" w:usb2="00000000" w:usb3="00000000" w:csb0="0000019F" w:csb1="00000000"/>
  </w:font>
  <w:font w:name="等线 Light">
    <w:altName w:val="Segoe Print"/>
    <w:panose1 w:val="00000000000000000000"/>
    <w:charset w:val="00"/>
    <w:family w:val="auto"/>
    <w:pitch w:val="default"/>
    <w:sig w:usb0="00000000" w:usb1="00000000" w:usb2="00000000" w:usb3="00000000" w:csb0="00000000" w:csb1="00000000"/>
  </w:font>
  <w:font w:name="Consolas">
    <w:panose1 w:val="020B0609020204030204"/>
    <w:charset w:val="00"/>
    <w:family w:val="auto"/>
    <w:pitch w:val="default"/>
    <w:sig w:usb0="E00006FF" w:usb1="0000FCFF" w:usb2="00000001" w:usb3="00000000" w:csb0="6000019F" w:csb1="DFD70000"/>
  </w:font>
  <w:font w:name="Symbol">
    <w:panose1 w:val="05050102010706020507"/>
    <w:charset w:val="00"/>
    <w:family w:val="auto"/>
    <w:pitch w:val="default"/>
    <w:sig w:usb0="00000000" w:usb1="00000000" w:usb2="00000000" w:usb3="00000000" w:csb0="8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FC7558">
    <w:pPr>
      <w:pStyle w:val="23"/>
      <w:rPr>
        <w:rFonts w:hint="default" w:ascii="Times New Roman" w:hAnsi="Times New Roman" w:cs="Times New Roman"/>
        <w:sz w:val="20"/>
        <w:szCs w:val="20"/>
      </w:rPr>
    </w:pPr>
    <w:r>
      <w:rPr>
        <w:rFonts w:hint="default" w:ascii="Times New Roman" w:hAnsi="Times New Roman" w:cs="Times New Roman"/>
        <w:sz w:val="20"/>
        <w:szCs w:val="20"/>
      </w:rPr>
      <w:pict>
        <v:shape id="_x0000_s4097" o:spid="_x0000_s4097" o:spt="202" type="#_x0000_t202" style="position:absolute;left:0pt;margin-top:0pt;height:144pt;width:144pt;mso-position-horizontal:right;mso-position-horizontal-relative:margin;mso-wrap-style:none;z-index:251659264;mso-width-relative:page;mso-height-relative:page;" filled="f" stroked="f" coordsize="21600,21600">
          <v:path/>
          <v:fill on="f" focussize="0,0"/>
          <v:stroke on="f"/>
          <v:imagedata o:title=""/>
          <o:lock v:ext="edit" aspectratio="f"/>
          <v:textbox inset="0mm,0mm,0mm,0mm" style="mso-fit-shape-to-text:t;">
            <w:txbxContent>
              <w:p w14:paraId="45247582">
                <w:pPr>
                  <w:pStyle w:val="23"/>
                  <w:rPr>
                    <w:rFonts w:hint="default" w:ascii="Times New Roman" w:hAnsi="Times New Roman" w:cs="Times New Roman"/>
                    <w:sz w:val="20"/>
                    <w:szCs w:val="20"/>
                  </w:rPr>
                </w:pPr>
                <w:r>
                  <w:rPr>
                    <w:rFonts w:hint="default" w:ascii="Times New Roman" w:hAnsi="Times New Roman" w:cs="Times New Roman"/>
                    <w:sz w:val="20"/>
                    <w:szCs w:val="20"/>
                  </w:rPr>
                  <w:fldChar w:fldCharType="begin"/>
                </w:r>
                <w:r>
                  <w:rPr>
                    <w:rFonts w:hint="default" w:ascii="Times New Roman" w:hAnsi="Times New Roman" w:cs="Times New Roman"/>
                    <w:sz w:val="20"/>
                    <w:szCs w:val="20"/>
                  </w:rPr>
                  <w:instrText xml:space="preserve"> PAGE  \* MERGEFORMAT </w:instrText>
                </w:r>
                <w:r>
                  <w:rPr>
                    <w:rFonts w:hint="default" w:ascii="Times New Roman" w:hAnsi="Times New Roman" w:cs="Times New Roman"/>
                    <w:sz w:val="20"/>
                    <w:szCs w:val="20"/>
                  </w:rPr>
                  <w:fldChar w:fldCharType="separate"/>
                </w:r>
                <w:r>
                  <w:rPr>
                    <w:rFonts w:hint="default" w:ascii="Times New Roman" w:hAnsi="Times New Roman" w:cs="Times New Roman"/>
                    <w:sz w:val="20"/>
                    <w:szCs w:val="20"/>
                  </w:rPr>
                  <w:t>1</w:t>
                </w:r>
                <w:r>
                  <w:rPr>
                    <w:rFonts w:hint="default" w:ascii="Times New Roman" w:hAnsi="Times New Roman" w:cs="Times New Roman"/>
                    <w:sz w:val="20"/>
                    <w:szCs w:val="20"/>
                  </w:rPr>
                  <w:fldChar w:fldCharType="end"/>
                </w:r>
              </w:p>
            </w:txbxContent>
          </v:textbox>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0AD802">
    <w:pPr>
      <w:pStyle w:val="20"/>
      <w:keepNext w:val="0"/>
      <w:keepLines w:val="0"/>
      <w:pageBreakBefore w:val="0"/>
      <w:widowControl/>
      <w:kinsoku/>
      <w:wordWrap/>
      <w:overflowPunct/>
      <w:topLinePunct w:val="0"/>
      <w:bidi w:val="0"/>
      <w:adjustRightInd/>
      <w:snapToGrid/>
      <w:spacing w:after="0"/>
      <w:textAlignment w:val="auto"/>
      <w:rPr>
        <w:rFonts w:hint="default" w:ascii="Times New Roman" w:hAnsi="Times New Roman" w:cs="Times New Roman"/>
        <w:sz w:val="20"/>
        <w:szCs w:val="20"/>
        <w:lang w:val="ru-RU"/>
      </w:rPr>
    </w:pPr>
    <w:r>
      <w:rPr>
        <w:rFonts w:hint="default" w:ascii="Times New Roman" w:hAnsi="Times New Roman" w:cs="Times New Roman"/>
        <w:sz w:val="20"/>
        <w:szCs w:val="20"/>
        <w:lang w:val="ru-RU"/>
      </w:rPr>
      <w:t>РООС ТОО «Пассажирская компания «Туран Экспресс»</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A991"/>
    <w:multiLevelType w:val="multilevel"/>
    <w:tmpl w:val="0000A991"/>
    <w:lvl w:ilvl="0" w:tentative="0">
      <w:start w:val="0"/>
      <w:numFmt w:val="bullet"/>
      <w:lvlText w:val=""/>
      <w:lvlJc w:val="left"/>
      <w:pPr>
        <w:ind w:left="720" w:hanging="360"/>
      </w:pPr>
      <w:rPr>
        <w:rFonts w:hint="default" w:ascii="Symbol" w:hAnsi="Symbol" w:cs="Symbol"/>
      </w:rPr>
    </w:lvl>
    <w:lvl w:ilvl="1" w:tentative="0">
      <w:start w:val="0"/>
      <w:numFmt w:val="bullet"/>
      <w:lvlText w:val="o"/>
      <w:lvlJc w:val="left"/>
      <w:pPr>
        <w:ind w:left="1440" w:hanging="360"/>
      </w:pPr>
      <w:rPr>
        <w:rFonts w:hint="default" w:ascii="Courier New" w:hAnsi="Courier New" w:cs="Courier New"/>
      </w:rPr>
    </w:lvl>
    <w:lvl w:ilvl="2" w:tentative="0">
      <w:start w:val="0"/>
      <w:numFmt w:val="bullet"/>
      <w:lvlText w:val=""/>
      <w:lvlJc w:val="left"/>
      <w:pPr>
        <w:ind w:left="2160" w:hanging="360"/>
      </w:pPr>
      <w:rPr>
        <w:rFonts w:hint="default" w:ascii="Wingdings" w:hAnsi="Wingdings" w:cs="Wingdings"/>
      </w:rPr>
    </w:lvl>
    <w:lvl w:ilvl="3" w:tentative="0">
      <w:start w:val="0"/>
      <w:numFmt w:val="bullet"/>
      <w:lvlText w:val=""/>
      <w:lvlJc w:val="left"/>
      <w:pPr>
        <w:ind w:left="2880" w:hanging="360"/>
      </w:pPr>
      <w:rPr>
        <w:rFonts w:hint="default" w:ascii="Symbol" w:hAnsi="Symbol" w:cs="Symbol"/>
      </w:rPr>
    </w:lvl>
    <w:lvl w:ilvl="4" w:tentative="0">
      <w:start w:val="0"/>
      <w:numFmt w:val="bullet"/>
      <w:lvlText w:val="o"/>
      <w:lvlJc w:val="left"/>
      <w:pPr>
        <w:ind w:left="3600" w:hanging="360"/>
      </w:pPr>
      <w:rPr>
        <w:rFonts w:hint="default" w:ascii="Courier New" w:hAnsi="Courier New" w:cs="Courier New"/>
      </w:rPr>
    </w:lvl>
    <w:lvl w:ilvl="5" w:tentative="0">
      <w:start w:val="0"/>
      <w:numFmt w:val="bullet"/>
      <w:lvlText w:val=""/>
      <w:lvlJc w:val="left"/>
      <w:pPr>
        <w:ind w:left="4320" w:hanging="360"/>
      </w:pPr>
      <w:rPr>
        <w:rFonts w:hint="default" w:ascii="Wingdings" w:hAnsi="Wingdings" w:cs="Wingdings"/>
      </w:rPr>
    </w:lvl>
    <w:lvl w:ilvl="6" w:tentative="0">
      <w:start w:val="0"/>
      <w:numFmt w:val="bullet"/>
      <w:lvlText w:val=""/>
      <w:lvlJc w:val="left"/>
      <w:pPr>
        <w:ind w:left="5040" w:hanging="360"/>
      </w:pPr>
      <w:rPr>
        <w:rFonts w:hint="default" w:ascii="Symbol" w:hAnsi="Symbol" w:cs="Symbol"/>
      </w:rPr>
    </w:lvl>
    <w:lvl w:ilvl="7" w:tentative="0">
      <w:start w:val="0"/>
      <w:numFmt w:val="bullet"/>
      <w:lvlText w:val="o"/>
      <w:lvlJc w:val="left"/>
      <w:pPr>
        <w:ind w:left="5760" w:hanging="360"/>
      </w:pPr>
      <w:rPr>
        <w:rFonts w:hint="default" w:ascii="Courier New" w:hAnsi="Courier New" w:cs="Courier New"/>
      </w:rPr>
    </w:lvl>
    <w:lvl w:ilvl="8" w:tentative="0">
      <w:start w:val="0"/>
      <w:numFmt w:val="bullet"/>
      <w:lvlText w:val=""/>
      <w:lvlJc w:val="left"/>
      <w:pPr>
        <w:ind w:left="6480" w:hanging="360"/>
      </w:pPr>
      <w:rPr>
        <w:rFonts w:hint="default" w:ascii="Wingdings" w:hAnsi="Wingdings" w:cs="Wingdings"/>
      </w:rPr>
    </w:lvl>
  </w:abstractNum>
  <w:abstractNum w:abstractNumId="1">
    <w:nsid w:val="00A99201"/>
    <w:multiLevelType w:val="multilevel"/>
    <w:tmpl w:val="00A99201"/>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left"/>
      <w:pPr>
        <w:ind w:left="2160" w:hanging="36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left"/>
      <w:pPr>
        <w:ind w:left="4320" w:hanging="36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left"/>
      <w:pPr>
        <w:ind w:left="6480" w:hanging="36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doNotTrackMoves/>
  <w:documentProtection w:enforcement="0"/>
  <w:defaultTabStop w:val="720"/>
  <w:drawingGridHorizontalSpacing w:val="360"/>
  <w:drawingGridVerticalSpacing w:val="360"/>
  <w:displayHorizontalDrawingGridEvery w:val="0"/>
  <w:displayVerticalDrawingGridEvery w:val="0"/>
  <w:characterSpacingControl w:val="doNotCompress"/>
  <w:hdrShapeDefaults>
    <o:shapelayout v:ext="edit">
      <o:idmap v:ext="edit" data="3,4"/>
    </o:shapelayout>
  </w:hdrShapeDefaults>
  <w:footnotePr>
    <w:numRestart w:val="eachSect"/>
    <w:footnote w:id="0"/>
    <w:footnote w:id="1"/>
  </w:footnotePr>
  <w:compat>
    <w:splitPgBreakAndParaMark/>
    <w:compatSetting w:name="compatibilityMode" w:uri="http://schemas.microsoft.com/office/word" w:val="12"/>
  </w:compat>
  <w:rsids>
    <w:rsidRoot w:val="00000000"/>
    <w:rsid w:val="01586277"/>
    <w:rsid w:val="02AA03F7"/>
    <w:rsid w:val="0E227AB6"/>
    <w:rsid w:val="23B92344"/>
    <w:rsid w:val="35852D0F"/>
    <w:rsid w:val="37B52BCD"/>
    <w:rsid w:val="3C767C27"/>
    <w:rsid w:val="58450F21"/>
    <w:rsid w:val="6B223851"/>
    <w:rsid w:val="7E9340E4"/>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iPriority="9"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11"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iPriority="9"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qFormat="1" w:unhideWhenUsed="0" w:uiPriority="1" w:semiHidden="0" w:name="No Spacing"/>
  </w:latentStyles>
  <w:style w:type="paragraph" w:default="1" w:styleId="1">
    <w:name w:val="Normal"/>
    <w:qFormat/>
    <w:uiPriority w:val="0"/>
    <w:pPr>
      <w:spacing w:after="200"/>
    </w:pPr>
    <w:rPr>
      <w:rFonts w:asciiTheme="minorHAnsi" w:hAnsiTheme="minorHAnsi" w:eastAsiaTheme="minorHAnsi" w:cstheme="minorBidi"/>
      <w:sz w:val="24"/>
      <w:szCs w:val="24"/>
      <w:lang w:val="ru" w:eastAsia="en-US" w:bidi="ar-SA"/>
    </w:rPr>
  </w:style>
  <w:style w:type="paragraph" w:styleId="2">
    <w:name w:val="heading 1"/>
    <w:basedOn w:val="1"/>
    <w:next w:val="3"/>
    <w:link w:val="36"/>
    <w:qFormat/>
    <w:uiPriority w:val="9"/>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4">
    <w:name w:val="heading 2"/>
    <w:basedOn w:val="1"/>
    <w:next w:val="3"/>
    <w:link w:val="37"/>
    <w:semiHidden/>
    <w:unhideWhenUsed/>
    <w:qFormat/>
    <w:uiPriority w:val="9"/>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5">
    <w:name w:val="heading 3"/>
    <w:basedOn w:val="1"/>
    <w:next w:val="3"/>
    <w:link w:val="38"/>
    <w:semiHidden/>
    <w:unhideWhenUsed/>
    <w:qFormat/>
    <w:uiPriority w:val="9"/>
    <w:pPr>
      <w:keepNext/>
      <w:keepLines/>
      <w:spacing w:before="160" w:after="80"/>
      <w:outlineLvl w:val="2"/>
    </w:pPr>
    <w:rPr>
      <w:rFonts w:eastAsiaTheme="majorEastAsia" w:cstheme="majorBidi"/>
      <w:color w:val="0F4761" w:themeColor="accent1" w:themeShade="BF"/>
      <w:sz w:val="28"/>
      <w:szCs w:val="28"/>
    </w:rPr>
  </w:style>
  <w:style w:type="paragraph" w:styleId="6">
    <w:name w:val="heading 4"/>
    <w:basedOn w:val="1"/>
    <w:next w:val="3"/>
    <w:link w:val="39"/>
    <w:semiHidden/>
    <w:unhideWhenUsed/>
    <w:qFormat/>
    <w:uiPriority w:val="9"/>
    <w:pPr>
      <w:keepNext/>
      <w:keepLines/>
      <w:spacing w:before="80" w:after="40"/>
      <w:outlineLvl w:val="3"/>
    </w:pPr>
    <w:rPr>
      <w:rFonts w:eastAsiaTheme="majorEastAsia" w:cstheme="majorBidi"/>
      <w:i/>
      <w:iCs/>
      <w:color w:val="0F4761" w:themeColor="accent1" w:themeShade="BF"/>
    </w:rPr>
  </w:style>
  <w:style w:type="paragraph" w:styleId="7">
    <w:name w:val="heading 5"/>
    <w:basedOn w:val="1"/>
    <w:next w:val="3"/>
    <w:link w:val="40"/>
    <w:semiHidden/>
    <w:unhideWhenUsed/>
    <w:qFormat/>
    <w:uiPriority w:val="9"/>
    <w:pPr>
      <w:keepNext/>
      <w:keepLines/>
      <w:spacing w:before="80" w:after="40"/>
      <w:outlineLvl w:val="4"/>
    </w:pPr>
    <w:rPr>
      <w:rFonts w:eastAsiaTheme="majorEastAsia" w:cstheme="majorBidi"/>
      <w:color w:val="0F4761" w:themeColor="accent1" w:themeShade="BF"/>
    </w:rPr>
  </w:style>
  <w:style w:type="paragraph" w:styleId="8">
    <w:name w:val="heading 6"/>
    <w:basedOn w:val="1"/>
    <w:next w:val="3"/>
    <w:link w:val="41"/>
    <w:semiHidden/>
    <w:unhideWhenUsed/>
    <w:qFormat/>
    <w:uiPriority w:val="9"/>
    <w:pPr>
      <w:keepNext/>
      <w:keepLines/>
      <w:spacing w:before="40" w:after="0"/>
      <w:outlineLvl w:val="5"/>
    </w:pPr>
    <w:rPr>
      <w:rFonts w:eastAsiaTheme="majorEastAsia" w:cstheme="majorBidi"/>
      <w:i/>
      <w:iCs/>
      <w:color w:val="585858" w:themeColor="text1" w:themeTint="A6"/>
    </w:rPr>
  </w:style>
  <w:style w:type="paragraph" w:styleId="9">
    <w:name w:val="heading 7"/>
    <w:basedOn w:val="1"/>
    <w:next w:val="3"/>
    <w:link w:val="42"/>
    <w:semiHidden/>
    <w:unhideWhenUsed/>
    <w:qFormat/>
    <w:uiPriority w:val="9"/>
    <w:pPr>
      <w:keepNext/>
      <w:keepLines/>
      <w:spacing w:before="40" w:after="0"/>
      <w:outlineLvl w:val="6"/>
    </w:pPr>
    <w:rPr>
      <w:rFonts w:eastAsiaTheme="majorEastAsia" w:cstheme="majorBidi"/>
      <w:color w:val="585858" w:themeColor="text1" w:themeTint="A6"/>
    </w:rPr>
  </w:style>
  <w:style w:type="paragraph" w:styleId="10">
    <w:name w:val="heading 8"/>
    <w:basedOn w:val="1"/>
    <w:next w:val="3"/>
    <w:link w:val="43"/>
    <w:semiHidden/>
    <w:unhideWhenUsed/>
    <w:qFormat/>
    <w:uiPriority w:val="9"/>
    <w:pPr>
      <w:keepNext/>
      <w:keepLines/>
      <w:spacing w:after="0"/>
      <w:outlineLvl w:val="7"/>
    </w:pPr>
    <w:rPr>
      <w:rFonts w:eastAsiaTheme="majorEastAsia" w:cstheme="majorBidi"/>
      <w:i/>
      <w:iCs/>
      <w:color w:val="262626" w:themeColor="text1" w:themeTint="D8"/>
    </w:rPr>
  </w:style>
  <w:style w:type="paragraph" w:styleId="11">
    <w:name w:val="heading 9"/>
    <w:basedOn w:val="1"/>
    <w:next w:val="3"/>
    <w:link w:val="44"/>
    <w:semiHidden/>
    <w:unhideWhenUsed/>
    <w:qFormat/>
    <w:uiPriority w:val="9"/>
    <w:pPr>
      <w:keepNext/>
      <w:keepLines/>
      <w:spacing w:after="0"/>
      <w:outlineLvl w:val="8"/>
    </w:pPr>
    <w:rPr>
      <w:rFonts w:eastAsiaTheme="majorEastAsia" w:cstheme="majorBidi"/>
      <w:color w:val="262626" w:themeColor="text1" w:themeTint="D8"/>
    </w:rPr>
  </w:style>
  <w:style w:type="character" w:default="1" w:styleId="12">
    <w:name w:val="Default Paragraph Font"/>
    <w:semiHidden/>
    <w:unhideWhenUsed/>
    <w:qFormat/>
    <w:uiPriority w:val="0"/>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15"/>
    <w:qFormat/>
    <w:uiPriority w:val="0"/>
    <w:pPr>
      <w:spacing w:before="180" w:after="180"/>
    </w:pPr>
  </w:style>
  <w:style w:type="character" w:styleId="14">
    <w:name w:val="footnote reference"/>
    <w:basedOn w:val="15"/>
    <w:qFormat/>
    <w:uiPriority w:val="0"/>
    <w:rPr>
      <w:vertAlign w:val="superscript"/>
    </w:rPr>
  </w:style>
  <w:style w:type="character" w:customStyle="1" w:styleId="15">
    <w:name w:val="Body Text Char"/>
    <w:basedOn w:val="12"/>
    <w:link w:val="3"/>
    <w:qFormat/>
    <w:uiPriority w:val="0"/>
  </w:style>
  <w:style w:type="character" w:styleId="16">
    <w:name w:val="Hyperlink"/>
    <w:basedOn w:val="12"/>
    <w:qFormat/>
    <w:uiPriority w:val="0"/>
    <w:rPr>
      <w:color w:val="156082" w:themeColor="accent1"/>
    </w:rPr>
  </w:style>
  <w:style w:type="character" w:styleId="17">
    <w:name w:val="Strong"/>
    <w:basedOn w:val="12"/>
    <w:qFormat/>
    <w:uiPriority w:val="22"/>
    <w:rPr>
      <w:b/>
      <w:bCs/>
    </w:rPr>
  </w:style>
  <w:style w:type="paragraph" w:styleId="18">
    <w:name w:val="caption"/>
    <w:basedOn w:val="1"/>
    <w:qFormat/>
    <w:uiPriority w:val="0"/>
    <w:pPr>
      <w:spacing w:before="0" w:after="120"/>
    </w:pPr>
    <w:rPr>
      <w:i/>
    </w:rPr>
  </w:style>
  <w:style w:type="paragraph" w:styleId="19">
    <w:name w:val="footnote text"/>
    <w:basedOn w:val="1"/>
    <w:unhideWhenUsed/>
    <w:qFormat/>
    <w:uiPriority w:val="9"/>
  </w:style>
  <w:style w:type="paragraph" w:styleId="20">
    <w:name w:val="header"/>
    <w:basedOn w:val="1"/>
    <w:qFormat/>
    <w:uiPriority w:val="0"/>
    <w:pPr>
      <w:tabs>
        <w:tab w:val="center" w:pos="4153"/>
        <w:tab w:val="right" w:pos="8306"/>
      </w:tabs>
    </w:pPr>
  </w:style>
  <w:style w:type="paragraph" w:styleId="21">
    <w:name w:val="Date"/>
    <w:next w:val="3"/>
    <w:qFormat/>
    <w:uiPriority w:val="0"/>
    <w:pPr>
      <w:keepNext/>
      <w:keepLines/>
      <w:spacing w:after="200"/>
      <w:jc w:val="center"/>
    </w:pPr>
    <w:rPr>
      <w:rFonts w:asciiTheme="minorHAnsi" w:hAnsiTheme="minorHAnsi" w:eastAsiaTheme="minorHAnsi" w:cstheme="minorBidi"/>
      <w:sz w:val="24"/>
      <w:szCs w:val="24"/>
      <w:lang w:val="ru" w:eastAsia="en-US" w:bidi="ar-SA"/>
    </w:rPr>
  </w:style>
  <w:style w:type="paragraph" w:styleId="22">
    <w:name w:val="Title"/>
    <w:basedOn w:val="1"/>
    <w:next w:val="3"/>
    <w:link w:val="30"/>
    <w:qFormat/>
    <w:uiPriority w:val="10"/>
    <w:pPr>
      <w:spacing w:after="80" w:line="240" w:lineRule="auto"/>
      <w:contextualSpacing/>
      <w:jc w:val="center"/>
    </w:pPr>
    <w:rPr>
      <w:rFonts w:asciiTheme="majorHAnsi" w:hAnsiTheme="majorHAnsi" w:eastAsiaTheme="majorEastAsia" w:cstheme="majorBidi"/>
      <w:spacing w:val="-10"/>
      <w:kern w:val="28"/>
      <w:sz w:val="56"/>
      <w:szCs w:val="56"/>
    </w:rPr>
  </w:style>
  <w:style w:type="paragraph" w:styleId="23">
    <w:name w:val="footer"/>
    <w:basedOn w:val="1"/>
    <w:qFormat/>
    <w:uiPriority w:val="0"/>
    <w:pPr>
      <w:tabs>
        <w:tab w:val="center" w:pos="4153"/>
        <w:tab w:val="right" w:pos="8306"/>
      </w:tabs>
    </w:pPr>
  </w:style>
  <w:style w:type="paragraph" w:styleId="24">
    <w:name w:val="Normal (Web)"/>
    <w:semiHidden/>
    <w:unhideWhenUsed/>
    <w:qFormat/>
    <w:uiPriority w:val="99"/>
    <w:pPr>
      <w:spacing w:before="0" w:beforeAutospacing="1" w:after="0" w:afterAutospacing="1"/>
      <w:ind w:left="0" w:right="0"/>
      <w:jc w:val="left"/>
    </w:pPr>
    <w:rPr>
      <w:rFonts w:ascii="Times New Roman" w:hAnsi="Times New Roman" w:eastAsia="SimSun" w:cs="Times New Roman"/>
      <w:kern w:val="0"/>
      <w:sz w:val="24"/>
      <w:szCs w:val="24"/>
      <w:lang w:val="en-US" w:eastAsia="zh-CN" w:bidi="ar"/>
    </w:rPr>
  </w:style>
  <w:style w:type="paragraph" w:styleId="25">
    <w:name w:val="Subtitle"/>
    <w:basedOn w:val="22"/>
    <w:next w:val="3"/>
    <w:link w:val="31"/>
    <w:qFormat/>
    <w:uiPriority w:val="11"/>
    <w:rPr>
      <w:rFonts w:eastAsiaTheme="majorEastAsia" w:cstheme="majorBidi"/>
      <w:spacing w:val="15"/>
      <w:sz w:val="28"/>
      <w:szCs w:val="28"/>
    </w:rPr>
  </w:style>
  <w:style w:type="paragraph" w:styleId="26">
    <w:name w:val="Block Text"/>
    <w:basedOn w:val="3"/>
    <w:next w:val="3"/>
    <w:unhideWhenUsed/>
    <w:qFormat/>
    <w:uiPriority w:val="9"/>
    <w:pPr>
      <w:spacing w:before="100" w:after="100"/>
      <w:ind w:left="480" w:right="480" w:firstLine="0"/>
    </w:pPr>
  </w:style>
  <w:style w:type="table" w:styleId="27">
    <w:name w:val="Table Grid"/>
    <w:basedOn w:val="13"/>
    <w:qFormat/>
    <w:uiPriority w:val="5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28">
    <w:name w:val="First Paragraph"/>
    <w:basedOn w:val="3"/>
    <w:next w:val="3"/>
    <w:qFormat/>
    <w:uiPriority w:val="0"/>
  </w:style>
  <w:style w:type="paragraph" w:customStyle="1" w:styleId="29">
    <w:name w:val="Compact"/>
    <w:basedOn w:val="3"/>
    <w:qFormat/>
    <w:uiPriority w:val="0"/>
    <w:pPr>
      <w:spacing w:before="36" w:after="36"/>
    </w:pPr>
  </w:style>
  <w:style w:type="character" w:customStyle="1" w:styleId="30">
    <w:name w:val="Title Char"/>
    <w:basedOn w:val="12"/>
    <w:link w:val="22"/>
    <w:qFormat/>
    <w:uiPriority w:val="10"/>
    <w:rPr>
      <w:rFonts w:asciiTheme="majorHAnsi" w:hAnsiTheme="majorHAnsi" w:eastAsiaTheme="majorEastAsia" w:cstheme="majorBidi"/>
      <w:spacing w:val="-10"/>
      <w:kern w:val="28"/>
      <w:sz w:val="56"/>
      <w:szCs w:val="56"/>
    </w:rPr>
  </w:style>
  <w:style w:type="character" w:customStyle="1" w:styleId="31">
    <w:name w:val="Subtitle Char"/>
    <w:basedOn w:val="12"/>
    <w:link w:val="25"/>
    <w:qFormat/>
    <w:uiPriority w:val="11"/>
    <w:rPr>
      <w:rFonts w:eastAsiaTheme="majorEastAsia" w:cstheme="majorBidi"/>
      <w:color w:val="585858" w:themeColor="text1" w:themeTint="A6"/>
      <w:spacing w:val="15"/>
      <w:sz w:val="28"/>
      <w:szCs w:val="28"/>
    </w:rPr>
  </w:style>
  <w:style w:type="paragraph" w:customStyle="1" w:styleId="32">
    <w:name w:val="Author"/>
    <w:next w:val="3"/>
    <w:qFormat/>
    <w:uiPriority w:val="0"/>
    <w:pPr>
      <w:keepNext/>
      <w:keepLines/>
      <w:spacing w:after="200"/>
      <w:jc w:val="center"/>
    </w:pPr>
    <w:rPr>
      <w:rFonts w:asciiTheme="minorHAnsi" w:hAnsiTheme="minorHAnsi" w:eastAsiaTheme="minorHAnsi" w:cstheme="minorBidi"/>
      <w:sz w:val="24"/>
      <w:szCs w:val="24"/>
      <w:lang w:val="ru" w:eastAsia="en-US" w:bidi="ar-SA"/>
    </w:rPr>
  </w:style>
  <w:style w:type="paragraph" w:customStyle="1" w:styleId="33">
    <w:name w:val="Abstract Title"/>
    <w:basedOn w:val="1"/>
    <w:next w:val="34"/>
    <w:qFormat/>
    <w:uiPriority w:val="0"/>
    <w:pPr>
      <w:keepNext/>
      <w:keepLines/>
      <w:spacing w:before="300" w:after="0"/>
      <w:jc w:val="center"/>
    </w:pPr>
    <w:rPr>
      <w:b/>
      <w:sz w:val="20"/>
      <w:szCs w:val="20"/>
    </w:rPr>
  </w:style>
  <w:style w:type="paragraph" w:customStyle="1" w:styleId="34">
    <w:name w:val="Abstract"/>
    <w:basedOn w:val="1"/>
    <w:next w:val="3"/>
    <w:qFormat/>
    <w:uiPriority w:val="0"/>
    <w:pPr>
      <w:keepNext/>
      <w:keepLines/>
      <w:spacing w:before="100" w:after="300"/>
    </w:pPr>
    <w:rPr>
      <w:sz w:val="20"/>
      <w:szCs w:val="20"/>
    </w:rPr>
  </w:style>
  <w:style w:type="paragraph" w:customStyle="1" w:styleId="35">
    <w:name w:val="Bibliography"/>
    <w:basedOn w:val="1"/>
    <w:qFormat/>
    <w:uiPriority w:val="0"/>
  </w:style>
  <w:style w:type="character" w:customStyle="1" w:styleId="36">
    <w:name w:val="Heading 1 Char"/>
    <w:basedOn w:val="12"/>
    <w:link w:val="2"/>
    <w:qFormat/>
    <w:uiPriority w:val="9"/>
    <w:rPr>
      <w:rFonts w:asciiTheme="majorHAnsi" w:hAnsiTheme="majorHAnsi" w:eastAsiaTheme="majorEastAsia" w:cstheme="majorBidi"/>
      <w:color w:val="0F4761" w:themeColor="accent1" w:themeShade="BF"/>
      <w:sz w:val="40"/>
      <w:szCs w:val="40"/>
    </w:rPr>
  </w:style>
  <w:style w:type="character" w:customStyle="1" w:styleId="37">
    <w:name w:val="Heading 2 Char"/>
    <w:basedOn w:val="12"/>
    <w:link w:val="4"/>
    <w:semiHidden/>
    <w:qFormat/>
    <w:uiPriority w:val="9"/>
    <w:rPr>
      <w:rFonts w:asciiTheme="majorHAnsi" w:hAnsiTheme="majorHAnsi" w:eastAsiaTheme="majorEastAsia" w:cstheme="majorBidi"/>
      <w:color w:val="0F4761" w:themeColor="accent1" w:themeShade="BF"/>
      <w:sz w:val="32"/>
      <w:szCs w:val="32"/>
    </w:rPr>
  </w:style>
  <w:style w:type="character" w:customStyle="1" w:styleId="38">
    <w:name w:val="Heading 3 Char"/>
    <w:basedOn w:val="12"/>
    <w:link w:val="5"/>
    <w:semiHidden/>
    <w:qFormat/>
    <w:uiPriority w:val="9"/>
    <w:rPr>
      <w:rFonts w:eastAsiaTheme="majorEastAsia" w:cstheme="majorBidi"/>
      <w:color w:val="0F4761" w:themeColor="accent1" w:themeShade="BF"/>
      <w:sz w:val="28"/>
      <w:szCs w:val="28"/>
    </w:rPr>
  </w:style>
  <w:style w:type="character" w:customStyle="1" w:styleId="39">
    <w:name w:val="Heading 4 Char"/>
    <w:basedOn w:val="12"/>
    <w:link w:val="6"/>
    <w:semiHidden/>
    <w:qFormat/>
    <w:uiPriority w:val="9"/>
    <w:rPr>
      <w:rFonts w:eastAsiaTheme="majorEastAsia" w:cstheme="majorBidi"/>
      <w:i/>
      <w:iCs/>
      <w:color w:val="0F4761" w:themeColor="accent1" w:themeShade="BF"/>
    </w:rPr>
  </w:style>
  <w:style w:type="character" w:customStyle="1" w:styleId="40">
    <w:name w:val="Heading 5 Char"/>
    <w:basedOn w:val="12"/>
    <w:link w:val="7"/>
    <w:semiHidden/>
    <w:qFormat/>
    <w:uiPriority w:val="9"/>
    <w:rPr>
      <w:rFonts w:eastAsiaTheme="majorEastAsia" w:cstheme="majorBidi"/>
      <w:color w:val="0F4761" w:themeColor="accent1" w:themeShade="BF"/>
    </w:rPr>
  </w:style>
  <w:style w:type="character" w:customStyle="1" w:styleId="41">
    <w:name w:val="Heading 6 Char"/>
    <w:basedOn w:val="12"/>
    <w:link w:val="8"/>
    <w:semiHidden/>
    <w:qFormat/>
    <w:uiPriority w:val="9"/>
    <w:rPr>
      <w:rFonts w:eastAsiaTheme="majorEastAsia" w:cstheme="majorBidi"/>
      <w:i/>
      <w:iCs/>
      <w:color w:val="585858" w:themeColor="text1" w:themeTint="A6"/>
    </w:rPr>
  </w:style>
  <w:style w:type="character" w:customStyle="1" w:styleId="42">
    <w:name w:val="Heading 7 Char"/>
    <w:basedOn w:val="12"/>
    <w:link w:val="9"/>
    <w:semiHidden/>
    <w:qFormat/>
    <w:uiPriority w:val="9"/>
    <w:rPr>
      <w:rFonts w:eastAsiaTheme="majorEastAsia" w:cstheme="majorBidi"/>
      <w:color w:val="585858" w:themeColor="text1" w:themeTint="A6"/>
    </w:rPr>
  </w:style>
  <w:style w:type="character" w:customStyle="1" w:styleId="43">
    <w:name w:val="Heading 8 Char"/>
    <w:basedOn w:val="12"/>
    <w:link w:val="10"/>
    <w:semiHidden/>
    <w:qFormat/>
    <w:uiPriority w:val="9"/>
    <w:rPr>
      <w:rFonts w:eastAsiaTheme="majorEastAsia" w:cstheme="majorBidi"/>
      <w:i/>
      <w:iCs/>
      <w:color w:val="262626" w:themeColor="text1" w:themeTint="D8"/>
    </w:rPr>
  </w:style>
  <w:style w:type="character" w:customStyle="1" w:styleId="44">
    <w:name w:val="Heading 9 Char"/>
    <w:basedOn w:val="12"/>
    <w:link w:val="11"/>
    <w:semiHidden/>
    <w:qFormat/>
    <w:uiPriority w:val="9"/>
    <w:rPr>
      <w:rFonts w:eastAsiaTheme="majorEastAsia" w:cstheme="majorBidi"/>
      <w:color w:val="262626" w:themeColor="text1" w:themeTint="D8"/>
    </w:rPr>
  </w:style>
  <w:style w:type="paragraph" w:customStyle="1" w:styleId="45">
    <w:name w:val="Footnote Block Text"/>
    <w:basedOn w:val="19"/>
    <w:next w:val="19"/>
    <w:unhideWhenUsed/>
    <w:qFormat/>
    <w:uiPriority w:val="9"/>
    <w:pPr>
      <w:spacing w:before="100" w:after="100"/>
      <w:ind w:left="480" w:right="480" w:firstLine="0"/>
    </w:pPr>
  </w:style>
  <w:style w:type="table" w:customStyle="1" w:styleId="46">
    <w:name w:val="Table"/>
    <w:semiHidden/>
    <w:unhideWhenUsed/>
    <w:qFormat/>
    <w:uiPriority w:val="0"/>
    <w:tblPr>
      <w:tblCellMar>
        <w:top w:w="0" w:type="dxa"/>
        <w:left w:w="108" w:type="dxa"/>
        <w:bottom w:w="0" w:type="dxa"/>
        <w:right w:w="108" w:type="dxa"/>
      </w:tblCellMar>
    </w:tblPr>
    <w:tblStylePr w:type="firstRow">
      <w:tcPr>
        <w:tcBorders>
          <w:bottom w:val="single" w:color="auto" w:sz="0" w:space="0"/>
        </w:tcBorders>
        <w:vAlign w:val="bottom"/>
      </w:tcPr>
    </w:tblStylePr>
  </w:style>
  <w:style w:type="paragraph" w:customStyle="1" w:styleId="47">
    <w:name w:val="Definition Term"/>
    <w:basedOn w:val="1"/>
    <w:next w:val="48"/>
    <w:qFormat/>
    <w:uiPriority w:val="0"/>
    <w:pPr>
      <w:keepNext/>
      <w:keepLines/>
      <w:spacing w:after="0"/>
    </w:pPr>
    <w:rPr>
      <w:b/>
    </w:rPr>
  </w:style>
  <w:style w:type="paragraph" w:customStyle="1" w:styleId="48">
    <w:name w:val="Definition"/>
    <w:basedOn w:val="1"/>
    <w:qFormat/>
    <w:uiPriority w:val="0"/>
  </w:style>
  <w:style w:type="paragraph" w:customStyle="1" w:styleId="49">
    <w:name w:val="Table Caption"/>
    <w:basedOn w:val="18"/>
    <w:qFormat/>
    <w:uiPriority w:val="0"/>
    <w:pPr>
      <w:keepNext/>
    </w:pPr>
  </w:style>
  <w:style w:type="paragraph" w:customStyle="1" w:styleId="50">
    <w:name w:val="Image Caption"/>
    <w:basedOn w:val="18"/>
    <w:qFormat/>
    <w:uiPriority w:val="0"/>
  </w:style>
  <w:style w:type="paragraph" w:customStyle="1" w:styleId="51">
    <w:name w:val="Figure"/>
    <w:basedOn w:val="1"/>
    <w:qFormat/>
    <w:uiPriority w:val="0"/>
  </w:style>
  <w:style w:type="paragraph" w:customStyle="1" w:styleId="52">
    <w:name w:val="Captioned Figure"/>
    <w:basedOn w:val="51"/>
    <w:qFormat/>
    <w:uiPriority w:val="0"/>
    <w:pPr>
      <w:keepNext/>
    </w:pPr>
  </w:style>
  <w:style w:type="character" w:customStyle="1" w:styleId="53">
    <w:name w:val="Verbatim Char"/>
    <w:basedOn w:val="15"/>
    <w:link w:val="54"/>
    <w:qFormat/>
    <w:uiPriority w:val="0"/>
    <w:rPr>
      <w:rFonts w:ascii="Consolas" w:hAnsi="Consolas"/>
      <w:sz w:val="22"/>
    </w:rPr>
  </w:style>
  <w:style w:type="paragraph" w:customStyle="1" w:styleId="54">
    <w:name w:val="Source Code"/>
    <w:basedOn w:val="1"/>
    <w:link w:val="53"/>
    <w:qFormat/>
    <w:uiPriority w:val="0"/>
    <w:pPr>
      <w:wordWrap w:val="0"/>
    </w:pPr>
  </w:style>
  <w:style w:type="character" w:customStyle="1" w:styleId="55">
    <w:name w:val="Section Number"/>
    <w:basedOn w:val="15"/>
    <w:qFormat/>
    <w:uiPriority w:val="0"/>
  </w:style>
  <w:style w:type="paragraph" w:customStyle="1" w:styleId="56">
    <w:name w:val="TOC Heading"/>
    <w:basedOn w:val="2"/>
    <w:next w:val="3"/>
    <w:unhideWhenUsed/>
    <w:qFormat/>
    <w:uiPriority w:val="39"/>
    <w:pPr>
      <w:spacing w:before="240" w:line="259" w:lineRule="auto"/>
      <w:outlineLvl w:val="9"/>
    </w:pPr>
    <w:rPr>
      <w:rFonts w:asciiTheme="majorHAnsi" w:hAnsiTheme="majorHAnsi" w:eastAsiaTheme="majorEastAsia" w:cstheme="majorBidi"/>
      <w:color w:val="0F4761" w:themeColor="accent1" w:themeShade="BF"/>
    </w:rPr>
  </w:style>
  <w:style w:type="character" w:customStyle="1" w:styleId="57">
    <w:name w:val="KeywordTok"/>
    <w:basedOn w:val="53"/>
    <w:qFormat/>
    <w:uiPriority w:val="0"/>
    <w:rPr>
      <w:b/>
      <w:color w:val="007020"/>
    </w:rPr>
  </w:style>
  <w:style w:type="character" w:customStyle="1" w:styleId="58">
    <w:name w:val="DataTypeTok"/>
    <w:basedOn w:val="53"/>
    <w:qFormat/>
    <w:uiPriority w:val="0"/>
    <w:rPr>
      <w:color w:val="902000"/>
    </w:rPr>
  </w:style>
  <w:style w:type="character" w:customStyle="1" w:styleId="59">
    <w:name w:val="DecValTok"/>
    <w:basedOn w:val="53"/>
    <w:qFormat/>
    <w:uiPriority w:val="0"/>
    <w:rPr>
      <w:color w:val="40A070"/>
    </w:rPr>
  </w:style>
  <w:style w:type="character" w:customStyle="1" w:styleId="60">
    <w:name w:val="BaseNTok"/>
    <w:basedOn w:val="53"/>
    <w:qFormat/>
    <w:uiPriority w:val="0"/>
    <w:rPr>
      <w:color w:val="40A070"/>
    </w:rPr>
  </w:style>
  <w:style w:type="character" w:customStyle="1" w:styleId="61">
    <w:name w:val="FloatTok"/>
    <w:basedOn w:val="53"/>
    <w:qFormat/>
    <w:uiPriority w:val="0"/>
    <w:rPr>
      <w:color w:val="40A070"/>
    </w:rPr>
  </w:style>
  <w:style w:type="character" w:customStyle="1" w:styleId="62">
    <w:name w:val="ConstantTok"/>
    <w:basedOn w:val="53"/>
    <w:qFormat/>
    <w:uiPriority w:val="0"/>
    <w:rPr>
      <w:color w:val="880000"/>
    </w:rPr>
  </w:style>
  <w:style w:type="character" w:customStyle="1" w:styleId="63">
    <w:name w:val="CharTok"/>
    <w:basedOn w:val="53"/>
    <w:qFormat/>
    <w:uiPriority w:val="0"/>
    <w:rPr>
      <w:color w:val="4070A0"/>
    </w:rPr>
  </w:style>
  <w:style w:type="character" w:customStyle="1" w:styleId="64">
    <w:name w:val="SpecialCharTok"/>
    <w:basedOn w:val="53"/>
    <w:qFormat/>
    <w:uiPriority w:val="0"/>
    <w:rPr>
      <w:color w:val="4070A0"/>
    </w:rPr>
  </w:style>
  <w:style w:type="character" w:customStyle="1" w:styleId="65">
    <w:name w:val="StringTok"/>
    <w:basedOn w:val="53"/>
    <w:qFormat/>
    <w:uiPriority w:val="0"/>
    <w:rPr>
      <w:color w:val="4070A0"/>
    </w:rPr>
  </w:style>
  <w:style w:type="character" w:customStyle="1" w:styleId="66">
    <w:name w:val="VerbatimStringTok"/>
    <w:basedOn w:val="53"/>
    <w:qFormat/>
    <w:uiPriority w:val="0"/>
    <w:rPr>
      <w:color w:val="4070A0"/>
    </w:rPr>
  </w:style>
  <w:style w:type="character" w:customStyle="1" w:styleId="67">
    <w:name w:val="SpecialStringTok"/>
    <w:basedOn w:val="53"/>
    <w:qFormat/>
    <w:uiPriority w:val="0"/>
    <w:rPr>
      <w:color w:val="BB6688"/>
    </w:rPr>
  </w:style>
  <w:style w:type="character" w:customStyle="1" w:styleId="68">
    <w:name w:val="ImportTok"/>
    <w:basedOn w:val="53"/>
    <w:qFormat/>
    <w:uiPriority w:val="0"/>
    <w:rPr>
      <w:b/>
      <w:color w:val="008000"/>
    </w:rPr>
  </w:style>
  <w:style w:type="character" w:customStyle="1" w:styleId="69">
    <w:name w:val="CommentTok"/>
    <w:basedOn w:val="53"/>
    <w:qFormat/>
    <w:uiPriority w:val="0"/>
    <w:rPr>
      <w:i/>
      <w:color w:val="60A0B0"/>
    </w:rPr>
  </w:style>
  <w:style w:type="character" w:customStyle="1" w:styleId="70">
    <w:name w:val="DocumentationTok"/>
    <w:basedOn w:val="53"/>
    <w:qFormat/>
    <w:uiPriority w:val="0"/>
    <w:rPr>
      <w:i/>
      <w:color w:val="BA2121"/>
    </w:rPr>
  </w:style>
  <w:style w:type="character" w:customStyle="1" w:styleId="71">
    <w:name w:val="AnnotationTok"/>
    <w:basedOn w:val="53"/>
    <w:qFormat/>
    <w:uiPriority w:val="0"/>
    <w:rPr>
      <w:b/>
      <w:i/>
      <w:color w:val="60A0B0"/>
    </w:rPr>
  </w:style>
  <w:style w:type="character" w:customStyle="1" w:styleId="72">
    <w:name w:val="CommentVarTok"/>
    <w:basedOn w:val="53"/>
    <w:qFormat/>
    <w:uiPriority w:val="0"/>
    <w:rPr>
      <w:b/>
      <w:i/>
      <w:color w:val="60A0B0"/>
    </w:rPr>
  </w:style>
  <w:style w:type="character" w:customStyle="1" w:styleId="73">
    <w:name w:val="OtherTok"/>
    <w:basedOn w:val="53"/>
    <w:qFormat/>
    <w:uiPriority w:val="0"/>
    <w:rPr>
      <w:color w:val="007020"/>
    </w:rPr>
  </w:style>
  <w:style w:type="character" w:customStyle="1" w:styleId="74">
    <w:name w:val="FunctionTok"/>
    <w:basedOn w:val="53"/>
    <w:qFormat/>
    <w:uiPriority w:val="0"/>
    <w:rPr>
      <w:color w:val="06287E"/>
    </w:rPr>
  </w:style>
  <w:style w:type="character" w:customStyle="1" w:styleId="75">
    <w:name w:val="VariableTok"/>
    <w:basedOn w:val="53"/>
    <w:qFormat/>
    <w:uiPriority w:val="0"/>
    <w:rPr>
      <w:color w:val="19177C"/>
    </w:rPr>
  </w:style>
  <w:style w:type="character" w:customStyle="1" w:styleId="76">
    <w:name w:val="ControlFlowTok"/>
    <w:basedOn w:val="53"/>
    <w:qFormat/>
    <w:uiPriority w:val="0"/>
    <w:rPr>
      <w:b/>
      <w:color w:val="007020"/>
    </w:rPr>
  </w:style>
  <w:style w:type="character" w:customStyle="1" w:styleId="77">
    <w:name w:val="OperatorTok"/>
    <w:basedOn w:val="53"/>
    <w:qFormat/>
    <w:uiPriority w:val="0"/>
    <w:rPr>
      <w:color w:val="666666"/>
    </w:rPr>
  </w:style>
  <w:style w:type="character" w:customStyle="1" w:styleId="78">
    <w:name w:val="BuiltInTok"/>
    <w:basedOn w:val="53"/>
    <w:qFormat/>
    <w:uiPriority w:val="0"/>
    <w:rPr>
      <w:color w:val="008000"/>
    </w:rPr>
  </w:style>
  <w:style w:type="character" w:customStyle="1" w:styleId="79">
    <w:name w:val="ExtensionTok"/>
    <w:basedOn w:val="53"/>
    <w:qFormat/>
    <w:uiPriority w:val="0"/>
  </w:style>
  <w:style w:type="character" w:customStyle="1" w:styleId="80">
    <w:name w:val="PreprocessorTok"/>
    <w:basedOn w:val="53"/>
    <w:qFormat/>
    <w:uiPriority w:val="0"/>
    <w:rPr>
      <w:color w:val="BC7A00"/>
    </w:rPr>
  </w:style>
  <w:style w:type="character" w:customStyle="1" w:styleId="81">
    <w:name w:val="AttributeTok"/>
    <w:basedOn w:val="53"/>
    <w:qFormat/>
    <w:uiPriority w:val="0"/>
    <w:rPr>
      <w:color w:val="7D9029"/>
    </w:rPr>
  </w:style>
  <w:style w:type="character" w:customStyle="1" w:styleId="82">
    <w:name w:val="RegionMarkerTok"/>
    <w:basedOn w:val="53"/>
    <w:qFormat/>
    <w:uiPriority w:val="0"/>
  </w:style>
  <w:style w:type="character" w:customStyle="1" w:styleId="83">
    <w:name w:val="InformationTok"/>
    <w:basedOn w:val="53"/>
    <w:qFormat/>
    <w:uiPriority w:val="0"/>
    <w:rPr>
      <w:b/>
      <w:i/>
      <w:color w:val="60A0B0"/>
    </w:rPr>
  </w:style>
  <w:style w:type="character" w:customStyle="1" w:styleId="84">
    <w:name w:val="WarningTok"/>
    <w:basedOn w:val="53"/>
    <w:qFormat/>
    <w:uiPriority w:val="0"/>
    <w:rPr>
      <w:b/>
      <w:i/>
      <w:color w:val="60A0B0"/>
    </w:rPr>
  </w:style>
  <w:style w:type="character" w:customStyle="1" w:styleId="85">
    <w:name w:val="AlertTok"/>
    <w:basedOn w:val="53"/>
    <w:qFormat/>
    <w:uiPriority w:val="0"/>
    <w:rPr>
      <w:b/>
      <w:color w:val="FF0000"/>
    </w:rPr>
  </w:style>
  <w:style w:type="character" w:customStyle="1" w:styleId="86">
    <w:name w:val="ErrorTok"/>
    <w:basedOn w:val="53"/>
    <w:qFormat/>
    <w:uiPriority w:val="0"/>
    <w:rPr>
      <w:b/>
      <w:color w:val="FF0000"/>
    </w:rPr>
  </w:style>
  <w:style w:type="character" w:customStyle="1" w:styleId="87">
    <w:name w:val="NormalTok"/>
    <w:basedOn w:val="53"/>
    <w:qFormat/>
    <w:uiPriority w:val="0"/>
  </w:style>
  <w:style w:type="paragraph" w:styleId="88">
    <w:name w:val="No Spacing"/>
    <w:qFormat/>
    <w:uiPriority w:val="1"/>
    <w:pPr>
      <w:spacing w:after="0" w:line="240" w:lineRule="auto"/>
    </w:pPr>
    <w:rPr>
      <w:rFonts w:eastAsia="SimSun" w:asciiTheme="minorHAnsi" w:hAnsiTheme="minorHAnsi" w:cstheme="minorBidi"/>
      <w:sz w:val="22"/>
      <w:szCs w:val="22"/>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emf"/><Relationship Id="rId7" Type="http://schemas.openxmlformats.org/officeDocument/2006/relationships/oleObject" Target="embeddings/oleObject1.bin"/><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1.xml"/><Relationship Id="rId3" Type="http://schemas.openxmlformats.org/officeDocument/2006/relationships/footnotes" Target="footnotes.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numbering" Target="numbering.xml"/><Relationship Id="rId15" Type="http://schemas.openxmlformats.org/officeDocument/2006/relationships/customXml" Target="../customXml/item1.xml"/><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4097"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40</Pages>
  <Words>83</Words>
  <Characters>475</Characters>
  <Lines>12</Lines>
  <Paragraphs>8</Paragraphs>
  <TotalTime>2</TotalTime>
  <ScaleCrop>false</ScaleCrop>
  <LinksUpToDate>false</LinksUpToDate>
  <CharactersWithSpaces>583</CharactersWithSpaces>
  <Application>WPS Office_12.2.0.23196_F1E327BC-269C-435d-A152-05C5408002CA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2026-02-03T12:18:00Z</dcterms:created>
  <dc:creator>user</dc:creator>
  <cp:lastModifiedBy>user</cp:lastModifiedBy>
  <dcterms:modified xsi:type="dcterms:W3CDTF">2026-02-13T09:01:25Z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enerator">
    <vt:lpwstr>ChatGPT Deep Research</vt:lpwstr>
  </property>
  <property fmtid="{D5CDD505-2E9C-101B-9397-08002B2CF9AE}" pid="3" name="KSOProductBuildVer">
    <vt:lpwstr>1049-12.2.0.23196</vt:lpwstr>
  </property>
  <property fmtid="{D5CDD505-2E9C-101B-9397-08002B2CF9AE}" pid="4" name="ICV">
    <vt:lpwstr>692A88E658B749E39AE33B4558C39995_12</vt:lpwstr>
  </property>
</Properties>
</file>