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lang w:val="en-US"/>
        </w:rPr>
      </w:pPr>
      <w:r>
        <w:rPr>
          <w:b/>
          <w:lang w:val="en-US"/>
        </w:rPr>
      </w:r>
    </w:p>
    <w:p>
      <w:pPr>
        <w:pStyle w:val="Normal"/>
        <w:rPr>
          <w:rFonts w:ascii="Arial" w:hAnsi="Arial"/>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«АКЛЕР ГРУПП».</w:t>
      </w:r>
    </w:p>
    <w:p>
      <w:pPr>
        <w:pStyle w:val="Default"/>
        <w:jc w:val="both"/>
        <w:rPr>
          <w:rFonts w:ascii="Arial" w:hAnsi="Arial" w:cs="Arial"/>
        </w:rPr>
      </w:pPr>
      <w:r>
        <w:rPr>
          <w:rFonts w:cs="Arial" w:ascii="Arial" w:hAnsi="Arial"/>
          <w:sz w:val="24"/>
          <w:szCs w:val="24"/>
          <w:lang w:val="kk-KZ"/>
        </w:rPr>
        <w:tab/>
        <w:tab/>
        <w:t>Утилизация, будет осуществлена методом сжигания в печи     предназначенной для сжигания медицинских отходов на территории ТОО «</w:t>
      </w:r>
      <w:r>
        <w:rPr>
          <w:rFonts w:cs="Arial" w:ascii="Arial" w:hAnsi="Arial"/>
          <w:sz w:val="24"/>
          <w:szCs w:val="24"/>
        </w:rPr>
        <w:t>АКЛЕР ГРУПП</w:t>
      </w:r>
      <w:r>
        <w:rPr>
          <w:rFonts w:cs="Arial" w:ascii="Arial" w:hAnsi="Arial"/>
          <w:sz w:val="24"/>
          <w:szCs w:val="24"/>
          <w:lang w:val="kk-KZ"/>
        </w:rPr>
        <w:t xml:space="preserve">», по адресу  Алматинская область, </w:t>
      </w:r>
      <w:r>
        <w:rPr>
          <w:rFonts w:cs="Arial" w:ascii="Arial" w:hAnsi="Arial"/>
          <w:sz w:val="24"/>
          <w:szCs w:val="24"/>
        </w:rPr>
        <w:t>Талгарский район</w:t>
      </w:r>
      <w:r>
        <w:rPr>
          <w:rFonts w:cs="Arial" w:ascii="Arial" w:hAnsi="Arial"/>
          <w:sz w:val="24"/>
          <w:szCs w:val="24"/>
          <w:lang w:val="kk-KZ"/>
        </w:rPr>
        <w:t>,</w:t>
      </w:r>
      <w:r>
        <w:rPr>
          <w:rFonts w:cs="Arial" w:ascii="Arial" w:hAnsi="Arial"/>
          <w:sz w:val="24"/>
          <w:szCs w:val="24"/>
        </w:rPr>
        <w:t xml:space="preserve"> сельский округ Кайнар, учетный квартал №225.</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en-US"/>
        </w:rPr>
        <w:t>704,400</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0</w:t>
      </w:r>
      <w:r>
        <w:rPr>
          <w:rFonts w:ascii="Arial" w:hAnsi="Arial"/>
          <w:sz w:val="24"/>
          <w:szCs w:val="24"/>
          <w:lang w:val="en-US"/>
        </w:rPr>
        <w:t>,</w:t>
      </w:r>
      <w:r>
        <w:rPr>
          <w:rFonts w:ascii="Arial" w:hAnsi="Arial"/>
          <w:sz w:val="24"/>
          <w:szCs w:val="24"/>
          <w:lang w:val="en-US"/>
        </w:rPr>
        <w:t>704</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6115"/>
        <w:gridCol w:w="1186"/>
        <w:gridCol w:w="1363"/>
        <w:gridCol w:w="1922"/>
      </w:tblGrid>
      <w:tr>
        <w:trPr/>
        <w:tc>
          <w:tcPr>
            <w:tcW w:w="6115"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186"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363"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6115"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Биологически активная добавка ЗЕСТ ЭфферВит С, шипучие таблетки №20</w:t>
            </w:r>
          </w:p>
        </w:tc>
        <w:tc>
          <w:tcPr>
            <w:tcW w:w="1186"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L134991</w:t>
            </w:r>
          </w:p>
        </w:tc>
        <w:tc>
          <w:tcPr>
            <w:tcW w:w="1363" w:type="dxa"/>
            <w:tcBorders>
              <w:left w:val="single" w:sz="4" w:space="0" w:color="000000"/>
              <w:bottom w:val="single" w:sz="4" w:space="0" w:color="000000"/>
            </w:tcBorders>
          </w:tcPr>
          <w:p>
            <w:pPr>
              <w:pStyle w:val="user2"/>
              <w:widowControl w:val="false"/>
              <w:jc w:val="center"/>
              <w:rPr>
                <w:rFonts w:ascii="Arial" w:hAnsi="Arial" w:cs="Arial"/>
              </w:rPr>
            </w:pPr>
            <w:r>
              <w:rPr>
                <w:rFonts w:cs="Arial" w:ascii="Arial" w:hAnsi="Arial"/>
                <w:lang w:val="kk-KZ"/>
              </w:rPr>
              <w:t>1080</w:t>
            </w:r>
          </w:p>
        </w:tc>
        <w:tc>
          <w:tcPr>
            <w:tcW w:w="1922" w:type="dxa"/>
            <w:tcBorders>
              <w:left w:val="single" w:sz="4" w:space="0" w:color="000000"/>
              <w:bottom w:val="single" w:sz="4" w:space="0" w:color="000000"/>
              <w:right w:val="single" w:sz="4" w:space="0" w:color="000000"/>
            </w:tcBorders>
          </w:tcPr>
          <w:p>
            <w:pPr>
              <w:pStyle w:val="user2"/>
              <w:widowControl w:val="false"/>
              <w:jc w:val="center"/>
              <w:rPr>
                <w:rFonts w:ascii="Arial" w:hAnsi="Arial" w:cs="Arial"/>
              </w:rPr>
            </w:pPr>
            <w:r>
              <w:rPr>
                <w:rFonts w:cs="Arial" w:ascii="Arial" w:hAnsi="Arial"/>
                <w:lang w:val="kk-KZ"/>
              </w:rPr>
              <w:t>117,400</w:t>
            </w:r>
          </w:p>
        </w:tc>
      </w:tr>
      <w:tr>
        <w:trPr/>
        <w:tc>
          <w:tcPr>
            <w:tcW w:w="6115" w:type="dxa"/>
            <w:tcBorders>
              <w:left w:val="single" w:sz="4" w:space="0" w:color="000000"/>
              <w:bottom w:val="single" w:sz="4" w:space="0" w:color="000000"/>
            </w:tcBorders>
          </w:tcPr>
          <w:p>
            <w:pPr>
              <w:pStyle w:val="Normal"/>
              <w:suppressAutoHyphens w:val="false"/>
              <w:rPr>
                <w:rFonts w:ascii="Arial" w:hAnsi="Arial" w:eastAsia="Microsoft YaHei" w:cs="Arial"/>
                <w:lang w:eastAsia="zh-CN"/>
              </w:rPr>
            </w:pPr>
            <w:r>
              <w:rPr>
                <w:rFonts w:eastAsia="Microsoft YaHei" w:cs="Arial" w:ascii="Arial" w:hAnsi="Arial"/>
                <w:lang w:eastAsia="zh-CN"/>
              </w:rPr>
              <w:t>Биологически активная добавка к пище ЗЕСТ ЭфферВит Мульти, шипучие таблетки №20</w:t>
            </w:r>
          </w:p>
        </w:tc>
        <w:tc>
          <w:tcPr>
            <w:tcW w:w="1186" w:type="dxa"/>
            <w:tcBorders>
              <w:left w:val="single" w:sz="4" w:space="0" w:color="000000"/>
              <w:bottom w:val="single" w:sz="4" w:space="0" w:color="000000"/>
            </w:tcBorders>
          </w:tcPr>
          <w:p>
            <w:pPr>
              <w:pStyle w:val="Normal"/>
              <w:jc w:val="center"/>
              <w:rPr>
                <w:rFonts w:ascii="Arial" w:hAnsi="Arial" w:cs="Arial"/>
                <w:lang w:val="en-US"/>
              </w:rPr>
            </w:pPr>
            <w:r>
              <w:rPr>
                <w:rFonts w:cs="Arial" w:ascii="Arial" w:hAnsi="Arial"/>
                <w:lang w:val="en-US"/>
              </w:rPr>
              <w:t>L135009</w:t>
            </w:r>
          </w:p>
        </w:tc>
        <w:tc>
          <w:tcPr>
            <w:tcW w:w="1363" w:type="dxa"/>
            <w:tcBorders>
              <w:left w:val="single" w:sz="4" w:space="0" w:color="000000"/>
              <w:bottom w:val="single" w:sz="4" w:space="0" w:color="000000"/>
            </w:tcBorders>
          </w:tcPr>
          <w:p>
            <w:pPr>
              <w:pStyle w:val="user2"/>
              <w:widowControl w:val="false"/>
              <w:jc w:val="center"/>
              <w:rPr>
                <w:rFonts w:ascii="Arial" w:hAnsi="Arial" w:cs="Arial"/>
                <w:lang w:val="en-US"/>
              </w:rPr>
            </w:pPr>
            <w:r>
              <w:rPr>
                <w:rFonts w:cs="Arial" w:ascii="Arial" w:hAnsi="Arial"/>
                <w:lang w:val="en-US"/>
              </w:rPr>
              <w:t>5400</w:t>
            </w:r>
          </w:p>
        </w:tc>
        <w:tc>
          <w:tcPr>
            <w:tcW w:w="1922" w:type="dxa"/>
            <w:tcBorders>
              <w:left w:val="single" w:sz="4" w:space="0" w:color="000000"/>
              <w:bottom w:val="single" w:sz="4" w:space="0" w:color="000000"/>
              <w:right w:val="single" w:sz="4" w:space="0" w:color="000000"/>
            </w:tcBorders>
          </w:tcPr>
          <w:p>
            <w:pPr>
              <w:pStyle w:val="user2"/>
              <w:widowControl w:val="false"/>
              <w:jc w:val="center"/>
              <w:rPr>
                <w:rFonts w:ascii="Arial" w:hAnsi="Arial" w:cs="Arial"/>
                <w:lang w:val="en-US"/>
              </w:rPr>
            </w:pPr>
            <w:r>
              <w:rPr>
                <w:rFonts w:cs="Arial" w:ascii="Arial" w:hAnsi="Arial"/>
                <w:lang w:val="en-US"/>
              </w:rPr>
              <w:t>587,000</w:t>
            </w:r>
          </w:p>
        </w:tc>
      </w:tr>
      <w:tr>
        <w:trPr/>
        <w:tc>
          <w:tcPr>
            <w:tcW w:w="6115" w:type="dxa"/>
            <w:tcBorders>
              <w:left w:val="single" w:sz="4" w:space="0" w:color="000000"/>
              <w:bottom w:val="single" w:sz="4" w:space="0" w:color="000000"/>
            </w:tcBorders>
          </w:tcPr>
          <w:p>
            <w:pPr>
              <w:pStyle w:val="Style17"/>
              <w:widowControl w:val="false"/>
              <w:spacing w:lineRule="auto" w:line="276"/>
              <w:jc w:val="center"/>
              <w:rPr>
                <w:rFonts w:ascii="Arial" w:hAnsi="Arial" w:cs="Arial"/>
              </w:rPr>
            </w:pPr>
            <w:r>
              <w:rPr>
                <w:rFonts w:cs="Arial" w:ascii="Arial" w:hAnsi="Arial"/>
                <w:b/>
                <w:bCs/>
              </w:rPr>
              <w:t>Итого</w:t>
            </w:r>
          </w:p>
        </w:tc>
        <w:tc>
          <w:tcPr>
            <w:tcW w:w="1186" w:type="dxa"/>
            <w:tcBorders>
              <w:left w:val="single" w:sz="4" w:space="0" w:color="000000"/>
              <w:bottom w:val="single" w:sz="4" w:space="0" w:color="000000"/>
            </w:tcBorders>
          </w:tcPr>
          <w:p>
            <w:pPr>
              <w:pStyle w:val="Style17"/>
              <w:widowControl w:val="false"/>
              <w:spacing w:lineRule="auto" w:line="276"/>
              <w:jc w:val="center"/>
              <w:rPr>
                <w:rFonts w:ascii="Arial" w:hAnsi="Arial" w:cs="Arial"/>
              </w:rPr>
            </w:pPr>
            <w:r>
              <w:rPr>
                <w:rFonts w:cs="Arial" w:ascii="Arial" w:hAnsi="Arial"/>
              </w:rPr>
            </w:r>
          </w:p>
        </w:tc>
        <w:tc>
          <w:tcPr>
            <w:tcW w:w="1363" w:type="dxa"/>
            <w:tcBorders>
              <w:left w:val="single" w:sz="4" w:space="0" w:color="000000"/>
              <w:bottom w:val="single" w:sz="4" w:space="0" w:color="000000"/>
            </w:tcBorders>
          </w:tcPr>
          <w:p>
            <w:pPr>
              <w:pStyle w:val="user2"/>
              <w:widowControl w:val="false"/>
              <w:spacing w:lineRule="auto" w:line="276"/>
              <w:jc w:val="center"/>
              <w:rPr>
                <w:rFonts w:ascii="Arial" w:hAnsi="Arial" w:cs="Arial"/>
              </w:rPr>
            </w:pPr>
            <w:r>
              <w:rPr>
                <w:rFonts w:cs="Arial" w:ascii="Arial" w:hAnsi="Arial"/>
                <w:b/>
                <w:bCs/>
                <w:lang w:val="en-US"/>
              </w:rPr>
              <w:t>6480</w:t>
            </w:r>
          </w:p>
        </w:tc>
        <w:tc>
          <w:tcPr>
            <w:tcW w:w="1922" w:type="dxa"/>
            <w:tcBorders>
              <w:left w:val="single" w:sz="4" w:space="0" w:color="000000"/>
              <w:bottom w:val="single" w:sz="4" w:space="0" w:color="000000"/>
              <w:right w:val="single" w:sz="4" w:space="0" w:color="000000"/>
            </w:tcBorders>
          </w:tcPr>
          <w:p>
            <w:pPr>
              <w:pStyle w:val="user2"/>
              <w:widowControl w:val="false"/>
              <w:spacing w:lineRule="auto" w:line="276"/>
              <w:jc w:val="center"/>
              <w:rPr>
                <w:rFonts w:ascii="Arial" w:hAnsi="Arial" w:cs="Arial"/>
              </w:rPr>
            </w:pPr>
            <w:r>
              <w:rPr>
                <w:rFonts w:cs="Arial" w:ascii="Arial" w:hAnsi="Arial"/>
                <w:b/>
                <w:bCs/>
                <w:lang w:val="en-US"/>
              </w:rPr>
              <w:t>704</w:t>
            </w:r>
            <w:r>
              <w:rPr>
                <w:rFonts w:cs="Arial" w:ascii="Arial" w:hAnsi="Arial"/>
                <w:b/>
                <w:bCs/>
              </w:rPr>
              <w:t>,</w:t>
            </w:r>
            <w:r>
              <w:rPr>
                <w:rFonts w:cs="Arial" w:ascii="Arial" w:hAnsi="Arial"/>
                <w:b/>
                <w:bCs/>
                <w:lang w:val="en-US"/>
              </w:rPr>
              <w:t xml:space="preserve">400 </w:t>
            </w:r>
            <w:r>
              <w:rPr>
                <w:rFonts w:cs="Arial" w:ascii="Arial" w:hAnsi="Arial"/>
                <w:b/>
                <w:bCs/>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704,400</w:t>
            </w:r>
            <w:r>
              <w:rPr>
                <w:rFonts w:ascii="Arial" w:hAnsi="Arial"/>
                <w:kern w:val="0"/>
                <w:sz w:val="20"/>
              </w:rPr>
              <w:t xml:space="preserve"> кг </w:t>
              <w:br/>
              <w:t>(</w:t>
            </w:r>
            <w:r>
              <w:rPr>
                <w:rFonts w:ascii="Arial" w:hAnsi="Arial"/>
                <w:kern w:val="0"/>
                <w:sz w:val="20"/>
                <w:lang w:val="kk-KZ"/>
              </w:rPr>
              <w:t>0,704</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rPr>
            </w:pPr>
            <w:r>
              <w:rPr>
                <w:rFonts w:ascii="Arial" w:hAnsi="Arial"/>
                <w:color w:val="000000"/>
                <w:kern w:val="0"/>
                <w:sz w:val="20"/>
              </w:rPr>
              <w:t>Утилизацию осуществляет ТОО    «АКЛЕР ГРУПП»</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«АКЛЕР ГРУПП». Имеется положительное Заключение государственной экологической экспертизы и разрешение на эмиссии №KZ</w:t>
      </w:r>
      <w:r>
        <w:rPr>
          <w:rFonts w:ascii="Arial" w:hAnsi="Arial"/>
          <w:lang w:val="ru-RU"/>
        </w:rPr>
        <w:t>31</w:t>
      </w:r>
      <w:r>
        <w:rPr>
          <w:rFonts w:ascii="Arial" w:hAnsi="Arial"/>
          <w:lang w:val="en-US"/>
        </w:rPr>
        <w:t>VCZ03265241</w:t>
      </w:r>
      <w:r>
        <w:rPr>
          <w:rFonts w:ascii="Arial" w:hAnsi="Arial"/>
        </w:rPr>
        <w:t xml:space="preserve"> от </w:t>
      </w:r>
      <w:r>
        <w:rPr>
          <w:rFonts w:ascii="Arial" w:hAnsi="Arial"/>
          <w:lang w:val="en-US"/>
        </w:rPr>
        <w:t>21.06.2023</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hanging="0" w:left="1065"/>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«АКЛЕР ГРУПП».</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2"/>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Fonts w:ascii="Arial" w:hAnsi="Arial"/>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swiss"/>
    <w:pitch w:val="variable"/>
  </w:font>
  <w:font w:name="Times New Roman PSMT">
    <w:charset w:val="cc"/>
    <w:family w:val="roman"/>
    <w:pitch w:val="variable"/>
  </w:font>
  <w:font w:name="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BodyText"/>
    <w:uiPriority w:val="0"/>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uiPriority w:val="0"/>
    <w:pPr>
      <w:spacing w:lineRule="auto" w:line="288" w:before="0" w:after="140"/>
    </w:pPr>
    <w:rPr/>
  </w:style>
  <w:style w:type="paragraph" w:styleId="List">
    <w:name w:val="List"/>
    <w:basedOn w:val="BodyText"/>
    <w:uiPriority w:val="0"/>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hanging="0" w:left="720"/>
      <w:contextualSpacing/>
    </w:pPr>
    <w:rPr/>
  </w:style>
  <w:style w:type="paragraph" w:styleId="Style17" w:customStyle="1">
    <w:name w:val="Содержимое таблицы"/>
    <w:basedOn w:val="Normal"/>
    <w:uiPriority w:val="0"/>
    <w:qFormat/>
    <w:pPr/>
    <w:rPr/>
  </w:style>
  <w:style w:type="paragraph" w:styleId="Style18" w:customStyle="1">
    <w:name w:val="Заголовок таблицы"/>
    <w:basedOn w:val="Style17"/>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19">
    <w:name w:val="Абзац списка"/>
    <w:basedOn w:val="Normal"/>
    <w:qFormat/>
    <w:pPr>
      <w:spacing w:before="0" w:after="0"/>
      <w:ind w:hanging="0" w:left="720"/>
      <w:contextualSpacing/>
    </w:pPr>
    <w:rPr/>
  </w:style>
  <w:style w:type="paragraph" w:styleId="Style20">
    <w:name w:val="Название объекта"/>
    <w:basedOn w:val="Normal"/>
    <w:qFormat/>
    <w:pPr>
      <w:spacing w:before="120" w:after="120"/>
    </w:pPr>
    <w:rPr>
      <w:rFonts w:cs="Lohit Devanagari"/>
      <w:i/>
      <w:iCs/>
    </w:rPr>
  </w:style>
  <w:style w:type="paragraph" w:styleId="user2">
    <w:name w:val="Содержимое таблицы (user)"/>
    <w:basedOn w:val="Normal"/>
    <w:qFormat/>
    <w:pPr/>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pitchFamily="0" charset="1"/>
        <a:ea typeface=""/>
        <a:cs typeface=""/>
      </a:majorFont>
      <a:minorFont>
        <a:latin typeface="Blackadder ITC"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Application>LibreOffice/26.2.1.2$Windows_X86_64 LibreOffice_project/620$Build-2</Application>
  <AppVersion>15.0000</AppVersion>
  <Pages>5</Pages>
  <Words>1483</Words>
  <Characters>10580</Characters>
  <CharactersWithSpaces>12186</CharactersWithSpaces>
  <Paragraphs>116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2026-04-08T09:10:14Z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