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imes New Roman" w:hAnsi="Times New Roman"/>
          <w:b/>
          <w:lang w:val="en-US"/>
        </w:rPr>
      </w:pPr>
      <w:r>
        <w:rPr>
          <w:b/>
          <w:lang w:val="en-US"/>
        </w:rPr>
      </w:r>
    </w:p>
    <w:p>
      <w:pPr>
        <w:pStyle w:val="Normal"/>
        <w:rPr>
          <w:rFonts w:ascii="Arial" w:hAnsi="Arial"/>
          <w:b/>
          <w:sz w:val="24"/>
          <w:szCs w:val="24"/>
          <w:lang w:val="en-US"/>
        </w:rPr>
      </w:pPr>
      <w:r>
        <w:rPr>
          <w:rFonts w:ascii="Arial" w:hAnsi="Arial"/>
          <w:b/>
          <w:sz w:val="24"/>
          <w:szCs w:val="24"/>
          <w:lang w:val="en-US"/>
        </w:rPr>
      </w:r>
    </w:p>
    <w:p>
      <w:pPr>
        <w:pStyle w:val="Normal"/>
        <w:rPr>
          <w:rFonts w:ascii="Arial" w:hAnsi="Arial"/>
        </w:rPr>
      </w:pPr>
      <w:r>
        <w:rPr>
          <w:rFonts w:ascii="Arial" w:hAnsi="Arial"/>
          <w:b/>
          <w:sz w:val="24"/>
          <w:szCs w:val="24"/>
        </w:rPr>
        <w:t>1.ХАРАКТЕРИСТИКА ОБЪЕКТА</w:t>
      </w:r>
    </w:p>
    <w:p>
      <w:pPr>
        <w:pStyle w:val="Normal"/>
        <w:jc w:val="center"/>
        <w:rPr>
          <w:rFonts w:ascii="Arial" w:hAnsi="Arial"/>
        </w:rPr>
      </w:pPr>
      <w:r>
        <w:rPr>
          <w:rFonts w:ascii="Arial" w:hAnsi="Arial"/>
          <w:b/>
          <w:sz w:val="24"/>
          <w:szCs w:val="24"/>
        </w:rPr>
        <w:t xml:space="preserve">                                                                                              </w:t>
      </w:r>
    </w:p>
    <w:p>
      <w:pPr>
        <w:pStyle w:val="Default"/>
        <w:jc w:val="both"/>
        <w:rPr>
          <w:rFonts w:ascii="Arial" w:hAnsi="Arial"/>
        </w:rPr>
      </w:pPr>
      <w:r>
        <w:rPr>
          <w:rFonts w:eastAsia="Times New Roman" w:cs="Times New Roman" w:ascii="Arial" w:hAnsi="Arial"/>
          <w:color w:val="000000"/>
          <w:sz w:val="24"/>
          <w:szCs w:val="24"/>
          <w:shd w:fill="auto" w:val="clear"/>
          <w:lang w:val="kk-KZ" w:eastAsia="ru-RU"/>
        </w:rPr>
        <w:tab/>
        <w:tab/>
      </w:r>
      <w:r>
        <w:rPr>
          <w:rFonts w:eastAsia="Times New Roman" w:cs="Times New Roman" w:ascii="Arial" w:hAnsi="Arial"/>
          <w:color w:val="000000"/>
          <w:sz w:val="24"/>
          <w:szCs w:val="24"/>
          <w:shd w:fill="auto" w:val="clear"/>
          <w:lang w:val="kk-KZ" w:eastAsia="ru-RU"/>
        </w:rPr>
        <w:t>TOO "Wedel pharma"</w:t>
      </w:r>
      <w:r>
        <w:rPr>
          <w:rFonts w:eastAsia="Times New Roman" w:cs="Arial" w:ascii="Arial" w:hAnsi="Arial"/>
          <w:color w:val="000000"/>
          <w:sz w:val="24"/>
          <w:szCs w:val="24"/>
          <w:shd w:fill="auto" w:val="clear"/>
          <w:lang w:val="kk-KZ" w:eastAsia="ru-RU"/>
        </w:rPr>
        <w:t>(БИН:</w:t>
      </w:r>
      <w:r>
        <w:rPr>
          <w:rFonts w:eastAsia="Times New Roman" w:cs="Times New Roman" w:ascii="Arial" w:hAnsi="Arial"/>
          <w:color w:val="000000"/>
          <w:sz w:val="24"/>
          <w:szCs w:val="24"/>
          <w:shd w:fill="auto" w:val="clear"/>
          <w:lang w:val="kk-KZ" w:eastAsia="ru-RU"/>
        </w:rPr>
        <w:t>150140020285</w:t>
      </w:r>
      <w:r>
        <w:rPr>
          <w:rFonts w:eastAsia="Times New Roman" w:cs="Arial" w:ascii="Arial" w:hAnsi="Arial"/>
          <w:color w:val="000000"/>
          <w:sz w:val="24"/>
          <w:szCs w:val="24"/>
          <w:shd w:fill="auto" w:val="clear"/>
          <w:lang w:val="kk-KZ" w:eastAsia="ru-RU"/>
        </w:rPr>
        <w:t>)</w:t>
      </w:r>
      <w:r>
        <w:rPr>
          <w:rFonts w:eastAsia="Times New Roman" w:cs="Arial" w:ascii="Arial" w:hAnsi="Arial"/>
          <w:color w:val="000000"/>
          <w:sz w:val="24"/>
          <w:szCs w:val="24"/>
          <w:shd w:fill="auto" w:val="clear"/>
          <w:lang w:val="kk-KZ" w:eastAsia="ru-RU"/>
        </w:rPr>
        <w:t xml:space="preserve"> </w:t>
      </w:r>
      <w:r>
        <w:rPr>
          <w:rFonts w:ascii="Arial" w:hAnsi="Arial"/>
        </w:rPr>
        <w:t>сообщает о возникновении необходимости утилизации лекарственных препаратов.</w:t>
      </w:r>
      <w:r>
        <w:rPr>
          <w:rFonts w:ascii="Arial" w:hAnsi="Arial"/>
          <w:sz w:val="24"/>
          <w:szCs w:val="24"/>
        </w:rPr>
        <w:t xml:space="preserve"> В целях утилизации медицинских препаратов, непригодных для дальнейшего использования (с истекшим сроком годности и т.д.) заключен договор с ТОО «</w:t>
      </w:r>
      <w:r>
        <w:rPr>
          <w:rFonts w:ascii="Arial" w:hAnsi="Arial"/>
          <w:sz w:val="24"/>
          <w:szCs w:val="24"/>
        </w:rPr>
        <w:t>МВ АРНА</w:t>
      </w:r>
      <w:r>
        <w:rPr>
          <w:rFonts w:ascii="Arial" w:hAnsi="Arial"/>
          <w:sz w:val="24"/>
          <w:szCs w:val="24"/>
        </w:rPr>
        <w:t xml:space="preserve">» </w:t>
      </w:r>
      <w:r>
        <w:rPr>
          <w:rFonts w:cs="Arial" w:ascii="Arial" w:hAnsi="Arial"/>
          <w:sz w:val="24"/>
          <w:szCs w:val="24"/>
        </w:rPr>
        <w:t>№</w:t>
      </w:r>
      <w:r>
        <w:rPr>
          <w:rFonts w:cs="Arial" w:ascii="Arial" w:hAnsi="Arial"/>
          <w:sz w:val="24"/>
          <w:szCs w:val="24"/>
          <w:lang w:val="en-US"/>
        </w:rPr>
        <w:t>31/01</w:t>
      </w:r>
      <w:r>
        <w:rPr>
          <w:rFonts w:ascii="Arial" w:hAnsi="Arial"/>
          <w:sz w:val="24"/>
          <w:szCs w:val="24"/>
        </w:rPr>
        <w:t>.</w:t>
      </w:r>
    </w:p>
    <w:p>
      <w:pPr>
        <w:pStyle w:val="Default"/>
        <w:jc w:val="both"/>
        <w:rPr>
          <w:rFonts w:ascii="Arial" w:hAnsi="Arial"/>
        </w:rPr>
      </w:pPr>
      <w:r>
        <w:rPr>
          <w:rFonts w:cs="Arial" w:ascii="Arial" w:hAnsi="Arial"/>
          <w:sz w:val="24"/>
          <w:szCs w:val="24"/>
          <w:lang w:val="kk-KZ"/>
        </w:rPr>
        <w:tab/>
        <w:tab/>
        <w:t>Утилизация, будет осуществлена методом сжигания в печи     предназначенной для сжигания медицинских отходов на территории</w:t>
      </w:r>
      <w:r>
        <w:rPr>
          <w:rFonts w:cs="Times New Roman" w:ascii="Arial" w:hAnsi="Arial"/>
          <w:sz w:val="24"/>
          <w:szCs w:val="24"/>
          <w:lang w:val="kk-KZ"/>
        </w:rPr>
        <w:t xml:space="preserve"> ТОО «</w:t>
      </w:r>
      <w:r>
        <w:rPr>
          <w:rFonts w:cs="Times New Roman" w:ascii="Arial" w:hAnsi="Arial"/>
          <w:sz w:val="24"/>
          <w:szCs w:val="24"/>
          <w:lang w:val="ru-RU"/>
        </w:rPr>
        <w:t>МВ АРНА</w:t>
      </w:r>
      <w:r>
        <w:rPr>
          <w:rFonts w:cs="Times New Roman" w:ascii="Arial" w:hAnsi="Arial"/>
          <w:sz w:val="24"/>
          <w:szCs w:val="24"/>
          <w:lang w:val="kk-KZ"/>
        </w:rPr>
        <w:t xml:space="preserve">», расположенного по адресу: Алматинская область, </w:t>
      </w:r>
      <w:r>
        <w:rPr>
          <w:rFonts w:cs="Times New Roman" w:ascii="Arial" w:hAnsi="Arial"/>
          <w:sz w:val="24"/>
          <w:szCs w:val="24"/>
          <w:lang w:val="ru-RU"/>
        </w:rPr>
        <w:t>г. Конаев</w:t>
      </w:r>
      <w:r>
        <w:rPr>
          <w:rFonts w:cs="Times New Roman" w:ascii="Arial" w:hAnsi="Arial"/>
          <w:sz w:val="24"/>
          <w:szCs w:val="24"/>
          <w:lang w:val="kk-KZ"/>
        </w:rPr>
        <w:t xml:space="preserve">, </w:t>
      </w:r>
      <w:r>
        <w:rPr>
          <w:rFonts w:cs="Times New Roman" w:ascii="Arial" w:hAnsi="Arial"/>
          <w:sz w:val="24"/>
          <w:szCs w:val="24"/>
          <w:lang w:val="ru-RU"/>
        </w:rPr>
        <w:t>промышленная зона Арна, Ст-Е 137/1</w:t>
      </w:r>
      <w:r>
        <w:rPr>
          <w:rFonts w:cs="Times New Roman" w:ascii="Arial" w:hAnsi="Arial"/>
          <w:sz w:val="24"/>
          <w:szCs w:val="24"/>
          <w:lang w:val="kk-KZ"/>
        </w:rPr>
        <w:t>.</w:t>
      </w:r>
    </w:p>
    <w:p>
      <w:pPr>
        <w:pStyle w:val="Default"/>
        <w:ind w:firstLine="708"/>
        <w:rPr>
          <w:rFonts w:ascii="Arial" w:hAnsi="Arial"/>
        </w:rPr>
      </w:pPr>
      <w:r>
        <w:rPr>
          <w:rFonts w:ascii="Arial" w:hAnsi="Arial"/>
          <w:sz w:val="24"/>
          <w:szCs w:val="24"/>
        </w:rPr>
        <w:t xml:space="preserve">Объемом утилизируемых препаратов  -  </w:t>
      </w:r>
      <w:r>
        <w:rPr>
          <w:rFonts w:ascii="Arial" w:hAnsi="Arial"/>
          <w:sz w:val="24"/>
          <w:szCs w:val="24"/>
          <w:lang w:val="ru-RU"/>
        </w:rPr>
        <w:t>253,910</w:t>
      </w:r>
      <w:r>
        <w:rPr>
          <w:rFonts w:ascii="Arial" w:hAnsi="Arial"/>
          <w:sz w:val="24"/>
          <w:szCs w:val="24"/>
          <w:lang w:val="kk-KZ"/>
        </w:rPr>
        <w:t xml:space="preserve"> кг </w:t>
      </w:r>
      <w:r>
        <w:rPr>
          <w:rFonts w:ascii="Arial" w:hAnsi="Arial"/>
          <w:sz w:val="24"/>
          <w:szCs w:val="24"/>
        </w:rPr>
        <w:t>(</w:t>
      </w:r>
      <w:r>
        <w:rPr>
          <w:rFonts w:ascii="Arial" w:hAnsi="Arial"/>
          <w:sz w:val="24"/>
          <w:szCs w:val="24"/>
          <w:lang w:val="kk-KZ"/>
        </w:rPr>
        <w:t>0</w:t>
      </w:r>
      <w:r>
        <w:rPr>
          <w:rFonts w:ascii="Arial" w:hAnsi="Arial"/>
          <w:sz w:val="24"/>
          <w:szCs w:val="24"/>
          <w:lang w:val="en-US"/>
        </w:rPr>
        <w:t>,</w:t>
      </w:r>
      <w:r>
        <w:rPr>
          <w:rFonts w:ascii="Arial" w:hAnsi="Arial"/>
          <w:sz w:val="24"/>
          <w:szCs w:val="24"/>
          <w:lang w:val="ru-RU"/>
        </w:rPr>
        <w:t>253</w:t>
      </w:r>
      <w:r>
        <w:rPr>
          <w:rFonts w:ascii="Arial" w:hAnsi="Arial"/>
          <w:sz w:val="24"/>
          <w:szCs w:val="24"/>
        </w:rPr>
        <w:t xml:space="preserve"> тонн)</w:t>
      </w:r>
    </w:p>
    <w:p>
      <w:pPr>
        <w:pStyle w:val="Default"/>
        <w:ind w:firstLine="708"/>
        <w:rPr>
          <w:rFonts w:ascii="Arial" w:hAnsi="Arial"/>
        </w:rPr>
      </w:pPr>
      <w:r>
        <w:rPr>
          <w:rFonts w:ascii="Arial" w:hAnsi="Arial"/>
          <w:sz w:val="24"/>
          <w:szCs w:val="24"/>
        </w:rPr>
        <w:t>Перечень препаратов подлежащих утилизации:</w:t>
      </w:r>
    </w:p>
    <w:p>
      <w:pPr>
        <w:pStyle w:val="Normal"/>
        <w:tabs>
          <w:tab w:val="clear" w:pos="408"/>
          <w:tab w:val="left" w:pos="6377" w:leader="none"/>
        </w:tabs>
        <w:spacing w:lineRule="auto" w:line="240" w:before="0" w:after="0"/>
        <w:jc w:val="center"/>
        <w:rPr>
          <w:rFonts w:ascii="Arial" w:hAnsi="Arial" w:cs="Times New Roman"/>
          <w:sz w:val="24"/>
          <w:szCs w:val="24"/>
        </w:rPr>
      </w:pPr>
      <w:r>
        <w:rPr>
          <w:rFonts w:cs="Times New Roman" w:ascii="Arial" w:hAnsi="Arial"/>
          <w:sz w:val="24"/>
          <w:szCs w:val="24"/>
        </w:rPr>
      </w:r>
    </w:p>
    <w:tbl>
      <w:tblPr>
        <w:tblW w:w="10586" w:type="dxa"/>
        <w:jc w:val="left"/>
        <w:tblInd w:w="-896" w:type="dxa"/>
        <w:tblLayout w:type="fixed"/>
        <w:tblCellMar>
          <w:top w:w="55" w:type="dxa"/>
          <w:left w:w="55" w:type="dxa"/>
          <w:bottom w:w="55" w:type="dxa"/>
          <w:right w:w="55" w:type="dxa"/>
        </w:tblCellMar>
      </w:tblPr>
      <w:tblGrid>
        <w:gridCol w:w="5505"/>
        <w:gridCol w:w="1796"/>
        <w:gridCol w:w="1361"/>
        <w:gridCol w:w="1924"/>
      </w:tblGrid>
      <w:tr>
        <w:trPr/>
        <w:tc>
          <w:tcPr>
            <w:tcW w:w="5505" w:type="dxa"/>
            <w:tcBorders>
              <w:top w:val="single" w:sz="4" w:space="0" w:color="000000"/>
              <w:left w:val="single" w:sz="4" w:space="0" w:color="000000"/>
              <w:bottom w:val="single" w:sz="4" w:space="0" w:color="000000"/>
            </w:tcBorders>
          </w:tcPr>
          <w:p>
            <w:pPr>
              <w:pStyle w:val="Normal"/>
              <w:widowControl w:val="false"/>
              <w:tabs>
                <w:tab w:val="clear" w:pos="408"/>
              </w:tabs>
              <w:spacing w:lineRule="auto" w:line="276"/>
              <w:jc w:val="center"/>
              <w:rPr>
                <w:rFonts w:ascii="Arial" w:hAnsi="Arial"/>
              </w:rPr>
            </w:pPr>
            <w:r>
              <w:rPr>
                <w:rFonts w:cs="Times New Roman" w:ascii="Arial" w:hAnsi="Arial"/>
                <w:b/>
                <w:bCs/>
                <w:color w:val="000000"/>
                <w:sz w:val="24"/>
                <w:szCs w:val="24"/>
              </w:rPr>
              <w:t>Н</w:t>
            </w:r>
            <w:r>
              <w:rPr>
                <w:rFonts w:cs="Times New Roman" w:ascii="Arial" w:hAnsi="Arial"/>
                <w:b/>
                <w:bCs/>
                <w:color w:val="000000"/>
                <w:sz w:val="24"/>
                <w:szCs w:val="24"/>
                <w:lang w:val="kk-KZ"/>
              </w:rPr>
              <w:t>а</w:t>
            </w:r>
            <w:r>
              <w:rPr>
                <w:rFonts w:cs="Times New Roman" w:ascii="Arial" w:hAnsi="Arial"/>
                <w:b/>
                <w:bCs/>
                <w:color w:val="000000"/>
                <w:sz w:val="24"/>
                <w:szCs w:val="24"/>
              </w:rPr>
              <w:t>именование препарата</w:t>
            </w:r>
          </w:p>
        </w:tc>
        <w:tc>
          <w:tcPr>
            <w:tcW w:w="1796" w:type="dxa"/>
            <w:tcBorders>
              <w:top w:val="single" w:sz="4" w:space="0" w:color="000000"/>
              <w:left w:val="single" w:sz="4" w:space="0" w:color="000000"/>
              <w:bottom w:val="single" w:sz="4" w:space="0" w:color="000000"/>
            </w:tcBorders>
          </w:tcPr>
          <w:p>
            <w:pPr>
              <w:pStyle w:val="Normal"/>
              <w:widowControl w:val="false"/>
              <w:tabs>
                <w:tab w:val="clear" w:pos="408"/>
              </w:tabs>
              <w:spacing w:lineRule="auto" w:line="276"/>
              <w:jc w:val="center"/>
              <w:rPr>
                <w:rFonts w:ascii="Arial" w:hAnsi="Arial"/>
              </w:rPr>
            </w:pPr>
            <w:r>
              <w:rPr>
                <w:rFonts w:ascii="Arial" w:hAnsi="Arial"/>
                <w:b/>
                <w:bCs/>
                <w:sz w:val="24"/>
                <w:szCs w:val="24"/>
              </w:rPr>
              <w:t>Серия</w:t>
            </w:r>
          </w:p>
        </w:tc>
        <w:tc>
          <w:tcPr>
            <w:tcW w:w="1361" w:type="dxa"/>
            <w:tcBorders>
              <w:top w:val="single" w:sz="4" w:space="0" w:color="000000"/>
              <w:left w:val="single" w:sz="4" w:space="0" w:color="000000"/>
              <w:bottom w:val="single" w:sz="4" w:space="0" w:color="000000"/>
            </w:tcBorders>
          </w:tcPr>
          <w:p>
            <w:pPr>
              <w:pStyle w:val="Normal"/>
              <w:widowControl w:val="false"/>
              <w:tabs>
                <w:tab w:val="clear" w:pos="408"/>
              </w:tabs>
              <w:spacing w:lineRule="auto" w:line="276"/>
              <w:jc w:val="center"/>
              <w:rPr>
                <w:rFonts w:ascii="Arial" w:hAnsi="Arial"/>
              </w:rPr>
            </w:pPr>
            <w:r>
              <w:rPr>
                <w:rFonts w:cs="Times New Roman" w:ascii="Arial" w:hAnsi="Arial"/>
                <w:b/>
                <w:bCs/>
                <w:color w:val="000000"/>
                <w:sz w:val="24"/>
                <w:szCs w:val="24"/>
              </w:rPr>
              <w:t>Количество</w:t>
            </w:r>
          </w:p>
        </w:tc>
        <w:tc>
          <w:tcPr>
            <w:tcW w:w="192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408"/>
              </w:tabs>
              <w:spacing w:lineRule="auto" w:line="276"/>
              <w:jc w:val="center"/>
              <w:rPr>
                <w:rFonts w:ascii="Arial" w:hAnsi="Arial"/>
              </w:rPr>
            </w:pPr>
            <w:r>
              <w:rPr>
                <w:rFonts w:cs="Times New Roman" w:ascii="Arial" w:hAnsi="Arial"/>
                <w:b/>
                <w:bCs/>
                <w:color w:val="000000"/>
                <w:sz w:val="24"/>
                <w:szCs w:val="24"/>
              </w:rPr>
              <w:t>Вес брутто / кг</w:t>
            </w:r>
          </w:p>
        </w:tc>
      </w:tr>
      <w:tr>
        <w:trPr/>
        <w:tc>
          <w:tcPr>
            <w:tcW w:w="5505" w:type="dxa"/>
            <w:tcBorders>
              <w:left w:val="single" w:sz="4" w:space="0" w:color="000000"/>
              <w:bottom w:val="single" w:sz="4" w:space="0" w:color="000000"/>
            </w:tcBorders>
          </w:tcPr>
          <w:p>
            <w:pPr>
              <w:pStyle w:val="Style17"/>
              <w:ind w:hanging="0" w:left="0" w:right="0"/>
              <w:jc w:val="center"/>
              <w:rPr>
                <w:rFonts w:ascii="Arial" w:hAnsi="Arial"/>
                <w:color w:val="000000"/>
              </w:rPr>
            </w:pPr>
            <w:r>
              <w:rPr>
                <w:rFonts w:ascii="Arial" w:hAnsi="Arial"/>
                <w:color w:val="000000"/>
              </w:rPr>
              <w:t>Metoject, sol.for inj. 50 mg/ml-12,5 mg</w:t>
            </w:r>
          </w:p>
        </w:tc>
        <w:tc>
          <w:tcPr>
            <w:tcW w:w="1796" w:type="dxa"/>
            <w:tcBorders>
              <w:left w:val="single" w:sz="4" w:space="0" w:color="000000"/>
              <w:bottom w:val="single" w:sz="4" w:space="0" w:color="000000"/>
            </w:tcBorders>
          </w:tcPr>
          <w:p>
            <w:pPr>
              <w:pStyle w:val="Style17"/>
              <w:ind w:hanging="0" w:left="0" w:right="0"/>
              <w:jc w:val="center"/>
              <w:rPr>
                <w:rFonts w:ascii="Arial" w:hAnsi="Arial"/>
                <w:color w:val="000000"/>
              </w:rPr>
            </w:pPr>
            <w:r>
              <w:rPr>
                <w:rFonts w:ascii="Arial" w:hAnsi="Arial"/>
                <w:color w:val="000000"/>
              </w:rPr>
              <w:t>G240364BA</w:t>
            </w:r>
          </w:p>
        </w:tc>
        <w:tc>
          <w:tcPr>
            <w:tcW w:w="1361" w:type="dxa"/>
            <w:tcBorders>
              <w:left w:val="single" w:sz="4" w:space="0" w:color="000000"/>
              <w:bottom w:val="single" w:sz="4" w:space="0" w:color="000000"/>
            </w:tcBorders>
          </w:tcPr>
          <w:p>
            <w:pPr>
              <w:pStyle w:val="Style17"/>
              <w:ind w:hanging="0" w:left="0" w:right="0"/>
              <w:jc w:val="center"/>
              <w:rPr>
                <w:rFonts w:ascii="Arial" w:hAnsi="Arial"/>
                <w:color w:val="000000"/>
              </w:rPr>
            </w:pPr>
            <w:r>
              <w:rPr>
                <w:rFonts w:ascii="Arial" w:hAnsi="Arial"/>
                <w:color w:val="000000"/>
              </w:rPr>
              <w:t>940</w:t>
            </w:r>
          </w:p>
        </w:tc>
        <w:tc>
          <w:tcPr>
            <w:tcW w:w="1924" w:type="dxa"/>
            <w:tcBorders>
              <w:left w:val="single" w:sz="4" w:space="0" w:color="000000"/>
              <w:bottom w:val="single" w:sz="4" w:space="0" w:color="000000"/>
              <w:right w:val="single" w:sz="4" w:space="0" w:color="000000"/>
            </w:tcBorders>
          </w:tcPr>
          <w:p>
            <w:pPr>
              <w:pStyle w:val="Style17"/>
              <w:ind w:hanging="0" w:left="0" w:right="0"/>
              <w:jc w:val="center"/>
              <w:rPr>
                <w:rFonts w:ascii="Arial" w:hAnsi="Arial"/>
              </w:rPr>
            </w:pPr>
            <w:r>
              <w:rPr>
                <w:rFonts w:ascii="Arial" w:hAnsi="Arial"/>
              </w:rPr>
              <w:t>60,240кг</w:t>
            </w:r>
          </w:p>
        </w:tc>
      </w:tr>
      <w:tr>
        <w:trPr/>
        <w:tc>
          <w:tcPr>
            <w:tcW w:w="5505" w:type="dxa"/>
            <w:tcBorders>
              <w:left w:val="single" w:sz="4" w:space="0" w:color="000000"/>
              <w:bottom w:val="single" w:sz="4" w:space="0" w:color="000000"/>
            </w:tcBorders>
          </w:tcPr>
          <w:p>
            <w:pPr>
              <w:pStyle w:val="Style17"/>
              <w:ind w:hanging="0" w:left="0" w:right="0"/>
              <w:jc w:val="center"/>
              <w:rPr>
                <w:rFonts w:ascii="Arial" w:hAnsi="Arial"/>
                <w:color w:val="000000"/>
              </w:rPr>
            </w:pPr>
            <w:r>
              <w:rPr>
                <w:rFonts w:ascii="Arial" w:hAnsi="Arial"/>
                <w:color w:val="000000"/>
              </w:rPr>
              <w:t>Metoject®50 mg/ml (20mg)</w:t>
            </w:r>
          </w:p>
        </w:tc>
        <w:tc>
          <w:tcPr>
            <w:tcW w:w="1796" w:type="dxa"/>
            <w:tcBorders>
              <w:left w:val="single" w:sz="4" w:space="0" w:color="000000"/>
              <w:bottom w:val="single" w:sz="4" w:space="0" w:color="000000"/>
            </w:tcBorders>
          </w:tcPr>
          <w:p>
            <w:pPr>
              <w:pStyle w:val="Style17"/>
              <w:ind w:hanging="0" w:left="0" w:right="0"/>
              <w:jc w:val="center"/>
              <w:rPr>
                <w:rFonts w:ascii="Arial" w:hAnsi="Arial"/>
                <w:color w:val="000000"/>
              </w:rPr>
            </w:pPr>
            <w:r>
              <w:rPr>
                <w:rFonts w:ascii="Arial" w:hAnsi="Arial"/>
                <w:color w:val="000000"/>
              </w:rPr>
              <w:t>H240467CA</w:t>
            </w:r>
          </w:p>
        </w:tc>
        <w:tc>
          <w:tcPr>
            <w:tcW w:w="1361" w:type="dxa"/>
            <w:tcBorders>
              <w:left w:val="single" w:sz="4" w:space="0" w:color="000000"/>
              <w:bottom w:val="single" w:sz="4" w:space="0" w:color="000000"/>
            </w:tcBorders>
          </w:tcPr>
          <w:p>
            <w:pPr>
              <w:pStyle w:val="Style17"/>
              <w:ind w:hanging="0" w:left="0" w:right="0"/>
              <w:jc w:val="center"/>
              <w:rPr>
                <w:rFonts w:ascii="Arial" w:hAnsi="Arial"/>
                <w:color w:val="000000"/>
              </w:rPr>
            </w:pPr>
            <w:r>
              <w:rPr>
                <w:rFonts w:ascii="Arial" w:hAnsi="Arial"/>
                <w:color w:val="000000"/>
              </w:rPr>
              <w:t>100</w:t>
            </w:r>
          </w:p>
        </w:tc>
        <w:tc>
          <w:tcPr>
            <w:tcW w:w="1924" w:type="dxa"/>
            <w:tcBorders>
              <w:left w:val="single" w:sz="4" w:space="0" w:color="000000"/>
              <w:bottom w:val="single" w:sz="4" w:space="0" w:color="000000"/>
              <w:right w:val="single" w:sz="4" w:space="0" w:color="000000"/>
            </w:tcBorders>
          </w:tcPr>
          <w:p>
            <w:pPr>
              <w:pStyle w:val="Style17"/>
              <w:ind w:hanging="0" w:left="0" w:right="0"/>
              <w:jc w:val="center"/>
              <w:rPr>
                <w:rFonts w:ascii="Arial" w:hAnsi="Arial"/>
              </w:rPr>
            </w:pPr>
            <w:r>
              <w:rPr>
                <w:rFonts w:ascii="Arial" w:hAnsi="Arial"/>
              </w:rPr>
              <w:t>4,295кг</w:t>
            </w:r>
          </w:p>
        </w:tc>
      </w:tr>
      <w:tr>
        <w:trPr/>
        <w:tc>
          <w:tcPr>
            <w:tcW w:w="5505" w:type="dxa"/>
            <w:tcBorders>
              <w:left w:val="single" w:sz="4" w:space="0" w:color="000000"/>
              <w:bottom w:val="single" w:sz="4" w:space="0" w:color="000000"/>
            </w:tcBorders>
          </w:tcPr>
          <w:p>
            <w:pPr>
              <w:pStyle w:val="Style17"/>
              <w:ind w:hanging="0" w:left="0" w:right="0"/>
              <w:jc w:val="center"/>
              <w:rPr>
                <w:rFonts w:ascii="Arial" w:hAnsi="Arial"/>
                <w:color w:val="000000"/>
              </w:rPr>
            </w:pPr>
            <w:r>
              <w:rPr>
                <w:rFonts w:ascii="Arial" w:hAnsi="Arial"/>
                <w:color w:val="000000"/>
              </w:rPr>
              <w:t>Metoject, sol.for inj. 50 mg/ml-10 mg</w:t>
            </w:r>
          </w:p>
        </w:tc>
        <w:tc>
          <w:tcPr>
            <w:tcW w:w="1796" w:type="dxa"/>
            <w:tcBorders>
              <w:left w:val="single" w:sz="4" w:space="0" w:color="000000"/>
              <w:bottom w:val="single" w:sz="4" w:space="0" w:color="000000"/>
            </w:tcBorders>
          </w:tcPr>
          <w:p>
            <w:pPr>
              <w:pStyle w:val="Style17"/>
              <w:ind w:hanging="0" w:left="0" w:right="0"/>
              <w:jc w:val="center"/>
              <w:rPr>
                <w:rFonts w:ascii="Arial" w:hAnsi="Arial"/>
                <w:color w:val="000000"/>
              </w:rPr>
            </w:pPr>
            <w:r>
              <w:rPr>
                <w:rFonts w:ascii="Arial" w:hAnsi="Arial"/>
                <w:color w:val="000000"/>
              </w:rPr>
              <w:t>H240384BA</w:t>
            </w:r>
          </w:p>
        </w:tc>
        <w:tc>
          <w:tcPr>
            <w:tcW w:w="1361" w:type="dxa"/>
            <w:tcBorders>
              <w:left w:val="single" w:sz="4" w:space="0" w:color="000000"/>
              <w:bottom w:val="single" w:sz="4" w:space="0" w:color="000000"/>
            </w:tcBorders>
          </w:tcPr>
          <w:p>
            <w:pPr>
              <w:pStyle w:val="Style17"/>
              <w:ind w:hanging="0" w:left="0" w:right="0"/>
              <w:jc w:val="center"/>
              <w:rPr>
                <w:rFonts w:ascii="Arial" w:hAnsi="Arial"/>
                <w:color w:val="000000"/>
              </w:rPr>
            </w:pPr>
            <w:r>
              <w:rPr>
                <w:rFonts w:ascii="Arial" w:hAnsi="Arial"/>
                <w:color w:val="000000"/>
              </w:rPr>
              <w:t>60</w:t>
            </w:r>
          </w:p>
        </w:tc>
        <w:tc>
          <w:tcPr>
            <w:tcW w:w="1924" w:type="dxa"/>
            <w:tcBorders>
              <w:left w:val="single" w:sz="4" w:space="0" w:color="000000"/>
              <w:bottom w:val="single" w:sz="4" w:space="0" w:color="000000"/>
              <w:right w:val="single" w:sz="4" w:space="0" w:color="000000"/>
            </w:tcBorders>
          </w:tcPr>
          <w:p>
            <w:pPr>
              <w:pStyle w:val="Style17"/>
              <w:ind w:hanging="0" w:left="0" w:right="0"/>
              <w:jc w:val="center"/>
              <w:rPr>
                <w:rFonts w:ascii="Arial" w:hAnsi="Arial"/>
              </w:rPr>
            </w:pPr>
            <w:r>
              <w:rPr>
                <w:rFonts w:ascii="Arial" w:hAnsi="Arial"/>
              </w:rPr>
              <w:t>4,195кг</w:t>
            </w:r>
          </w:p>
        </w:tc>
      </w:tr>
      <w:tr>
        <w:trPr/>
        <w:tc>
          <w:tcPr>
            <w:tcW w:w="5505" w:type="dxa"/>
            <w:tcBorders>
              <w:left w:val="single" w:sz="4" w:space="0" w:color="000000"/>
              <w:bottom w:val="single" w:sz="4" w:space="0" w:color="000000"/>
            </w:tcBorders>
          </w:tcPr>
          <w:p>
            <w:pPr>
              <w:pStyle w:val="Style17"/>
              <w:ind w:hanging="0" w:left="0" w:right="0"/>
              <w:jc w:val="center"/>
              <w:rPr>
                <w:rFonts w:ascii="Arial" w:hAnsi="Arial"/>
                <w:color w:val="000000"/>
              </w:rPr>
            </w:pPr>
            <w:r>
              <w:rPr>
                <w:rFonts w:ascii="Arial" w:hAnsi="Arial"/>
                <w:color w:val="000000"/>
              </w:rPr>
              <w:t>Metoject, sol.for inj. 50 mg/ml-10 mg</w:t>
            </w:r>
          </w:p>
        </w:tc>
        <w:tc>
          <w:tcPr>
            <w:tcW w:w="1796" w:type="dxa"/>
            <w:tcBorders>
              <w:left w:val="single" w:sz="4" w:space="0" w:color="000000"/>
              <w:bottom w:val="single" w:sz="4" w:space="0" w:color="000000"/>
            </w:tcBorders>
          </w:tcPr>
          <w:p>
            <w:pPr>
              <w:pStyle w:val="Style17"/>
              <w:ind w:hanging="0" w:left="0" w:right="0"/>
              <w:jc w:val="center"/>
              <w:rPr>
                <w:rFonts w:ascii="Arial" w:hAnsi="Arial"/>
                <w:color w:val="000000"/>
              </w:rPr>
            </w:pPr>
            <w:r>
              <w:rPr>
                <w:rFonts w:ascii="Arial" w:hAnsi="Arial"/>
                <w:color w:val="000000"/>
              </w:rPr>
              <w:t>H240384BA</w:t>
            </w:r>
          </w:p>
        </w:tc>
        <w:tc>
          <w:tcPr>
            <w:tcW w:w="1361" w:type="dxa"/>
            <w:tcBorders>
              <w:left w:val="single" w:sz="4" w:space="0" w:color="000000"/>
              <w:bottom w:val="single" w:sz="4" w:space="0" w:color="000000"/>
            </w:tcBorders>
          </w:tcPr>
          <w:p>
            <w:pPr>
              <w:pStyle w:val="Style17"/>
              <w:ind w:hanging="0" w:left="0" w:right="0"/>
              <w:jc w:val="center"/>
              <w:rPr>
                <w:rFonts w:ascii="Arial" w:hAnsi="Arial"/>
                <w:color w:val="000000"/>
              </w:rPr>
            </w:pPr>
            <w:r>
              <w:rPr>
                <w:rFonts w:ascii="Arial" w:hAnsi="Arial"/>
                <w:color w:val="000000"/>
              </w:rPr>
              <w:t>1440</w:t>
            </w:r>
          </w:p>
        </w:tc>
        <w:tc>
          <w:tcPr>
            <w:tcW w:w="1924" w:type="dxa"/>
            <w:tcBorders>
              <w:left w:val="single" w:sz="4" w:space="0" w:color="000000"/>
              <w:bottom w:val="single" w:sz="4" w:space="0" w:color="000000"/>
              <w:right w:val="single" w:sz="4" w:space="0" w:color="000000"/>
            </w:tcBorders>
          </w:tcPr>
          <w:p>
            <w:pPr>
              <w:pStyle w:val="Style17"/>
              <w:ind w:hanging="0" w:left="0" w:right="0"/>
              <w:jc w:val="center"/>
              <w:rPr>
                <w:rFonts w:ascii="Arial" w:hAnsi="Arial"/>
              </w:rPr>
            </w:pPr>
            <w:r>
              <w:rPr>
                <w:rFonts w:ascii="Arial" w:hAnsi="Arial"/>
              </w:rPr>
              <w:t>92,100кг</w:t>
            </w:r>
          </w:p>
        </w:tc>
      </w:tr>
      <w:tr>
        <w:trPr/>
        <w:tc>
          <w:tcPr>
            <w:tcW w:w="5505" w:type="dxa"/>
            <w:tcBorders>
              <w:left w:val="single" w:sz="4" w:space="0" w:color="000000"/>
              <w:bottom w:val="single" w:sz="4" w:space="0" w:color="000000"/>
            </w:tcBorders>
          </w:tcPr>
          <w:p>
            <w:pPr>
              <w:pStyle w:val="Style17"/>
              <w:jc w:val="center"/>
              <w:rPr>
                <w:rFonts w:ascii="Arial" w:hAnsi="Arial"/>
                <w:color w:val="000000"/>
              </w:rPr>
            </w:pPr>
            <w:r>
              <w:rPr>
                <w:rFonts w:ascii="Arial" w:hAnsi="Arial"/>
                <w:color w:val="000000"/>
              </w:rPr>
              <w:t>Metoject, sol.for inj. 50 mg/ml-15mg</w:t>
            </w:r>
          </w:p>
        </w:tc>
        <w:tc>
          <w:tcPr>
            <w:tcW w:w="1796" w:type="dxa"/>
            <w:tcBorders>
              <w:left w:val="single" w:sz="4" w:space="0" w:color="000000"/>
              <w:bottom w:val="single" w:sz="4" w:space="0" w:color="000000"/>
            </w:tcBorders>
          </w:tcPr>
          <w:p>
            <w:pPr>
              <w:pStyle w:val="Style17"/>
              <w:jc w:val="center"/>
              <w:rPr>
                <w:rFonts w:ascii="Arial" w:hAnsi="Arial"/>
                <w:color w:val="000000"/>
              </w:rPr>
            </w:pPr>
            <w:r>
              <w:rPr>
                <w:rFonts w:ascii="Arial" w:hAnsi="Arial"/>
                <w:color w:val="000000"/>
              </w:rPr>
              <w:t>H240426AA</w:t>
            </w:r>
          </w:p>
        </w:tc>
        <w:tc>
          <w:tcPr>
            <w:tcW w:w="1361" w:type="dxa"/>
            <w:tcBorders>
              <w:left w:val="single" w:sz="4" w:space="0" w:color="000000"/>
              <w:bottom w:val="single" w:sz="4" w:space="0" w:color="000000"/>
            </w:tcBorders>
          </w:tcPr>
          <w:p>
            <w:pPr>
              <w:pStyle w:val="Style17"/>
              <w:jc w:val="center"/>
              <w:rPr>
                <w:rFonts w:ascii="Arial" w:hAnsi="Arial"/>
                <w:color w:val="000000"/>
              </w:rPr>
            </w:pPr>
            <w:r>
              <w:rPr>
                <w:rFonts w:ascii="Arial" w:hAnsi="Arial"/>
                <w:color w:val="000000"/>
              </w:rPr>
              <w:t>1500</w:t>
            </w:r>
          </w:p>
        </w:tc>
        <w:tc>
          <w:tcPr>
            <w:tcW w:w="1924" w:type="dxa"/>
            <w:tcBorders>
              <w:left w:val="single" w:sz="4" w:space="0" w:color="000000"/>
              <w:bottom w:val="single" w:sz="4" w:space="0" w:color="000000"/>
              <w:right w:val="single" w:sz="4" w:space="0" w:color="000000"/>
            </w:tcBorders>
          </w:tcPr>
          <w:p>
            <w:pPr>
              <w:pStyle w:val="Style17"/>
              <w:jc w:val="center"/>
              <w:rPr>
                <w:rFonts w:ascii="Arial" w:hAnsi="Arial"/>
              </w:rPr>
            </w:pPr>
            <w:r>
              <w:rPr>
                <w:rFonts w:ascii="Arial" w:hAnsi="Arial"/>
              </w:rPr>
              <w:t>93,080кг</w:t>
            </w:r>
          </w:p>
        </w:tc>
      </w:tr>
      <w:tr>
        <w:trPr/>
        <w:tc>
          <w:tcPr>
            <w:tcW w:w="5505" w:type="dxa"/>
            <w:tcBorders>
              <w:left w:val="single" w:sz="4" w:space="0" w:color="000000"/>
              <w:bottom w:val="single" w:sz="4" w:space="0" w:color="000000"/>
            </w:tcBorders>
          </w:tcPr>
          <w:p>
            <w:pPr>
              <w:pStyle w:val="Style17"/>
              <w:widowControl w:val="false"/>
              <w:spacing w:lineRule="auto" w:line="276"/>
              <w:jc w:val="center"/>
              <w:rPr>
                <w:rFonts w:ascii="Arial" w:hAnsi="Arial"/>
              </w:rPr>
            </w:pPr>
            <w:r>
              <w:rPr>
                <w:rFonts w:cs="Arial" w:ascii="Arial" w:hAnsi="Arial"/>
                <w:b/>
                <w:bCs/>
                <w:sz w:val="24"/>
                <w:szCs w:val="24"/>
              </w:rPr>
              <w:t>Итого</w:t>
            </w:r>
          </w:p>
        </w:tc>
        <w:tc>
          <w:tcPr>
            <w:tcW w:w="1796" w:type="dxa"/>
            <w:tcBorders>
              <w:left w:val="single" w:sz="4" w:space="0" w:color="000000"/>
              <w:bottom w:val="single" w:sz="4" w:space="0" w:color="000000"/>
            </w:tcBorders>
          </w:tcPr>
          <w:p>
            <w:pPr>
              <w:pStyle w:val="Style17"/>
              <w:widowControl w:val="false"/>
              <w:spacing w:lineRule="auto" w:line="276"/>
              <w:jc w:val="center"/>
              <w:rPr>
                <w:rFonts w:ascii="Arial" w:hAnsi="Arial" w:cs="Arial"/>
                <w:sz w:val="24"/>
                <w:szCs w:val="24"/>
              </w:rPr>
            </w:pPr>
            <w:r>
              <w:rPr>
                <w:rFonts w:cs="Arial" w:ascii="Arial" w:hAnsi="Arial"/>
                <w:sz w:val="24"/>
                <w:szCs w:val="24"/>
              </w:rPr>
            </w:r>
          </w:p>
        </w:tc>
        <w:tc>
          <w:tcPr>
            <w:tcW w:w="1361" w:type="dxa"/>
            <w:tcBorders>
              <w:left w:val="single" w:sz="4" w:space="0" w:color="000000"/>
              <w:bottom w:val="single" w:sz="4" w:space="0" w:color="000000"/>
            </w:tcBorders>
          </w:tcPr>
          <w:p>
            <w:pPr>
              <w:pStyle w:val="Style17"/>
              <w:ind w:hanging="0" w:left="0" w:right="0"/>
              <w:jc w:val="center"/>
              <w:rPr>
                <w:rFonts w:ascii="Arial" w:hAnsi="Arial"/>
                <w:b/>
                <w:color w:val="000000"/>
              </w:rPr>
            </w:pPr>
            <w:r>
              <w:rPr>
                <w:rFonts w:ascii="Arial" w:hAnsi="Arial"/>
                <w:b/>
                <w:color w:val="000000"/>
              </w:rPr>
              <w:t>4040</w:t>
            </w:r>
          </w:p>
        </w:tc>
        <w:tc>
          <w:tcPr>
            <w:tcW w:w="1924" w:type="dxa"/>
            <w:tcBorders>
              <w:left w:val="single" w:sz="4" w:space="0" w:color="000000"/>
              <w:bottom w:val="single" w:sz="4" w:space="0" w:color="000000"/>
              <w:right w:val="single" w:sz="4" w:space="0" w:color="000000"/>
            </w:tcBorders>
          </w:tcPr>
          <w:p>
            <w:pPr>
              <w:pStyle w:val="Style17"/>
              <w:ind w:hanging="0" w:left="0" w:right="0"/>
              <w:jc w:val="center"/>
              <w:rPr>
                <w:rFonts w:ascii="Arial" w:hAnsi="Arial"/>
                <w:b/>
              </w:rPr>
            </w:pPr>
            <w:r>
              <w:rPr>
                <w:rFonts w:ascii="Arial" w:hAnsi="Arial"/>
                <w:b/>
              </w:rPr>
              <w:t xml:space="preserve">253,910 </w:t>
            </w:r>
            <w:r>
              <w:rPr>
                <w:rFonts w:ascii="Arial" w:hAnsi="Arial"/>
                <w:b/>
              </w:rPr>
              <w:t>кг</w:t>
            </w:r>
          </w:p>
        </w:tc>
      </w:tr>
    </w:tbl>
    <w:p>
      <w:pPr>
        <w:pStyle w:val="Normal"/>
        <w:widowControl w:val="false"/>
        <w:spacing w:before="0" w:after="0"/>
        <w:rPr>
          <w:rFonts w:ascii="Arial" w:hAnsi="Arial" w:cs="Times New Roman"/>
          <w:sz w:val="24"/>
          <w:szCs w:val="24"/>
        </w:rPr>
      </w:pPr>
      <w:r>
        <w:rPr>
          <w:rFonts w:cs="Times New Roman" w:ascii="Arial" w:hAnsi="Arial"/>
          <w:sz w:val="24"/>
          <w:szCs w:val="24"/>
        </w:rPr>
      </w:r>
    </w:p>
    <w:p>
      <w:pPr>
        <w:pStyle w:val="Normal"/>
        <w:rPr>
          <w:rFonts w:ascii="Arial" w:hAnsi="Arial"/>
          <w:sz w:val="24"/>
          <w:szCs w:val="24"/>
          <w:lang w:val="kk-KZ"/>
        </w:rPr>
      </w:pPr>
      <w:r>
        <w:rPr>
          <w:rFonts w:ascii="Arial" w:hAnsi="Arial"/>
          <w:sz w:val="24"/>
          <w:szCs w:val="24"/>
          <w:lang w:val="kk-KZ"/>
        </w:rPr>
      </w:r>
    </w:p>
    <w:p>
      <w:pPr>
        <w:pStyle w:val="Normal"/>
        <w:rPr>
          <w:rFonts w:ascii="Arial" w:hAnsi="Arial"/>
        </w:rPr>
      </w:pPr>
      <w:r>
        <w:rPr>
          <w:rFonts w:ascii="Arial" w:hAnsi="Arial"/>
          <w:sz w:val="24"/>
          <w:szCs w:val="24"/>
        </w:rPr>
        <w:t>Утилизация препаратов осуществляется  методом сжигания в печи.</w:t>
      </w:r>
    </w:p>
    <w:p>
      <w:pPr>
        <w:pStyle w:val="Normal"/>
        <w:rPr>
          <w:rFonts w:ascii="Arial" w:hAnsi="Arial"/>
        </w:rPr>
      </w:pPr>
      <w:r>
        <w:rPr>
          <w:rFonts w:ascii="Arial" w:hAnsi="Arial"/>
          <w:sz w:val="24"/>
          <w:szCs w:val="24"/>
        </w:rPr>
        <w:t xml:space="preserve">Транспортировка отходов будет осуществляться в соответствии с требованиями нормативных документов,  на специальном автотранспорте.  При транспортировке исключаются потери, загрязнение окружающей среды, а так же передача препаратов третьим лицам. Согласно классификатора отходов данный вид отхода относится </w:t>
      </w:r>
      <w:r>
        <w:rPr>
          <w:rFonts w:ascii="Arial" w:hAnsi="Arial"/>
        </w:rPr>
        <w:t>к янтарному списку</w:t>
      </w:r>
    </w:p>
    <w:p>
      <w:pPr>
        <w:pStyle w:val="Normal"/>
        <w:rPr>
          <w:rFonts w:ascii="Arial" w:hAnsi="Arial"/>
          <w:lang w:val="kk-KZ"/>
        </w:rPr>
      </w:pPr>
      <w:r>
        <w:rPr>
          <w:rFonts w:ascii="Arial" w:hAnsi="Arial"/>
          <w:lang w:val="kk-KZ"/>
        </w:rPr>
      </w:r>
    </w:p>
    <w:p>
      <w:pPr>
        <w:pStyle w:val="Normal"/>
        <w:rPr>
          <w:rFonts w:ascii="Arial" w:hAnsi="Arial"/>
        </w:rPr>
      </w:pPr>
      <w:r>
        <w:rPr>
          <w:rFonts w:ascii="Arial" w:hAnsi="Arial"/>
        </w:rPr>
        <w:t xml:space="preserve">Классификационный код отходов </w:t>
      </w:r>
      <w:r>
        <w:rPr>
          <w:rFonts w:ascii="Arial" w:hAnsi="Arial"/>
          <w:b/>
          <w:lang w:val="en-US"/>
        </w:rPr>
        <w:t>N</w:t>
      </w:r>
      <w:r>
        <w:rPr>
          <w:rFonts w:ascii="Arial" w:hAnsi="Arial"/>
          <w:b/>
        </w:rPr>
        <w:t xml:space="preserve"> 180302//</w:t>
      </w:r>
      <w:r>
        <w:rPr>
          <w:rFonts w:ascii="Arial" w:hAnsi="Arial"/>
          <w:b/>
          <w:lang w:val="en-US"/>
        </w:rPr>
        <w:t>Q</w:t>
      </w:r>
      <w:r>
        <w:rPr>
          <w:rFonts w:ascii="Arial" w:hAnsi="Arial"/>
          <w:b/>
        </w:rPr>
        <w:t xml:space="preserve"> 13+14//</w:t>
      </w:r>
      <w:r>
        <w:rPr>
          <w:rFonts w:ascii="Arial" w:hAnsi="Arial"/>
          <w:b/>
          <w:lang w:val="en-US"/>
        </w:rPr>
        <w:t>W</w:t>
      </w:r>
      <w:r>
        <w:rPr>
          <w:rFonts w:ascii="Arial" w:hAnsi="Arial"/>
          <w:b/>
        </w:rPr>
        <w:t xml:space="preserve"> </w:t>
      </w:r>
      <w:r>
        <w:rPr>
          <w:rFonts w:ascii="Arial" w:hAnsi="Arial"/>
          <w:b/>
          <w:lang w:val="en-US"/>
        </w:rPr>
        <w:t>S</w:t>
      </w:r>
      <w:r>
        <w:rPr>
          <w:rFonts w:ascii="Arial" w:hAnsi="Arial"/>
          <w:b/>
        </w:rPr>
        <w:t>15//</w:t>
      </w:r>
      <w:r>
        <w:rPr>
          <w:rFonts w:ascii="Arial" w:hAnsi="Arial"/>
          <w:b/>
          <w:lang w:val="en-US"/>
        </w:rPr>
        <w:t>C</w:t>
      </w:r>
      <w:r>
        <w:rPr>
          <w:rFonts w:ascii="Arial" w:hAnsi="Arial"/>
          <w:b/>
        </w:rPr>
        <w:t xml:space="preserve"> 59+60+//</w:t>
      </w:r>
      <w:r>
        <w:rPr>
          <w:rFonts w:ascii="Arial" w:hAnsi="Arial"/>
          <w:b/>
          <w:lang w:val="en-US"/>
        </w:rPr>
        <w:t>H</w:t>
      </w:r>
      <w:r>
        <w:rPr>
          <w:rFonts w:ascii="Arial" w:hAnsi="Arial"/>
          <w:b/>
        </w:rPr>
        <w:t xml:space="preserve"> 12//</w:t>
      </w:r>
      <w:r>
        <w:rPr>
          <w:rFonts w:ascii="Arial" w:hAnsi="Arial"/>
          <w:b/>
          <w:lang w:val="en-US"/>
        </w:rPr>
        <w:t>D</w:t>
      </w:r>
      <w:r>
        <w:rPr>
          <w:rFonts w:ascii="Arial" w:hAnsi="Arial"/>
          <w:b/>
        </w:rPr>
        <w:t xml:space="preserve"> 10//</w:t>
      </w:r>
      <w:r>
        <w:rPr>
          <w:rFonts w:ascii="Arial" w:hAnsi="Arial"/>
          <w:b/>
          <w:lang w:val="en-US"/>
        </w:rPr>
        <w:t>A</w:t>
      </w:r>
      <w:r>
        <w:rPr>
          <w:rFonts w:ascii="Arial" w:hAnsi="Arial"/>
          <w:b/>
        </w:rPr>
        <w:t xml:space="preserve"> 830//</w:t>
      </w:r>
      <w:r>
        <w:rPr>
          <w:rFonts w:ascii="Arial" w:hAnsi="Arial"/>
          <w:b/>
          <w:lang w:val="en-US"/>
        </w:rPr>
        <w:t>AD</w:t>
      </w:r>
      <w:r>
        <w:rPr>
          <w:rFonts w:ascii="Arial" w:hAnsi="Arial"/>
          <w:b/>
        </w:rPr>
        <w:t>010</w:t>
      </w:r>
    </w:p>
    <w:p>
      <w:pPr>
        <w:pStyle w:val="Normal"/>
        <w:rPr>
          <w:rFonts w:ascii="Arial" w:hAnsi="Arial"/>
          <w:b/>
        </w:rPr>
      </w:pPr>
      <w:r>
        <w:rPr>
          <w:rFonts w:ascii="Arial" w:hAnsi="Arial"/>
          <w:b/>
        </w:rPr>
      </w:r>
    </w:p>
    <w:p>
      <w:pPr>
        <w:pStyle w:val="Normal"/>
        <w:rPr>
          <w:rFonts w:ascii="Arial" w:hAnsi="Arial"/>
        </w:rPr>
      </w:pPr>
      <w:r>
        <w:rPr>
          <w:rFonts w:ascii="Arial" w:hAnsi="Arial"/>
        </w:rPr>
        <w:t>Код по МК     180302   Медикаменты</w:t>
      </w:r>
    </w:p>
    <w:p>
      <w:pPr>
        <w:pStyle w:val="Normal"/>
        <w:rPr>
          <w:rFonts w:ascii="Arial" w:hAnsi="Arial"/>
        </w:rPr>
      </w:pPr>
      <w:r>
        <w:rPr>
          <w:rFonts w:ascii="Arial" w:hAnsi="Arial"/>
        </w:rPr>
      </w:r>
    </w:p>
    <w:p>
      <w:pPr>
        <w:pStyle w:val="Normal"/>
        <w:rPr>
          <w:rFonts w:ascii="Arial" w:hAnsi="Arial"/>
        </w:rPr>
      </w:pPr>
      <w:r>
        <w:rPr>
          <w:rFonts w:ascii="Arial" w:hAnsi="Arial"/>
        </w:rPr>
        <w:t xml:space="preserve">Код по ЕК      </w:t>
      </w:r>
      <w:r>
        <w:rPr>
          <w:rFonts w:ascii="Arial" w:hAnsi="Arial"/>
          <w:lang w:val="en-US"/>
        </w:rPr>
        <w:t>AD</w:t>
      </w:r>
      <w:r>
        <w:rPr>
          <w:rFonts w:ascii="Arial" w:hAnsi="Arial"/>
        </w:rPr>
        <w:t xml:space="preserve">010    Отходы производства и приготовления фармацевтической                    </w:t>
      </w:r>
    </w:p>
    <w:p>
      <w:pPr>
        <w:pStyle w:val="Normal"/>
        <w:rPr>
          <w:rFonts w:ascii="Arial" w:hAnsi="Arial"/>
        </w:rPr>
      </w:pPr>
      <w:r>
        <w:rPr>
          <w:rFonts w:ascii="Arial" w:hAnsi="Arial"/>
        </w:rPr>
        <w:t xml:space="preserve">                                        </w:t>
      </w:r>
      <w:r>
        <w:rPr>
          <w:rFonts w:ascii="Arial" w:hAnsi="Arial"/>
        </w:rPr>
        <w:t>продукции</w:t>
      </w:r>
    </w:p>
    <w:p>
      <w:pPr>
        <w:pStyle w:val="Normal"/>
        <w:rPr>
          <w:rFonts w:ascii="Arial" w:hAnsi="Arial"/>
        </w:rPr>
      </w:pPr>
      <w:r>
        <w:rPr>
          <w:rFonts w:ascii="Arial" w:hAnsi="Arial"/>
        </w:rPr>
      </w:r>
    </w:p>
    <w:tbl>
      <w:tblPr>
        <w:tblStyle w:val="3"/>
        <w:tblW w:w="9478" w:type="dxa"/>
        <w:jc w:val="left"/>
        <w:tblInd w:w="-32" w:type="dxa"/>
        <w:tblLayout w:type="fixed"/>
        <w:tblCellMar>
          <w:top w:w="0" w:type="dxa"/>
          <w:left w:w="5" w:type="dxa"/>
          <w:bottom w:w="0" w:type="dxa"/>
          <w:right w:w="98" w:type="dxa"/>
        </w:tblCellMar>
      </w:tblPr>
      <w:tblGrid>
        <w:gridCol w:w="2124"/>
        <w:gridCol w:w="2052"/>
        <w:gridCol w:w="1753"/>
        <w:gridCol w:w="1787"/>
        <w:gridCol w:w="1762"/>
      </w:tblGrid>
      <w:tr>
        <w:trPr>
          <w:trHeight w:val="744" w:hRule="atLeast"/>
        </w:trPr>
        <w:tc>
          <w:tcPr>
            <w:tcW w:w="212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sz w:val="20"/>
              </w:rPr>
            </w:pPr>
            <w:r>
              <w:rPr>
                <w:rFonts w:ascii="Arial" w:hAnsi="Arial"/>
                <w:bCs/>
                <w:color w:val="000000"/>
                <w:kern w:val="0"/>
                <w:sz w:val="20"/>
              </w:rPr>
              <w:t>Перечень и наименование исходных материалов из которых образовались отходы</w:t>
            </w:r>
          </w:p>
        </w:tc>
        <w:tc>
          <w:tcPr>
            <w:tcW w:w="2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sz w:val="20"/>
              </w:rPr>
            </w:pPr>
            <w:r>
              <w:rPr>
                <w:rFonts w:ascii="Arial" w:hAnsi="Arial"/>
                <w:bCs/>
                <w:color w:val="000000"/>
                <w:kern w:val="0"/>
                <w:sz w:val="20"/>
              </w:rPr>
              <w:t>Наименование технологического процесса</w:t>
            </w:r>
          </w:p>
        </w:tc>
        <w:tc>
          <w:tcPr>
            <w:tcW w:w="175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sz w:val="20"/>
              </w:rPr>
            </w:pPr>
            <w:r>
              <w:rPr>
                <w:rFonts w:ascii="Arial" w:hAnsi="Arial"/>
                <w:bCs/>
                <w:color w:val="000000"/>
                <w:kern w:val="0"/>
                <w:sz w:val="20"/>
              </w:rPr>
              <w:t>Перечень опасных свойств отходов</w:t>
            </w:r>
          </w:p>
        </w:tc>
        <w:tc>
          <w:tcPr>
            <w:tcW w:w="17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sz w:val="20"/>
              </w:rPr>
            </w:pPr>
            <w:r>
              <w:rPr>
                <w:rFonts w:ascii="Arial" w:hAnsi="Arial"/>
                <w:bCs/>
                <w:color w:val="000000"/>
                <w:kern w:val="0"/>
                <w:sz w:val="20"/>
              </w:rPr>
              <w:t>Количество произведенных отходов</w:t>
            </w:r>
          </w:p>
          <w:p>
            <w:pPr>
              <w:pStyle w:val="Normal"/>
              <w:widowControl w:val="false"/>
              <w:suppressAutoHyphens w:val="true"/>
              <w:jc w:val="center"/>
              <w:rPr>
                <w:rFonts w:ascii="Arial" w:hAnsi="Arial"/>
                <w:sz w:val="20"/>
              </w:rPr>
            </w:pPr>
            <w:r>
              <w:rPr>
                <w:rFonts w:ascii="Arial" w:hAnsi="Arial"/>
                <w:bCs/>
                <w:color w:val="000000"/>
                <w:kern w:val="0"/>
                <w:sz w:val="20"/>
              </w:rPr>
              <w:t>(кг/тонн)</w:t>
            </w:r>
          </w:p>
        </w:tc>
        <w:tc>
          <w:tcPr>
            <w:tcW w:w="17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sz w:val="20"/>
              </w:rPr>
            </w:pPr>
            <w:r>
              <w:rPr>
                <w:rFonts w:ascii="Arial" w:hAnsi="Arial"/>
                <w:bCs/>
                <w:color w:val="000000"/>
                <w:kern w:val="0"/>
                <w:sz w:val="20"/>
              </w:rPr>
              <w:t>Реквизиты отгрузки</w:t>
            </w:r>
          </w:p>
        </w:tc>
      </w:tr>
      <w:tr>
        <w:trPr>
          <w:trHeight w:val="401" w:hRule="atLeast"/>
        </w:trPr>
        <w:tc>
          <w:tcPr>
            <w:tcW w:w="212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sz w:val="20"/>
              </w:rPr>
            </w:pPr>
            <w:r>
              <w:rPr>
                <w:rFonts w:ascii="Arial" w:hAnsi="Arial"/>
                <w:color w:val="000000"/>
                <w:kern w:val="0"/>
                <w:sz w:val="20"/>
              </w:rPr>
              <w:t>Готовое изделие, потерявшее потребительские свойства.</w:t>
            </w:r>
          </w:p>
          <w:p>
            <w:pPr>
              <w:pStyle w:val="Normal"/>
              <w:widowControl w:val="false"/>
              <w:suppressAutoHyphens w:val="true"/>
              <w:jc w:val="both"/>
              <w:rPr>
                <w:rFonts w:ascii="Arial" w:hAnsi="Arial"/>
                <w:sz w:val="20"/>
              </w:rPr>
            </w:pPr>
            <w:r>
              <w:rPr>
                <w:rFonts w:ascii="Arial" w:hAnsi="Arial"/>
                <w:color w:val="000000"/>
                <w:kern w:val="0"/>
                <w:sz w:val="20"/>
              </w:rPr>
              <w:t>Лекарственные средства</w:t>
            </w:r>
          </w:p>
        </w:tc>
        <w:tc>
          <w:tcPr>
            <w:tcW w:w="205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sz w:val="20"/>
              </w:rPr>
            </w:pPr>
            <w:r>
              <w:rPr>
                <w:rFonts w:ascii="Arial" w:hAnsi="Arial"/>
                <w:color w:val="000000"/>
                <w:kern w:val="0"/>
                <w:sz w:val="20"/>
              </w:rPr>
              <w:t>Поставка и реализация лекарственных средств</w:t>
            </w:r>
          </w:p>
        </w:tc>
        <w:tc>
          <w:tcPr>
            <w:tcW w:w="1753"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sz w:val="20"/>
              </w:rPr>
            </w:pPr>
            <w:r>
              <w:rPr>
                <w:rFonts w:ascii="Arial" w:hAnsi="Arial"/>
                <w:color w:val="000000"/>
                <w:kern w:val="0"/>
                <w:sz w:val="20"/>
              </w:rPr>
              <w:t>Н12 Экотоксичные вещества</w:t>
            </w:r>
          </w:p>
        </w:tc>
        <w:tc>
          <w:tcPr>
            <w:tcW w:w="1787"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color w:val="000000"/>
                <w:sz w:val="20"/>
              </w:rPr>
            </w:pPr>
            <w:r>
              <w:rPr>
                <w:rFonts w:ascii="Arial" w:hAnsi="Arial"/>
                <w:color w:val="000000"/>
                <w:sz w:val="20"/>
              </w:rPr>
            </w:r>
          </w:p>
          <w:p>
            <w:pPr>
              <w:pStyle w:val="Normal"/>
              <w:widowControl w:val="false"/>
              <w:suppressAutoHyphens w:val="true"/>
              <w:jc w:val="center"/>
              <w:rPr>
                <w:rFonts w:ascii="Arial" w:hAnsi="Arial"/>
                <w:sz w:val="20"/>
              </w:rPr>
            </w:pPr>
            <w:r>
              <w:rPr>
                <w:rFonts w:ascii="Arial" w:hAnsi="Arial"/>
                <w:kern w:val="0"/>
                <w:sz w:val="20"/>
                <w:lang w:val="ru-RU"/>
              </w:rPr>
              <w:t>253,910</w:t>
            </w:r>
            <w:r>
              <w:rPr>
                <w:rFonts w:ascii="Arial" w:hAnsi="Arial"/>
                <w:kern w:val="0"/>
                <w:sz w:val="20"/>
              </w:rPr>
              <w:t xml:space="preserve"> кг </w:t>
              <w:br/>
              <w:t>(</w:t>
            </w:r>
            <w:r>
              <w:rPr>
                <w:rFonts w:ascii="Arial" w:hAnsi="Arial"/>
                <w:kern w:val="0"/>
                <w:sz w:val="20"/>
                <w:lang w:val="kk-KZ"/>
              </w:rPr>
              <w:t>0,</w:t>
            </w:r>
            <w:r>
              <w:rPr>
                <w:rFonts w:ascii="Arial" w:hAnsi="Arial"/>
                <w:kern w:val="0"/>
                <w:sz w:val="20"/>
                <w:lang w:val="ru-RU"/>
              </w:rPr>
              <w:t>253</w:t>
            </w:r>
            <w:r>
              <w:rPr>
                <w:rFonts w:ascii="Arial" w:hAnsi="Arial"/>
                <w:kern w:val="0"/>
                <w:sz w:val="20"/>
                <w:lang w:val="en-US"/>
              </w:rPr>
              <w:t xml:space="preserve"> </w:t>
            </w:r>
            <w:r>
              <w:rPr>
                <w:rFonts w:ascii="Arial" w:hAnsi="Arial"/>
                <w:kern w:val="0"/>
                <w:sz w:val="20"/>
              </w:rPr>
              <w:t>тонн)</w:t>
            </w:r>
          </w:p>
        </w:tc>
        <w:tc>
          <w:tcPr>
            <w:tcW w:w="176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both"/>
              <w:rPr>
                <w:rFonts w:ascii="Arial" w:hAnsi="Arial"/>
                <w:sz w:val="20"/>
              </w:rPr>
            </w:pPr>
            <w:r>
              <w:rPr>
                <w:rFonts w:ascii="Arial" w:hAnsi="Arial"/>
                <w:color w:val="000000"/>
                <w:kern w:val="0"/>
                <w:sz w:val="20"/>
              </w:rPr>
              <w:t>Утилизацию осуществляет ТОО    «</w:t>
            </w:r>
            <w:r>
              <w:rPr>
                <w:rFonts w:ascii="Arial" w:hAnsi="Arial"/>
                <w:color w:val="000000"/>
                <w:kern w:val="0"/>
                <w:sz w:val="20"/>
              </w:rPr>
              <w:t>МВ АРНА</w:t>
            </w:r>
            <w:r>
              <w:rPr>
                <w:rFonts w:ascii="Arial" w:hAnsi="Arial"/>
                <w:color w:val="000000"/>
                <w:kern w:val="0"/>
                <w:sz w:val="20"/>
              </w:rPr>
              <w:t>»</w:t>
            </w:r>
          </w:p>
        </w:tc>
      </w:tr>
    </w:tbl>
    <w:p>
      <w:pPr>
        <w:pStyle w:val="Normal"/>
        <w:rPr>
          <w:rFonts w:ascii="Arial" w:hAnsi="Arial"/>
        </w:rPr>
      </w:pPr>
      <w:r>
        <w:rPr>
          <w:rFonts w:ascii="Arial" w:hAnsi="Arial"/>
        </w:rPr>
      </w:r>
    </w:p>
    <w:p>
      <w:pPr>
        <w:pStyle w:val="Normal"/>
        <w:rPr>
          <w:rFonts w:ascii="Arial" w:hAnsi="Arial"/>
        </w:rPr>
      </w:pPr>
      <w:r>
        <w:rPr>
          <w:rFonts w:ascii="Arial" w:hAnsi="Arial"/>
        </w:rPr>
        <w:t>Расходы по оплате эмиссий от сжигания лекарственных препаратов несет ТОО «</w:t>
      </w:r>
      <w:r>
        <w:rPr>
          <w:rFonts w:ascii="Arial" w:hAnsi="Arial"/>
        </w:rPr>
        <w:t>МВ АРНА</w:t>
      </w:r>
      <w:r>
        <w:rPr>
          <w:rFonts w:ascii="Arial" w:hAnsi="Arial"/>
        </w:rPr>
        <w:t>». Имеется положительное Заключение государственной экологической экспертизы и разрешение на эмиссии №KZ</w:t>
      </w:r>
      <w:r>
        <w:rPr>
          <w:rFonts w:ascii="Arial" w:hAnsi="Arial"/>
          <w:lang w:val="ru-RU"/>
        </w:rPr>
        <w:t>66</w:t>
      </w:r>
      <w:r>
        <w:rPr>
          <w:rFonts w:ascii="Arial" w:hAnsi="Arial"/>
          <w:lang w:val="en-US"/>
        </w:rPr>
        <w:t>VCZ03545329</w:t>
      </w:r>
      <w:r>
        <w:rPr>
          <w:rFonts w:ascii="Arial" w:hAnsi="Arial"/>
        </w:rPr>
        <w:t xml:space="preserve"> от </w:t>
      </w:r>
      <w:r>
        <w:rPr>
          <w:rFonts w:ascii="Arial" w:hAnsi="Arial"/>
          <w:lang w:val="en-US"/>
        </w:rPr>
        <w:t>16.08.2024</w:t>
      </w:r>
      <w:r>
        <w:rPr>
          <w:rFonts w:ascii="Arial" w:hAnsi="Arial"/>
        </w:rPr>
        <w:t xml:space="preserve"> года.</w:t>
      </w:r>
    </w:p>
    <w:p>
      <w:pPr>
        <w:pStyle w:val="Normal"/>
        <w:rPr>
          <w:rFonts w:ascii="Arial" w:hAnsi="Arial"/>
        </w:rPr>
      </w:pPr>
      <w:r>
        <w:rPr>
          <w:rFonts w:ascii="Arial" w:hAnsi="Arial"/>
        </w:rPr>
      </w:r>
    </w:p>
    <w:p>
      <w:pPr>
        <w:pStyle w:val="Normal"/>
        <w:rPr>
          <w:rFonts w:ascii="Arial" w:hAnsi="Arial"/>
        </w:rPr>
      </w:pPr>
      <w:r>
        <w:rPr>
          <w:rFonts w:ascii="Arial" w:hAnsi="Arial"/>
        </w:rPr>
        <w:t xml:space="preserve">                                      </w:t>
      </w:r>
      <w:r>
        <w:rPr>
          <w:rFonts w:ascii="Arial" w:hAnsi="Arial"/>
        </w:rPr>
        <w:t>Категория опасности предприятия.</w:t>
      </w:r>
    </w:p>
    <w:p>
      <w:pPr>
        <w:pStyle w:val="Normal"/>
        <w:jc w:val="both"/>
        <w:rPr>
          <w:rFonts w:ascii="Arial" w:hAnsi="Arial"/>
        </w:rPr>
      </w:pPr>
      <w:r>
        <w:rPr>
          <w:rFonts w:ascii="Arial" w:hAnsi="Arial"/>
        </w:rPr>
        <w:t>В соответствии  с п</w:t>
      </w:r>
      <w:r>
        <w:rPr>
          <w:rFonts w:ascii="Arial" w:hAnsi="Arial"/>
          <w:lang w:val="ru-RU"/>
        </w:rPr>
        <w:t>.9</w:t>
      </w:r>
      <w:r>
        <w:rPr>
          <w:rFonts w:ascii="Arial" w:hAnsi="Arial"/>
        </w:rPr>
        <w:t xml:space="preserve"> ст.</w:t>
      </w:r>
      <w:r>
        <w:rPr>
          <w:rFonts w:ascii="Arial" w:hAnsi="Arial"/>
          <w:lang w:val="ru-RU"/>
        </w:rPr>
        <w:t>87</w:t>
      </w:r>
      <w:r>
        <w:rPr>
          <w:rFonts w:ascii="Arial" w:hAnsi="Arial"/>
        </w:rPr>
        <w:t xml:space="preserve">  ЭК РК – материалы о возможности уничтожения товаров, помещаемых под таможенную процедуру уничтожения, предусматривающие возможность захоронения, обезвреживания, утилизации или уничтожения иным способом товаров, а также отходов, образовавшихся в результате уничтожения товаров, с указанием способа и места уничтожения – являются объектом обязательной государственной экологической экспертизы.</w:t>
      </w:r>
    </w:p>
    <w:p>
      <w:pPr>
        <w:pStyle w:val="Normal"/>
        <w:jc w:val="both"/>
        <w:rPr>
          <w:rFonts w:ascii="Arial" w:hAnsi="Arial"/>
        </w:rPr>
      </w:pPr>
      <w:r>
        <w:rPr>
          <w:rFonts w:ascii="Arial" w:hAnsi="Arial"/>
        </w:rPr>
        <w:t>Объекты указанные в п</w:t>
      </w:r>
      <w:r>
        <w:rPr>
          <w:rFonts w:ascii="Arial" w:hAnsi="Arial"/>
          <w:lang w:val="ru-RU"/>
        </w:rPr>
        <w:t>.9</w:t>
      </w:r>
      <w:r>
        <w:rPr>
          <w:rFonts w:ascii="Arial" w:hAnsi="Arial"/>
        </w:rPr>
        <w:t xml:space="preserve"> ст.</w:t>
      </w:r>
      <w:r>
        <w:rPr>
          <w:rFonts w:ascii="Arial" w:hAnsi="Arial"/>
          <w:lang w:val="ru-RU"/>
        </w:rPr>
        <w:t>87</w:t>
      </w:r>
      <w:r>
        <w:rPr>
          <w:rFonts w:ascii="Arial" w:hAnsi="Arial"/>
        </w:rPr>
        <w:t xml:space="preserve">  ЭК РК</w:t>
      </w:r>
      <w:r>
        <w:rPr>
          <w:rFonts w:ascii="Arial" w:hAnsi="Arial"/>
          <w:lang w:val="ru-RU"/>
        </w:rPr>
        <w:t xml:space="preserve"> </w:t>
      </w:r>
      <w:bookmarkStart w:id="0" w:name="_GoBack"/>
      <w:bookmarkEnd w:id="0"/>
      <w:r>
        <w:rPr>
          <w:rFonts w:ascii="Arial" w:hAnsi="Arial"/>
        </w:rPr>
        <w:t xml:space="preserve"> относятся к </w:t>
      </w:r>
      <w:r>
        <w:rPr>
          <w:rFonts w:ascii="Arial" w:hAnsi="Arial"/>
          <w:lang w:val="en-US"/>
        </w:rPr>
        <w:t>III</w:t>
      </w:r>
      <w:r>
        <w:rPr>
          <w:rFonts w:ascii="Arial" w:hAnsi="Arial"/>
        </w:rPr>
        <w:t xml:space="preserve"> категории опасности.</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2. МЕДИЦИНСКИЕ ОТХОДЫ. КЛАССИФИКАЦИЯ. СПОСОБЫ УТИЛИЗАЦИИ</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Медицинские отходы-отходы, образующиеся в процессе оказания медицинских услуг и проведения медицинских манипуляций.</w:t>
      </w:r>
    </w:p>
    <w:p>
      <w:pPr>
        <w:pStyle w:val="Normal"/>
        <w:jc w:val="both"/>
        <w:rPr>
          <w:rFonts w:ascii="Arial" w:hAnsi="Arial"/>
        </w:rPr>
      </w:pPr>
      <w:r>
        <w:rPr>
          <w:rFonts w:ascii="Arial" w:hAnsi="Arial"/>
        </w:rPr>
        <w:t>Медицинские отходы по степени опасности подразделяются на пять классов опасности:</w:t>
      </w:r>
    </w:p>
    <w:p>
      <w:pPr>
        <w:pStyle w:val="ListParagraph"/>
        <w:numPr>
          <w:ilvl w:val="0"/>
          <w:numId w:val="1"/>
        </w:numPr>
        <w:jc w:val="both"/>
        <w:rPr>
          <w:rFonts w:ascii="Arial" w:hAnsi="Arial"/>
        </w:rPr>
      </w:pPr>
      <w:r>
        <w:rPr>
          <w:rFonts w:ascii="Arial" w:hAnsi="Arial"/>
        </w:rPr>
        <w:t>Класс А – неопасные медицинские отходы, подобные твердым бытовым отходам</w:t>
      </w:r>
    </w:p>
    <w:p>
      <w:pPr>
        <w:pStyle w:val="ListParagraph"/>
        <w:numPr>
          <w:ilvl w:val="0"/>
          <w:numId w:val="1"/>
        </w:numPr>
        <w:jc w:val="both"/>
        <w:rPr>
          <w:rFonts w:ascii="Arial" w:hAnsi="Arial"/>
        </w:rPr>
      </w:pPr>
      <w:r>
        <w:rPr>
          <w:rFonts w:ascii="Arial" w:hAnsi="Arial"/>
        </w:rPr>
        <w:t>Класс Б – опасные (рискованные) медицинские отходы</w:t>
      </w:r>
    </w:p>
    <w:p>
      <w:pPr>
        <w:pStyle w:val="ListParagraph"/>
        <w:numPr>
          <w:ilvl w:val="0"/>
          <w:numId w:val="1"/>
        </w:numPr>
        <w:jc w:val="both"/>
        <w:rPr>
          <w:rFonts w:ascii="Arial" w:hAnsi="Arial"/>
        </w:rPr>
      </w:pPr>
      <w:r>
        <w:rPr>
          <w:rFonts w:ascii="Arial" w:hAnsi="Arial"/>
        </w:rPr>
        <w:t>Класс В – чрезвычайно опасные медицинские отходы</w:t>
      </w:r>
    </w:p>
    <w:p>
      <w:pPr>
        <w:pStyle w:val="ListParagraph"/>
        <w:numPr>
          <w:ilvl w:val="0"/>
          <w:numId w:val="1"/>
        </w:numPr>
        <w:jc w:val="both"/>
        <w:rPr>
          <w:rFonts w:ascii="Arial" w:hAnsi="Arial"/>
        </w:rPr>
      </w:pPr>
      <w:r>
        <w:rPr>
          <w:rFonts w:ascii="Arial" w:hAnsi="Arial"/>
        </w:rPr>
        <w:t>Класс Г – медицинские отходы, по составу близкие к промышленным</w:t>
      </w:r>
    </w:p>
    <w:p>
      <w:pPr>
        <w:pStyle w:val="ListParagraph"/>
        <w:numPr>
          <w:ilvl w:val="0"/>
          <w:numId w:val="1"/>
        </w:numPr>
        <w:jc w:val="both"/>
        <w:rPr>
          <w:rFonts w:ascii="Arial" w:hAnsi="Arial"/>
        </w:rPr>
      </w:pPr>
      <w:r>
        <w:rPr>
          <w:rFonts w:ascii="Arial" w:hAnsi="Arial"/>
        </w:rPr>
        <w:t>Класс Д – радиоактивные медицинские отходы</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А.</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Это не опасные отходы, которые не имели контакта с биологическими жидкостями больных, с инфекционными больными. Это нетоксичные отходы, которые не представляют опасности окружающим. К данному классу относятся пищевые отходы всех подразделений медицинских учреждений, кроме инфекционных.</w:t>
      </w:r>
    </w:p>
    <w:p>
      <w:pPr>
        <w:pStyle w:val="Normal"/>
        <w:jc w:val="both"/>
        <w:rPr>
          <w:rFonts w:ascii="Arial" w:hAnsi="Arial"/>
        </w:rPr>
      </w:pPr>
      <w:r>
        <w:rPr>
          <w:rFonts w:ascii="Arial" w:hAnsi="Arial"/>
        </w:rPr>
        <w:t>Также сюда относится мебель, инвентарь, вышедшее из строя диагностическое оборудование, которое не содержит в себе токсичных элементов. Строительный мусор, бумага и многое другое также попадает под эту категорию. Данные отходы составляют основную часть всех медицинских отходов, и поскольку они не представляют собой опасности, они могут быть утилизированы на обычных полигонах ТБО.</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Б.</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 xml:space="preserve">К данному классу относятся опасные, или рискованные отходы. Одним словом, класс Б составляют отходы, которые потенциально могли бы быть инфицированными. К данному типу отходов относятся материалы и инструменты, которые были в процессе использования загрязнены выделениями пациентов, в том числе кровью. Сюда же относятся и выделения пациентов и патолого-анатомические отходы. </w:t>
      </w:r>
    </w:p>
    <w:p>
      <w:pPr>
        <w:pStyle w:val="Normal"/>
        <w:jc w:val="both"/>
        <w:rPr>
          <w:rFonts w:ascii="Arial" w:hAnsi="Arial"/>
        </w:rPr>
      </w:pPr>
      <w:r>
        <w:rPr>
          <w:rFonts w:ascii="Arial" w:hAnsi="Arial"/>
        </w:rPr>
        <w:t>Кроме этого, к отходам класса Б относятся и органические операционные отходы (человеческие  органы, ткани и т.п.). В эту же группу попадают и абсолютно все отходы инфекционных отделений учреждений здравоохранения (в том числе и пищевые). Сюда же относятся и отходы из микробиологических лабораторий, которые работают с микроорганизмами 3-4 групп патогенности. Поскольку данный тип отходов таит в себе потенциальную опасность для здоровья людей, данные отходы собираются в специальные контейнера и пакеты желтого цвета.</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В.</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Чрезвычайно опасные отходы. Сюда относятся все материалы и инструменты, которые имели контакт с пациентами, болеющими особо опасными инфекциями. Все отходы от больных карантинными инфекциями также попадают в данную группу. Кроме этого, в данный класс относятся и отходы фтизиатрических, микологических больниц и отходы от пациентов с анаэробными инфекциями (например, такой, как туберкулез).</w:t>
      </w:r>
    </w:p>
    <w:p>
      <w:pPr>
        <w:pStyle w:val="Normal"/>
        <w:jc w:val="both"/>
        <w:rPr>
          <w:rFonts w:ascii="Arial" w:hAnsi="Arial"/>
        </w:rPr>
      </w:pPr>
      <w:r>
        <w:rPr>
          <w:rFonts w:ascii="Arial" w:hAnsi="Arial"/>
        </w:rPr>
        <w:t>Сюда же попадают отходы от медицинских лабораторий, которые работаю с микроорганизмами 1-2 группы патогенности. Как понятно из самого названия, отходы данного типа являются наиболее опасными, поэтому их транспортировка за пределы медицинского учреждения без предварительного обеззараживания жесточайше запрещена.</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Г.</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Сюда попадают отходы, которые по своему химическому составу близки к промышленным отходам. В данную категорию попали</w:t>
      </w:r>
      <w:r>
        <w:rPr>
          <w:rFonts w:ascii="Arial" w:hAnsi="Arial"/>
          <w:lang w:val="en-US"/>
        </w:rPr>
        <w:t>:</w:t>
      </w:r>
    </w:p>
    <w:p>
      <w:pPr>
        <w:pStyle w:val="ListParagraph"/>
        <w:numPr>
          <w:ilvl w:val="0"/>
          <w:numId w:val="2"/>
        </w:numPr>
        <w:jc w:val="both"/>
        <w:rPr>
          <w:rFonts w:ascii="Arial" w:hAnsi="Arial"/>
        </w:rPr>
      </w:pPr>
      <w:r>
        <w:rPr>
          <w:rFonts w:ascii="Arial" w:hAnsi="Arial"/>
          <w:b/>
          <w:u w:val="single"/>
        </w:rPr>
        <w:t>Просроченные лекарственные средства</w:t>
      </w:r>
    </w:p>
    <w:p>
      <w:pPr>
        <w:pStyle w:val="ListParagraph"/>
        <w:numPr>
          <w:ilvl w:val="0"/>
          <w:numId w:val="2"/>
        </w:numPr>
        <w:jc w:val="both"/>
        <w:rPr>
          <w:rFonts w:ascii="Arial" w:hAnsi="Arial"/>
        </w:rPr>
      </w:pPr>
      <w:r>
        <w:rPr>
          <w:rFonts w:ascii="Arial" w:hAnsi="Arial"/>
          <w:b/>
          <w:u w:val="single"/>
        </w:rPr>
        <w:t>Различные отходы от лекарственных препаратов</w:t>
      </w:r>
    </w:p>
    <w:p>
      <w:pPr>
        <w:pStyle w:val="ListParagraph"/>
        <w:numPr>
          <w:ilvl w:val="0"/>
          <w:numId w:val="2"/>
        </w:numPr>
        <w:jc w:val="both"/>
        <w:rPr>
          <w:rFonts w:ascii="Arial" w:hAnsi="Arial"/>
        </w:rPr>
      </w:pPr>
      <w:r>
        <w:rPr>
          <w:rFonts w:ascii="Arial" w:hAnsi="Arial"/>
          <w:b/>
          <w:u w:val="single"/>
        </w:rPr>
        <w:t>Дез.средства с истекшим сроком годности</w:t>
      </w:r>
    </w:p>
    <w:p>
      <w:pPr>
        <w:pStyle w:val="ListParagraph"/>
        <w:numPr>
          <w:ilvl w:val="0"/>
          <w:numId w:val="2"/>
        </w:numPr>
        <w:jc w:val="both"/>
        <w:rPr>
          <w:rFonts w:ascii="Arial" w:hAnsi="Arial"/>
        </w:rPr>
      </w:pPr>
      <w:r>
        <w:rPr>
          <w:rFonts w:ascii="Arial" w:hAnsi="Arial"/>
        </w:rPr>
        <w:t>различные химические препараты</w:t>
      </w:r>
    </w:p>
    <w:p>
      <w:pPr>
        <w:pStyle w:val="ListParagraph"/>
        <w:numPr>
          <w:ilvl w:val="0"/>
          <w:numId w:val="2"/>
        </w:numPr>
        <w:jc w:val="both"/>
        <w:rPr>
          <w:rFonts w:ascii="Arial" w:hAnsi="Arial"/>
        </w:rPr>
      </w:pPr>
      <w:r>
        <w:rPr>
          <w:rFonts w:ascii="Arial" w:hAnsi="Arial"/>
        </w:rPr>
        <w:t>предметы, приборы и оборудование, содержащие в своем составе ртуть</w:t>
      </w:r>
    </w:p>
    <w:p>
      <w:pPr>
        <w:pStyle w:val="Normal"/>
        <w:jc w:val="both"/>
        <w:rPr>
          <w:rFonts w:ascii="Arial" w:hAnsi="Arial"/>
        </w:rPr>
      </w:pPr>
      <w:r>
        <w:rPr>
          <w:rFonts w:ascii="Arial" w:hAnsi="Arial"/>
        </w:rPr>
        <w:t xml:space="preserve">Таким  образом, данные отходы не так опасны, как отходы </w:t>
      </w:r>
      <w:r>
        <w:rPr>
          <w:rFonts w:ascii="Arial" w:hAnsi="Arial"/>
          <w:b/>
        </w:rPr>
        <w:t xml:space="preserve">класса В, </w:t>
      </w:r>
      <w:r>
        <w:rPr>
          <w:rFonts w:ascii="Arial" w:hAnsi="Arial"/>
        </w:rPr>
        <w:t>однако их нужно утилизировать совершенно иначе. Поэтому утилизацией отходов данного класса могут заниматься только специальные организации.</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КЛАСС Д.</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К данному классу отходов относятся радиоактивные отходы, или все виду медицинских отходов, содержащие радиоактивные компоненты. Данных отходов образуется достаточно мало, однако для их утилизации необходимо прибегать к услугам соответствующих организаций.</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 xml:space="preserve"> </w:t>
      </w:r>
      <w:r>
        <w:rPr>
          <w:rFonts w:ascii="Arial" w:hAnsi="Arial"/>
          <w:b/>
        </w:rPr>
        <w:t>3. СПОСОБЫ УТИЛИЗАЦИИ И ПЕРЕРАБОТКИ ОТХОДОВ</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В настоящее время действует такие виды утилизации, как:</w:t>
      </w:r>
    </w:p>
    <w:p>
      <w:pPr>
        <w:pStyle w:val="ListParagraph"/>
        <w:numPr>
          <w:ilvl w:val="0"/>
          <w:numId w:val="2"/>
        </w:numPr>
        <w:jc w:val="both"/>
        <w:rPr>
          <w:rFonts w:ascii="Arial" w:hAnsi="Arial"/>
        </w:rPr>
      </w:pPr>
      <w:r>
        <w:rPr>
          <w:rFonts w:ascii="Arial" w:hAnsi="Arial"/>
        </w:rPr>
        <w:t>Захоронение на полигонах</w:t>
      </w:r>
    </w:p>
    <w:p>
      <w:pPr>
        <w:pStyle w:val="ListParagraph"/>
        <w:numPr>
          <w:ilvl w:val="0"/>
          <w:numId w:val="2"/>
        </w:numPr>
        <w:jc w:val="both"/>
        <w:rPr>
          <w:rFonts w:ascii="Arial" w:hAnsi="Arial"/>
        </w:rPr>
      </w:pPr>
      <w:r>
        <w:rPr>
          <w:rFonts w:ascii="Arial" w:hAnsi="Arial"/>
        </w:rPr>
        <w:t>Естественное разложение в природной среде</w:t>
      </w:r>
    </w:p>
    <w:p>
      <w:pPr>
        <w:pStyle w:val="ListParagraph"/>
        <w:numPr>
          <w:ilvl w:val="0"/>
          <w:numId w:val="2"/>
        </w:numPr>
        <w:jc w:val="both"/>
        <w:rPr>
          <w:rFonts w:ascii="Arial" w:hAnsi="Arial"/>
        </w:rPr>
      </w:pPr>
      <w:r>
        <w:rPr>
          <w:rFonts w:ascii="Arial" w:hAnsi="Arial"/>
          <w:b/>
          <w:bCs/>
        </w:rPr>
        <w:t>Термическая обработка</w:t>
      </w:r>
    </w:p>
    <w:p>
      <w:pPr>
        <w:pStyle w:val="ListParagraph"/>
        <w:numPr>
          <w:ilvl w:val="0"/>
          <w:numId w:val="2"/>
        </w:numPr>
        <w:jc w:val="both"/>
        <w:rPr>
          <w:rFonts w:ascii="Arial" w:hAnsi="Arial"/>
        </w:rPr>
      </w:pPr>
      <w:bookmarkStart w:id="1" w:name="__DdeLink__241_1826615068"/>
      <w:r>
        <w:rPr>
          <w:rFonts w:ascii="Arial" w:hAnsi="Arial"/>
          <w:b/>
          <w:bCs/>
          <w:lang w:val="kk-KZ"/>
        </w:rPr>
        <w:t>Р</w:t>
      </w:r>
      <w:r>
        <w:rPr>
          <w:rFonts w:ascii="Arial" w:hAnsi="Arial"/>
          <w:b/>
          <w:bCs/>
        </w:rPr>
        <w:t>аздавливани</w:t>
      </w:r>
      <w:r>
        <w:rPr>
          <w:rFonts w:ascii="Arial" w:hAnsi="Arial"/>
          <w:b/>
          <w:bCs/>
          <w:lang w:val="kk-KZ"/>
        </w:rPr>
        <w:t>е</w:t>
      </w:r>
      <w:r>
        <w:rPr>
          <w:rFonts w:ascii="Arial" w:hAnsi="Arial"/>
          <w:b/>
          <w:bCs/>
        </w:rPr>
        <w:t xml:space="preserve"> с последующим разведением водой </w:t>
      </w:r>
      <w:r>
        <w:rPr>
          <w:rFonts w:ascii="Arial" w:hAnsi="Arial"/>
          <w:b/>
          <w:bCs/>
          <w:lang w:val="kk-KZ"/>
        </w:rPr>
        <w:t xml:space="preserve">и </w:t>
      </w:r>
      <w:bookmarkEnd w:id="1"/>
      <w:r>
        <w:rPr>
          <w:rFonts w:ascii="Arial" w:hAnsi="Arial"/>
          <w:b/>
          <w:bCs/>
        </w:rPr>
        <w:t>сливом в промышленную канализацию</w:t>
      </w:r>
    </w:p>
    <w:p>
      <w:pPr>
        <w:pStyle w:val="ListParagraph"/>
        <w:numPr>
          <w:ilvl w:val="0"/>
          <w:numId w:val="2"/>
        </w:numPr>
        <w:jc w:val="both"/>
        <w:rPr>
          <w:rFonts w:ascii="Arial" w:hAnsi="Arial"/>
        </w:rPr>
      </w:pPr>
      <w:r>
        <w:rPr>
          <w:rFonts w:ascii="Arial" w:hAnsi="Arial"/>
        </w:rPr>
        <w:t>Выделение полезных компонентов и вторичная переработка</w:t>
      </w:r>
    </w:p>
    <w:p>
      <w:pPr>
        <w:pStyle w:val="ListParagraph"/>
        <w:ind w:hanging="0" w:left="1065"/>
        <w:jc w:val="both"/>
        <w:rPr>
          <w:rFonts w:ascii="Arial" w:hAnsi="Arial"/>
        </w:rPr>
      </w:pPr>
      <w:r>
        <w:rPr>
          <w:rFonts w:ascii="Arial" w:hAnsi="Arial"/>
        </w:rPr>
      </w:r>
    </w:p>
    <w:p>
      <w:pPr>
        <w:pStyle w:val="Normal"/>
        <w:jc w:val="both"/>
        <w:rPr>
          <w:rFonts w:ascii="Arial" w:hAnsi="Arial"/>
        </w:rPr>
      </w:pPr>
      <w:r>
        <w:rPr>
          <w:rFonts w:ascii="Arial" w:hAnsi="Arial"/>
        </w:rPr>
        <w:t xml:space="preserve">Под термической переработкой подразумевается следующие способы: </w:t>
      </w:r>
    </w:p>
    <w:p>
      <w:pPr>
        <w:pStyle w:val="ListParagraph"/>
        <w:numPr>
          <w:ilvl w:val="0"/>
          <w:numId w:val="2"/>
        </w:numPr>
        <w:jc w:val="both"/>
        <w:rPr>
          <w:rFonts w:ascii="Arial" w:hAnsi="Arial"/>
        </w:rPr>
      </w:pPr>
      <w:r>
        <w:rPr>
          <w:rFonts w:ascii="Arial" w:hAnsi="Arial"/>
        </w:rPr>
        <w:t>Сжигание</w:t>
      </w:r>
    </w:p>
    <w:p>
      <w:pPr>
        <w:pStyle w:val="ListParagraph"/>
        <w:numPr>
          <w:ilvl w:val="0"/>
          <w:numId w:val="2"/>
        </w:numPr>
        <w:jc w:val="both"/>
        <w:rPr>
          <w:rFonts w:ascii="Arial" w:hAnsi="Arial"/>
        </w:rPr>
      </w:pPr>
      <w:r>
        <w:rPr>
          <w:rFonts w:ascii="Arial" w:hAnsi="Arial"/>
        </w:rPr>
        <w:t>Пиролиз на низких температурах горения</w:t>
      </w:r>
    </w:p>
    <w:p>
      <w:pPr>
        <w:pStyle w:val="ListParagraph"/>
        <w:numPr>
          <w:ilvl w:val="0"/>
          <w:numId w:val="2"/>
        </w:numPr>
        <w:jc w:val="both"/>
        <w:rPr>
          <w:rFonts w:ascii="Arial" w:hAnsi="Arial"/>
        </w:rPr>
      </w:pPr>
      <w:r>
        <w:rPr>
          <w:rFonts w:ascii="Arial" w:hAnsi="Arial"/>
        </w:rPr>
        <w:t>Плазменная обработка (высокотемпературный пиролиз)</w:t>
      </w:r>
    </w:p>
    <w:p>
      <w:pPr>
        <w:pStyle w:val="Normal"/>
        <w:jc w:val="both"/>
        <w:rPr>
          <w:rFonts w:ascii="Arial" w:hAnsi="Arial"/>
        </w:rPr>
      </w:pPr>
      <w:r>
        <w:rPr>
          <w:rFonts w:ascii="Arial" w:hAnsi="Arial"/>
        </w:rPr>
        <w:t>Инсинерация – это метод, при помощи которого отходы сжигаются при высоких температурах. Данный метод очень эффективен, так как объемы отходов сводятся к минимуму, остается лишь 10% от первоначального объема. Процесс инсинерации проходит в специальном оборудовании, двухкамерном инсинераторе, имеющем функции печи. Это оборудование называется инсинератор (его еще называют «сжигатель», крематор). Главным его назначением является уничтожение отходов воздействием очень высоких температур, от 800 до 1300 градусов Цельсия.</w:t>
      </w:r>
    </w:p>
    <w:p>
      <w:pPr>
        <w:pStyle w:val="Normal"/>
        <w:jc w:val="both"/>
        <w:rPr>
          <w:rFonts w:ascii="Arial" w:hAnsi="Arial"/>
        </w:rPr>
      </w:pPr>
      <w:r>
        <w:rPr>
          <w:rFonts w:ascii="Arial" w:hAnsi="Arial"/>
        </w:rPr>
        <w:t>Инсинератор безопасен, благодаря тому, что оснащен многоступенчатой системой газоочистки, которая способствует предотвращению загрязнения окружающей среды.</w:t>
      </w:r>
    </w:p>
    <w:p>
      <w:pPr>
        <w:pStyle w:val="Normal"/>
        <w:jc w:val="both"/>
        <w:rPr>
          <w:rFonts w:ascii="Arial" w:hAnsi="Arial"/>
        </w:rPr>
      </w:pPr>
      <w:r>
        <w:rPr>
          <w:rFonts w:ascii="Arial" w:hAnsi="Arial"/>
        </w:rPr>
        <w:t xml:space="preserve">Инсинератоы обладаю рядом преимуществ: </w:t>
      </w:r>
    </w:p>
    <w:p>
      <w:pPr>
        <w:pStyle w:val="ListParagraph"/>
        <w:numPr>
          <w:ilvl w:val="0"/>
          <w:numId w:val="2"/>
        </w:numPr>
        <w:jc w:val="both"/>
        <w:rPr>
          <w:rFonts w:ascii="Arial" w:hAnsi="Arial"/>
        </w:rPr>
      </w:pPr>
      <w:r>
        <w:rPr>
          <w:rFonts w:ascii="Arial" w:hAnsi="Arial"/>
        </w:rPr>
        <w:t>Радикальное уменьшение объемов отходов. Зольный остаток, который остается после обработки отходов в инсинераторе, составляет всего 5-10%.</w:t>
      </w:r>
    </w:p>
    <w:p>
      <w:pPr>
        <w:pStyle w:val="ListParagraph"/>
        <w:numPr>
          <w:ilvl w:val="0"/>
          <w:numId w:val="2"/>
        </w:numPr>
        <w:jc w:val="both"/>
        <w:rPr>
          <w:rFonts w:ascii="Arial" w:hAnsi="Arial"/>
        </w:rPr>
      </w:pPr>
      <w:r>
        <w:rPr>
          <w:rFonts w:ascii="Arial" w:hAnsi="Arial"/>
        </w:rPr>
        <w:t>Применение инсинератора вместе с уменьшением объемов отходов увеличивает возможности для дальнейшего захоронения на полигонах. Не нужно искать новые территории для захоронения отходов.</w:t>
      </w:r>
    </w:p>
    <w:p>
      <w:pPr>
        <w:pStyle w:val="ListParagraph"/>
        <w:numPr>
          <w:ilvl w:val="0"/>
          <w:numId w:val="2"/>
        </w:numPr>
        <w:jc w:val="both"/>
        <w:rPr>
          <w:rFonts w:ascii="Arial" w:hAnsi="Arial"/>
        </w:rPr>
      </w:pPr>
      <w:r>
        <w:rPr>
          <w:rFonts w:ascii="Arial" w:hAnsi="Arial"/>
        </w:rPr>
        <w:t>Возможность утилизировать и обезвреживать медицинские опасные отходы.</w:t>
      </w:r>
    </w:p>
    <w:p>
      <w:pPr>
        <w:pStyle w:val="ListParagraph"/>
        <w:numPr>
          <w:ilvl w:val="0"/>
          <w:numId w:val="2"/>
        </w:numPr>
        <w:jc w:val="both"/>
        <w:rPr>
          <w:rFonts w:ascii="Arial" w:hAnsi="Arial"/>
        </w:rPr>
      </w:pPr>
      <w:r>
        <w:rPr>
          <w:rFonts w:ascii="Arial" w:hAnsi="Arial"/>
        </w:rPr>
        <w:t>Легкость в эксплуатации.</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4. РАСТИТЕЛЬНЫЙ И ЖИВОТНЫЙ МИР</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Современное состояние авифауны (птиц оседлых и гнездящихся) на территории области отличается следующими чертами:</w:t>
      </w:r>
    </w:p>
    <w:p>
      <w:pPr>
        <w:pStyle w:val="Normal"/>
        <w:jc w:val="both"/>
        <w:rPr>
          <w:rFonts w:ascii="Arial" w:hAnsi="Arial"/>
        </w:rPr>
      </w:pPr>
      <w:r>
        <w:rPr>
          <w:rFonts w:ascii="Arial" w:hAnsi="Arial"/>
        </w:rPr>
        <w:t>- значительная синантропизация (существование, связанное с человеком),</w:t>
      </w:r>
    </w:p>
    <w:p>
      <w:pPr>
        <w:pStyle w:val="Normal"/>
        <w:jc w:val="both"/>
        <w:rPr>
          <w:rFonts w:ascii="Arial" w:hAnsi="Arial"/>
        </w:rPr>
      </w:pPr>
      <w:r>
        <w:rPr>
          <w:rFonts w:ascii="Arial" w:hAnsi="Arial"/>
        </w:rPr>
        <w:t>-деградация аборигенного наземно  гнездующегося комплекса вследствие загрязнения растительного покрова, наличия автотранспорта и строительной техники, усиливающей фактор беспокойства.</w:t>
      </w:r>
    </w:p>
    <w:p>
      <w:pPr>
        <w:pStyle w:val="Normal"/>
        <w:jc w:val="both"/>
        <w:rPr>
          <w:rFonts w:ascii="Arial" w:hAnsi="Arial"/>
        </w:rPr>
      </w:pPr>
      <w:r>
        <w:rPr>
          <w:rFonts w:ascii="Arial" w:hAnsi="Arial"/>
        </w:rPr>
        <w:t xml:space="preserve"> </w:t>
      </w:r>
      <w:r>
        <w:rPr>
          <w:rFonts w:ascii="Arial" w:hAnsi="Arial"/>
        </w:rPr>
        <w:tab/>
        <w:t>В Алматы и его окрестностях зарегистрирован 141 вид птиц (из них 34 гнездящихся, 57 зимующих, 88 пролетных). Большинство гнездящихся птиц характерные представители древесно-кустарниковых зарослей предгорий (полевой воробей, обыкновенный скворец, иволга, сорокопут чернолобый, туркестанский жулан, ястребиная славка, черный дрозд, южный соловей). Среди гнездящихся 8 видов оседлых (полевой и домовой воробьи, князек, черный дрозд, кольчатая и египетская горлицы, майна, большая синица). Наиболее многочисленная группа пролетных птиц (черный коршун, золотистая щурка, розовый скворец, серая мухоловка, пеночки).</w:t>
      </w:r>
    </w:p>
    <w:p>
      <w:pPr>
        <w:pStyle w:val="Normal"/>
        <w:jc w:val="both"/>
        <w:rPr>
          <w:rFonts w:ascii="Arial" w:hAnsi="Arial"/>
        </w:rPr>
      </w:pPr>
      <w:r>
        <w:rPr>
          <w:rFonts w:ascii="Arial" w:hAnsi="Arial"/>
        </w:rPr>
        <w:tab/>
        <w:t>Алматы расположен на пролетном пути журавля-красавки, внесенного в «Красную книгу» Казахстана и весной нередко можно видеть летящие стаи этих великолепных птиц. Изредка на пролете в городе оказываются совершенно не свойственные для него птицы (гуси, утки, камышницы, малая выпь, чернобрюхие рябки и другие).</w:t>
      </w:r>
    </w:p>
    <w:p>
      <w:pPr>
        <w:pStyle w:val="Normal"/>
        <w:jc w:val="both"/>
        <w:rPr>
          <w:rFonts w:ascii="Arial" w:hAnsi="Arial"/>
        </w:rPr>
      </w:pPr>
      <w:r>
        <w:rPr>
          <w:rFonts w:ascii="Arial" w:hAnsi="Arial"/>
        </w:rPr>
        <w:t>Местом концентрации пернатых в городе стал Главный Ботанический сад НАН Республики Казахстан. Дикие птицы, голуби, а также мышевидные грызуны привлекают в город хищников: ястребов-тетеревятников, перепелятников, сокола-балобана, обыкновенную пустельгу, сарыча, дербника, сов-ушастых и филинов.</w:t>
      </w:r>
    </w:p>
    <w:p>
      <w:pPr>
        <w:pStyle w:val="Normal"/>
        <w:jc w:val="both"/>
        <w:rPr>
          <w:rFonts w:ascii="Arial" w:hAnsi="Arial"/>
        </w:rPr>
      </w:pPr>
      <w:r>
        <w:rPr>
          <w:rFonts w:ascii="Arial" w:hAnsi="Arial"/>
        </w:rPr>
        <w:tab/>
        <w:t>В городе и его окрестностях обитает около 50 видов млекопитающих. В радиусе 3-5 км от города из хищных млекопитающих довольно часто отмечаются: степной хорь, ласка, горностай, корсак. Из грызунов: белка, суслик-песчаник, ондатра, водяная крыса, слепушонка, домовая, лесная и полевая мыши, реже - лесная соня, серый хомячок. Из летучех мышей: нетопырь-карлик, поздний кожан, рыжая вечерница.</w:t>
      </w:r>
    </w:p>
    <w:p>
      <w:pPr>
        <w:pStyle w:val="Normal"/>
        <w:jc w:val="both"/>
        <w:rPr>
          <w:rFonts w:ascii="Arial" w:hAnsi="Arial"/>
        </w:rPr>
      </w:pPr>
      <w:r>
        <w:rPr>
          <w:rFonts w:ascii="Arial" w:hAnsi="Arial"/>
        </w:rPr>
        <w:tab/>
        <w:t>В Алматы и его окрестностях встречаются 2 вида земноводных – зеленая жаба и лесная лягушка. Обычной является озерная лягушка, распространение которой в последние годы значительно расширилось, она быстро заселяет вновь образованные водоемы и систему оросительных каналов.</w:t>
      </w:r>
    </w:p>
    <w:p>
      <w:pPr>
        <w:pStyle w:val="Normal"/>
        <w:jc w:val="both"/>
        <w:rPr>
          <w:rFonts w:ascii="Arial" w:hAnsi="Arial"/>
        </w:rPr>
      </w:pPr>
      <w:r>
        <w:rPr>
          <w:rFonts w:ascii="Arial" w:hAnsi="Arial"/>
        </w:rPr>
        <w:tab/>
        <w:t>В городе зарегистрировано 224 вида насекомых, обитающих на древесно-кустарных породах: вязовая и зеленоватая вязовая тля,  на ильмовых: среднеазиатская запятовидная и выпуклая тополевая щитовки, лунка серебристая и ивовая волнянка, нижняя тополевая моль на ивовых. Периодически в больших количествах появляются насекомые-вредители: дубовая и люцерновая тля, тополевый и восточный листоеды, резанная и зеленая листовертки, непарный шелкопряд.</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b/>
        </w:rPr>
        <w:t>Утилизация будет осуществлятся на техногенно освоенной территории, поэтому не наносит вреда флоре и фауне района размещения.</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b/>
        </w:rPr>
        <w:t>5. ВЫВОДЫ</w:t>
      </w:r>
    </w:p>
    <w:p>
      <w:pPr>
        <w:pStyle w:val="Normal"/>
        <w:jc w:val="both"/>
        <w:rPr>
          <w:rFonts w:ascii="Arial" w:hAnsi="Arial"/>
          <w:b/>
        </w:rPr>
      </w:pPr>
      <w:r>
        <w:rPr>
          <w:rFonts w:ascii="Arial" w:hAnsi="Arial"/>
          <w:b/>
        </w:rPr>
      </w:r>
    </w:p>
    <w:p>
      <w:pPr>
        <w:pStyle w:val="Normal"/>
        <w:jc w:val="both"/>
        <w:rPr>
          <w:rFonts w:ascii="Arial" w:hAnsi="Arial"/>
        </w:rPr>
      </w:pPr>
      <w:r>
        <w:rPr>
          <w:rFonts w:ascii="Arial" w:hAnsi="Arial"/>
        </w:rPr>
        <w:t>Утилизация будет осуществляться на территории ТОО «</w:t>
      </w:r>
      <w:r>
        <w:rPr>
          <w:rFonts w:ascii="Arial" w:hAnsi="Arial"/>
        </w:rPr>
        <w:t>МВ АРНА</w:t>
      </w:r>
      <w:r>
        <w:rPr>
          <w:rFonts w:ascii="Arial" w:hAnsi="Arial"/>
        </w:rPr>
        <w:t>».</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В целом сложившаяся градостроительная ситуация в районе расположения предприятия, при действующих в настоящее время нормативных требованиях допускает эксплуатацию данного объекта.</w:t>
      </w:r>
    </w:p>
    <w:p>
      <w:pPr>
        <w:pStyle w:val="Normal"/>
        <w:jc w:val="both"/>
        <w:rPr>
          <w:rFonts w:ascii="Arial" w:hAnsi="Arial"/>
        </w:rPr>
      </w:pPr>
      <w:r>
        <w:rPr>
          <w:rFonts w:ascii="Arial" w:hAnsi="Arial"/>
        </w:rPr>
        <w:tab/>
        <w:t>Эксплуатация данного объекта при соблюдении установленного регламента и выполнении природоохранных мероприятий не повлечет за собой необратимых негативных изменений в окружающей среде, не окажет недопустимого отрицательного воздействия на существующее экологическое состояние района.</w:t>
      </w:r>
    </w:p>
    <w:p>
      <w:pPr>
        <w:pStyle w:val="Normal"/>
        <w:jc w:val="both"/>
        <w:rPr>
          <w:rFonts w:ascii="Arial" w:hAnsi="Arial"/>
        </w:rPr>
      </w:pPr>
      <w:r>
        <w:rPr>
          <w:rFonts w:ascii="Arial" w:hAnsi="Arial"/>
        </w:rPr>
      </w:r>
    </w:p>
    <w:p>
      <w:pPr>
        <w:pStyle w:val="Normal"/>
        <w:jc w:val="both"/>
        <w:rPr>
          <w:rFonts w:ascii="Arial" w:hAnsi="Arial"/>
        </w:rPr>
      </w:pPr>
      <w:r>
        <w:rPr>
          <w:rFonts w:ascii="Arial" w:hAnsi="Arial"/>
          <w:b/>
        </w:rPr>
        <w:t xml:space="preserve">6. ПЛАН ПРИРОДООХРАННЫХ МЕРОПРИЯТИЙ </w:t>
      </w:r>
    </w:p>
    <w:p>
      <w:pPr>
        <w:pStyle w:val="Normal"/>
        <w:jc w:val="both"/>
        <w:rPr>
          <w:rFonts w:ascii="Arial" w:hAnsi="Arial"/>
          <w:b/>
        </w:rPr>
      </w:pPr>
      <w:r>
        <w:rPr>
          <w:rFonts w:ascii="Arial" w:hAnsi="Arial"/>
          <w:b/>
        </w:rPr>
      </w:r>
    </w:p>
    <w:tbl>
      <w:tblPr>
        <w:tblStyle w:val="3"/>
        <w:tblW w:w="8866" w:type="dxa"/>
        <w:jc w:val="left"/>
        <w:tblInd w:w="-32" w:type="dxa"/>
        <w:tblLayout w:type="fixed"/>
        <w:tblCellMar>
          <w:top w:w="0" w:type="dxa"/>
          <w:left w:w="5" w:type="dxa"/>
          <w:bottom w:w="0" w:type="dxa"/>
          <w:right w:w="98" w:type="dxa"/>
        </w:tblCellMar>
      </w:tblPr>
      <w:tblGrid>
        <w:gridCol w:w="6254"/>
        <w:gridCol w:w="2612"/>
      </w:tblGrid>
      <w:tr>
        <w:trPr>
          <w:trHeight w:val="312"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Мероприятие</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center"/>
              <w:rPr>
                <w:rFonts w:ascii="Arial" w:hAnsi="Arial"/>
              </w:rPr>
            </w:pPr>
            <w:r>
              <w:rPr>
                <w:rFonts w:ascii="Arial" w:hAnsi="Arial"/>
                <w:bCs/>
                <w:color w:val="000000"/>
                <w:kern w:val="0"/>
                <w:sz w:val="20"/>
              </w:rPr>
              <w:t>Отметка о выполнении</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Транспортировку препаратов производить в специализированном транспорте. Исключить проливы, просыпку и другие механические повреждения при транспортировке</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Сбор и хранение проводить в специально отведенных местах</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Следить за соблюдением требований НД утилизирующей компанией в момент передачи и транспортировки препаратов подлежащих утилизации</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left"/>
              <w:rPr>
                <w:rFonts w:ascii="Arial" w:hAnsi="Arial"/>
              </w:rPr>
            </w:pPr>
            <w:r>
              <w:rPr>
                <w:rFonts w:eastAsia="Calibri" w:ascii="Arial" w:hAnsi="Arial"/>
                <w:color w:val="000000"/>
                <w:kern w:val="0"/>
                <w:sz w:val="20"/>
                <w:lang w:eastAsia="en-US"/>
              </w:rPr>
              <w:t>Своевременно утилизировать препараты на пригодные к дальнейшему использованию</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color w:val="000000"/>
                <w:kern w:val="0"/>
                <w:sz w:val="20"/>
                <w:lang w:eastAsia="en-US"/>
              </w:rPr>
              <w:t>Постоянно</w:t>
            </w:r>
          </w:p>
        </w:tc>
      </w:tr>
      <w:tr>
        <w:trPr>
          <w:trHeight w:val="401" w:hRule="atLeast"/>
        </w:trPr>
        <w:tc>
          <w:tcPr>
            <w:tcW w:w="6254"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jc w:val="left"/>
              <w:rPr>
                <w:rFonts w:ascii="Arial" w:hAnsi="Arial"/>
              </w:rPr>
            </w:pPr>
            <w:r>
              <w:rPr>
                <w:rFonts w:ascii="Arial" w:hAnsi="Arial"/>
                <w:color w:val="000000"/>
                <w:kern w:val="0"/>
                <w:sz w:val="20"/>
              </w:rPr>
              <w:t>Применение СИЗ персоналом</w:t>
            </w:r>
          </w:p>
        </w:tc>
        <w:tc>
          <w:tcPr>
            <w:tcW w:w="2612" w:type="dxa"/>
            <w:tcBorders>
              <w:top w:val="single" w:sz="4" w:space="0" w:color="00000A"/>
              <w:left w:val="single" w:sz="4" w:space="0" w:color="00000A"/>
              <w:bottom w:val="single" w:sz="4" w:space="0" w:color="00000A"/>
              <w:right w:val="single" w:sz="4" w:space="0" w:color="00000A"/>
            </w:tcBorders>
            <w:shd w:color="auto" w:fill="auto" w:val="clear"/>
          </w:tcPr>
          <w:p>
            <w:pPr>
              <w:pStyle w:val="Normal"/>
              <w:widowControl w:val="false"/>
              <w:suppressAutoHyphens w:val="true"/>
              <w:spacing w:lineRule="auto" w:line="276" w:before="0" w:after="200"/>
              <w:jc w:val="center"/>
              <w:rPr>
                <w:rFonts w:ascii="Arial" w:hAnsi="Arial"/>
              </w:rPr>
            </w:pPr>
            <w:r>
              <w:rPr>
                <w:rFonts w:eastAsia="Calibri" w:ascii="Arial" w:hAnsi="Arial"/>
                <w:bCs/>
                <w:color w:val="000000"/>
                <w:kern w:val="0"/>
                <w:sz w:val="20"/>
                <w:lang w:eastAsia="en-US"/>
              </w:rPr>
              <w:t>Постоянно</w:t>
            </w:r>
          </w:p>
        </w:tc>
      </w:tr>
    </w:tbl>
    <w:p>
      <w:pPr>
        <w:pStyle w:val="Normal"/>
        <w:jc w:val="both"/>
        <w:rPr>
          <w:rFonts w:ascii="Arial" w:hAnsi="Arial"/>
        </w:rPr>
      </w:pPr>
      <w:r>
        <w:rPr>
          <w:rFonts w:ascii="Arial" w:hAnsi="Arial"/>
        </w:rPr>
      </w:r>
    </w:p>
    <w:sectPr>
      <w:type w:val="nextPage"/>
      <w:pgSz w:w="11906" w:h="16838"/>
      <w:pgMar w:left="1701" w:right="850" w:gutter="0" w:header="0" w:top="709"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Blackadder ITC">
    <w:charset w:val="cc"/>
    <w:family w:val="roman"/>
    <w:pitch w:val="variable"/>
  </w:font>
  <w:font w:name="Times New Roman">
    <w:charset w:val="cc"/>
    <w:family w:val="roman"/>
    <w:pitch w:val="variable"/>
  </w:font>
  <w:font w:name="Symbol">
    <w:charset w:val="cc"/>
    <w:family w:val="roman"/>
    <w:pitch w:val="variable"/>
  </w:font>
  <w:font w:name="Courier New">
    <w:charset w:val="cc"/>
    <w:family w:val="roman"/>
    <w:pitch w:val="variable"/>
  </w:font>
  <w:font w:name="Liberation Sans">
    <w:altName w:val="Arial"/>
    <w:charset w:val="cc"/>
    <w:family w:val="swiss"/>
    <w:pitch w:val="variable"/>
  </w:font>
  <w:font w:name="Times New Roman PSMT">
    <w:charset w:val="cc"/>
    <w:family w:val="roman"/>
    <w:pitch w:val="variable"/>
  </w:font>
  <w:font w:name="Arial">
    <w:charset w:val="cc"/>
    <w:family w:val="swiss"/>
    <w:pitch w:val="variable"/>
  </w:font>
  <w:font w:name="Arial">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1065" w:hanging="360"/>
      </w:pPr>
      <w:rPr>
        <w:rFonts w:ascii="Symbol" w:hAnsi="Symbol" w:cs="Symbol" w:hint="default"/>
        <w:b w:val="false"/>
      </w:rPr>
    </w:lvl>
    <w:lvl w:ilvl="1">
      <w:start w:val="1"/>
      <w:numFmt w:val="bullet"/>
      <w:lvlText w:val="o"/>
      <w:lvlJc w:val="left"/>
      <w:pPr>
        <w:tabs>
          <w:tab w:val="num" w:pos="0"/>
        </w:tabs>
        <w:ind w:left="1785" w:hanging="360"/>
      </w:pPr>
      <w:rPr>
        <w:rFonts w:ascii="Courier New" w:hAnsi="Courier New" w:cs="Courier New" w:hint="default"/>
      </w:rPr>
    </w:lvl>
    <w:lvl w:ilvl="2">
      <w:start w:val="1"/>
      <w:numFmt w:val="bullet"/>
      <w:lvlText w:val=""/>
      <w:lvlJc w:val="left"/>
      <w:pPr>
        <w:tabs>
          <w:tab w:val="num" w:pos="0"/>
        </w:tabs>
        <w:ind w:left="2505" w:hanging="360"/>
      </w:pPr>
      <w:rPr>
        <w:rFonts w:ascii="Wingdings" w:hAnsi="Wingdings" w:cs="Wingdings" w:hint="default"/>
      </w:rPr>
    </w:lvl>
    <w:lvl w:ilvl="3">
      <w:start w:val="1"/>
      <w:numFmt w:val="bullet"/>
      <w:lvlText w:val=""/>
      <w:lvlJc w:val="left"/>
      <w:pPr>
        <w:tabs>
          <w:tab w:val="num" w:pos="0"/>
        </w:tabs>
        <w:ind w:left="3225" w:hanging="360"/>
      </w:pPr>
      <w:rPr>
        <w:rFonts w:ascii="Symbol" w:hAnsi="Symbol" w:cs="Symbol" w:hint="default"/>
      </w:rPr>
    </w:lvl>
    <w:lvl w:ilvl="4">
      <w:start w:val="1"/>
      <w:numFmt w:val="bullet"/>
      <w:lvlText w:val="o"/>
      <w:lvlJc w:val="left"/>
      <w:pPr>
        <w:tabs>
          <w:tab w:val="num" w:pos="0"/>
        </w:tabs>
        <w:ind w:left="3945" w:hanging="360"/>
      </w:pPr>
      <w:rPr>
        <w:rFonts w:ascii="Courier New" w:hAnsi="Courier New" w:cs="Courier New" w:hint="default"/>
      </w:rPr>
    </w:lvl>
    <w:lvl w:ilvl="5">
      <w:start w:val="1"/>
      <w:numFmt w:val="bullet"/>
      <w:lvlText w:val=""/>
      <w:lvlJc w:val="left"/>
      <w:pPr>
        <w:tabs>
          <w:tab w:val="num" w:pos="0"/>
        </w:tabs>
        <w:ind w:left="4665" w:hanging="360"/>
      </w:pPr>
      <w:rPr>
        <w:rFonts w:ascii="Wingdings" w:hAnsi="Wingdings" w:cs="Wingdings" w:hint="default"/>
      </w:rPr>
    </w:lvl>
    <w:lvl w:ilvl="6">
      <w:start w:val="1"/>
      <w:numFmt w:val="bullet"/>
      <w:lvlText w:val=""/>
      <w:lvlJc w:val="left"/>
      <w:pPr>
        <w:tabs>
          <w:tab w:val="num" w:pos="0"/>
        </w:tabs>
        <w:ind w:left="5385" w:hanging="360"/>
      </w:pPr>
      <w:rPr>
        <w:rFonts w:ascii="Symbol" w:hAnsi="Symbol" w:cs="Symbol" w:hint="default"/>
      </w:rPr>
    </w:lvl>
    <w:lvl w:ilvl="7">
      <w:start w:val="1"/>
      <w:numFmt w:val="bullet"/>
      <w:lvlText w:val="o"/>
      <w:lvlJc w:val="left"/>
      <w:pPr>
        <w:tabs>
          <w:tab w:val="num" w:pos="0"/>
        </w:tabs>
        <w:ind w:left="6105" w:hanging="360"/>
      </w:pPr>
      <w:rPr>
        <w:rFonts w:ascii="Courier New" w:hAnsi="Courier New" w:cs="Courier New" w:hint="default"/>
      </w:rPr>
    </w:lvl>
    <w:lvl w:ilvl="8">
      <w:start w:val="1"/>
      <w:numFmt w:val="bullet"/>
      <w:lvlText w:val=""/>
      <w:lvlJc w:val="left"/>
      <w:pPr>
        <w:tabs>
          <w:tab w:val="num" w:pos="0"/>
        </w:tabs>
        <w:ind w:left="6825"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408"/>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Blackadder ITC" w:hAnsi="Blackadder ITC" w:eastAsia="Blackadder ITC" w:cs="" w:asciiTheme="minorHAnsi" w:cstheme="minorBidi" w:eastAsiaTheme="minorHAnsi" w:hAnsiTheme="minorHAnsi"/>
        <w:lang w:val="ru-RU" w:eastAsia="zh-CN" w:bidi="hi-IN"/>
      </w:rPr>
    </w:rPrDefault>
    <w:pPrDefault>
      <w:pPr>
        <w:suppressAutoHyphens w:val="true"/>
      </w:pPr>
    </w:pPrDefault>
  </w:docDefaults>
  <w:latentStyles w:defLockedState="0" w:defUIPriority="99" w:defSemiHidden="1" w:defUnhideWhenUsed="1" w:defQFormat="0" w:count="260">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lsdException w:name="footer" w:uiPriority="99"/>
    <w:lsdException w:name="index heading" w:uiPriority="99"/>
    <w:lsdException w:name="caption" w:uiPriority="0" w:semiHidden="0" w:unhideWhenUsed="0"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lsdException w:name="macro" w:uiPriority="99"/>
    <w:lsdException w:name="toa heading" w:uiPriority="99"/>
    <w:lsdException w:name="List" w:uiPriority="0" w:semiHidden="0" w:unhideWhenUsed="0"/>
    <w:lsdException w:name="List Bullet" w:uiPriority="99"/>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10" w:semiHidden="0" w:unhideWhenUsed="0" w:qFormat="1"/>
    <w:lsdException w:name="Closing" w:uiPriority="99"/>
    <w:lsdException w:name="Signature" w:uiPriority="99"/>
    <w:lsdException w:name="Default Paragraph Font" w:uiPriority="1" w:qFormat="1"/>
    <w:lsdException w:name="Body Text" w:uiPriority="0" w:semiHidden="0" w:unhideWhenUsed="0"/>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11"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FollowedHyperlink" w:uiPriority="99"/>
    <w:lsdException w:name="Strong" w:uiPriority="22" w:semiHidden="0" w:unhideWhenUsed="0" w:qFormat="1"/>
    <w:lsdException w:name="Emphasis" w:uiPriority="20" w:semiHidden="0" w:unhideWhenUsed="0" w:qFormat="1"/>
    <w:lsdException w:name="Document Map" w:uiPriority="99"/>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59" w:semiHidden="0" w:unhideWhenUsed="0"/>
    <w:lsdException w:name="Table Theme" w:uiPriority="99"/>
    <w:lsdException w:name="List Paragraph" w:uiPriority="34" w:semiHidden="0" w:unhideWhenUsed="0" w:qFormat="1"/>
  </w:latentStyles>
  <w:style w:type="paragraph" w:styleId="Normal" w:default="1">
    <w:name w:val="Normal"/>
    <w:uiPriority w:val="0"/>
    <w:qFormat/>
    <w:pPr>
      <w:widowControl/>
      <w:suppressAutoHyphens w:val="true"/>
      <w:bidi w:val="0"/>
      <w:spacing w:lineRule="auto" w:line="240" w:before="0" w:after="0"/>
      <w:jc w:val="left"/>
    </w:pPr>
    <w:rPr>
      <w:rFonts w:ascii="Times New Roman" w:hAnsi="Times New Roman" w:eastAsia="Times New Roman" w:cs="Times New Roman"/>
      <w:color w:val="00000A"/>
      <w:kern w:val="0"/>
      <w:sz w:val="24"/>
      <w:szCs w:val="24"/>
      <w:lang w:val="ru-RU" w:eastAsia="ru-RU" w:bidi="ar-SA"/>
    </w:rPr>
  </w:style>
  <w:style w:type="character" w:styleId="DefaultParagraphFont" w:default="1">
    <w:name w:val="Default Paragraph Font"/>
    <w:uiPriority w:val="1"/>
    <w:semiHidden/>
    <w:unhideWhenUsed/>
    <w:qFormat/>
    <w:rPr/>
  </w:style>
  <w:style w:type="character" w:styleId="1">
    <w:name w:val="Основной шрифт абзаца1"/>
    <w:qFormat/>
    <w:rPr/>
  </w:style>
  <w:style w:type="character" w:styleId="WW8Num1z3">
    <w:name w:val="WW8Num1z3"/>
    <w:qFormat/>
    <w:rPr>
      <w:rFonts w:ascii="Symbol" w:hAnsi="Symbol" w:cs="Symbol"/>
    </w:rPr>
  </w:style>
  <w:style w:type="character" w:styleId="WW8Num1z1">
    <w:name w:val="WW8Num1z1"/>
    <w:qFormat/>
    <w:rPr>
      <w:rFonts w:ascii="Courier New" w:hAnsi="Courier New" w:cs="Courier New"/>
    </w:rPr>
  </w:style>
  <w:style w:type="character" w:styleId="Style14">
    <w:name w:val="Основной шрифт абзаца"/>
    <w:qFormat/>
    <w:rPr/>
  </w:style>
  <w:style w:type="character" w:styleId="WW8Num2z8">
    <w:name w:val="WW8Num2z8"/>
    <w:qFormat/>
    <w:rPr/>
  </w:style>
  <w:style w:type="character" w:styleId="WW8Num2z7">
    <w:name w:val="WW8Num2z7"/>
    <w:qFormat/>
    <w:rPr/>
  </w:style>
  <w:style w:type="character" w:styleId="WW8Num2z6">
    <w:name w:val="WW8Num2z6"/>
    <w:qFormat/>
    <w:rPr/>
  </w:style>
  <w:style w:type="character" w:styleId="WW8Num2z5">
    <w:name w:val="WW8Num2z5"/>
    <w:qFormat/>
    <w:rPr/>
  </w:style>
  <w:style w:type="character" w:styleId="WW8Num2z4">
    <w:name w:val="WW8Num2z4"/>
    <w:qFormat/>
    <w:rPr/>
  </w:style>
  <w:style w:type="character" w:styleId="WW8Num2z3">
    <w:name w:val="WW8Num2z3"/>
    <w:qFormat/>
    <w:rPr/>
  </w:style>
  <w:style w:type="character" w:styleId="WW8Num2z2">
    <w:name w:val="WW8Num2z2"/>
    <w:qFormat/>
    <w:rPr/>
  </w:style>
  <w:style w:type="character" w:styleId="WW8Num2z1">
    <w:name w:val="WW8Num2z1"/>
    <w:qFormat/>
    <w:rPr/>
  </w:style>
  <w:style w:type="character" w:styleId="WW8Num2z0">
    <w:name w:val="WW8Num2z0"/>
    <w:qFormat/>
    <w:rPr/>
  </w:style>
  <w:style w:type="paragraph" w:styleId="Style15" w:customStyle="1">
    <w:name w:val="Заголовок"/>
    <w:basedOn w:val="Normal"/>
    <w:next w:val="BodyText"/>
    <w:uiPriority w:val="0"/>
    <w:qFormat/>
    <w:pPr>
      <w:keepNext w:val="true"/>
      <w:spacing w:before="240" w:after="120"/>
    </w:pPr>
    <w:rPr>
      <w:rFonts w:ascii="Liberation Sans" w:hAnsi="Liberation Sans" w:eastAsia="WenQuanYi Zen Hei Sharp" w:cs="Lohit Devanagari"/>
      <w:sz w:val="28"/>
      <w:szCs w:val="28"/>
    </w:rPr>
  </w:style>
  <w:style w:type="paragraph" w:styleId="BodyText">
    <w:name w:val="Body Text"/>
    <w:basedOn w:val="Normal"/>
    <w:uiPriority w:val="0"/>
    <w:pPr>
      <w:spacing w:lineRule="auto" w:line="288" w:before="0" w:after="140"/>
    </w:pPr>
    <w:rPr/>
  </w:style>
  <w:style w:type="paragraph" w:styleId="List">
    <w:name w:val="List"/>
    <w:basedOn w:val="BodyText"/>
    <w:uiPriority w:val="0"/>
    <w:pPr/>
    <w:rPr>
      <w:rFonts w:cs="Lohit Devanagari"/>
    </w:rPr>
  </w:style>
  <w:style w:type="paragraph" w:styleId="Caption">
    <w:name w:val="caption"/>
    <w:basedOn w:val="Normal"/>
    <w:uiPriority w:val="0"/>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ohit Devanagari"/>
    </w:rPr>
  </w:style>
  <w:style w:type="paragraph" w:styleId="user">
    <w:name w:val="Заголовок (user)"/>
    <w:basedOn w:val="Normal"/>
    <w:next w:val="BodyText"/>
    <w:qFormat/>
    <w:pPr>
      <w:keepNext w:val="true"/>
      <w:spacing w:before="240" w:after="120"/>
    </w:pPr>
    <w:rPr>
      <w:rFonts w:ascii="Liberation Sans" w:hAnsi="Liberation Sans" w:eastAsia="Microsoft YaHei" w:cs="Lucida Sans"/>
      <w:sz w:val="28"/>
      <w:szCs w:val="28"/>
    </w:rPr>
  </w:style>
  <w:style w:type="paragraph" w:styleId="user1">
    <w:name w:val="Указатель (user)"/>
    <w:basedOn w:val="Normal"/>
    <w:qFormat/>
    <w:pPr>
      <w:suppressLineNumbers/>
    </w:pPr>
    <w:rPr>
      <w:rFonts w:cs="Lucida Sans"/>
    </w:rPr>
  </w:style>
  <w:style w:type="paragraph" w:styleId="11" w:customStyle="1">
    <w:name w:val="Указатель1"/>
    <w:basedOn w:val="Normal"/>
    <w:uiPriority w:val="0"/>
    <w:qFormat/>
    <w:pPr>
      <w:suppressLineNumbers/>
    </w:pPr>
    <w:rPr>
      <w:rFonts w:cs="Lohit Devanagari"/>
    </w:rPr>
  </w:style>
  <w:style w:type="paragraph" w:styleId="Default" w:customStyle="1">
    <w:name w:val="Default"/>
    <w:uiPriority w:val="0"/>
    <w:qFormat/>
    <w:pPr>
      <w:widowControl/>
      <w:suppressAutoHyphens w:val="true"/>
      <w:bidi w:val="0"/>
      <w:spacing w:lineRule="auto" w:line="240" w:before="0" w:after="0"/>
      <w:jc w:val="left"/>
    </w:pPr>
    <w:rPr>
      <w:rFonts w:ascii="Times New Roman PSMT" w:hAnsi="Times New Roman PSMT" w:eastAsia="Blackadder ITC" w:cs="Times New Roman PSMT"/>
      <w:color w:val="000000"/>
      <w:kern w:val="0"/>
      <w:sz w:val="24"/>
      <w:szCs w:val="24"/>
      <w:lang w:val="ru-RU" w:eastAsia="en-US" w:bidi="ar-SA"/>
    </w:rPr>
  </w:style>
  <w:style w:type="paragraph" w:styleId="ListParagraph">
    <w:name w:val="List Paragraph"/>
    <w:basedOn w:val="Normal"/>
    <w:uiPriority w:val="34"/>
    <w:qFormat/>
    <w:pPr>
      <w:spacing w:before="0" w:after="0"/>
      <w:ind w:hanging="0" w:left="720"/>
      <w:contextualSpacing/>
    </w:pPr>
    <w:rPr/>
  </w:style>
  <w:style w:type="paragraph" w:styleId="Style17" w:customStyle="1">
    <w:name w:val="Содержимое таблицы"/>
    <w:basedOn w:val="Normal"/>
    <w:uiPriority w:val="0"/>
    <w:qFormat/>
    <w:pPr/>
    <w:rPr/>
  </w:style>
  <w:style w:type="paragraph" w:styleId="Style18" w:customStyle="1">
    <w:name w:val="Заголовок таблицы"/>
    <w:basedOn w:val="Style17"/>
    <w:uiPriority w:val="0"/>
    <w:qFormat/>
    <w:pPr/>
    <w:rPr/>
  </w:style>
  <w:style w:type="paragraph" w:styleId="msonormalmailrucssattributepostfix">
    <w:name w:val="msonormal_mailru_css_attribute_postfix"/>
    <w:basedOn w:val="Normal"/>
    <w:qFormat/>
    <w:pPr>
      <w:spacing w:lineRule="exact" w:line="240" w:before="280" w:after="280"/>
    </w:pPr>
    <w:rPr>
      <w:rFonts w:ascii="Times New Roman" w:hAnsi="Times New Roman" w:eastAsia="Times New Roman" w:cs="Times New Roman"/>
    </w:rPr>
  </w:style>
  <w:style w:type="paragraph" w:styleId="Style19">
    <w:name w:val="Абзац списка"/>
    <w:basedOn w:val="Normal"/>
    <w:qFormat/>
    <w:pPr>
      <w:spacing w:before="0" w:after="0"/>
      <w:ind w:hanging="0" w:left="720"/>
      <w:contextualSpacing/>
    </w:pPr>
    <w:rPr/>
  </w:style>
  <w:style w:type="paragraph" w:styleId="Style20">
    <w:name w:val="Название объекта"/>
    <w:basedOn w:val="Normal"/>
    <w:qFormat/>
    <w:pPr>
      <w:spacing w:before="120" w:after="120"/>
    </w:pPr>
    <w:rPr>
      <w:rFonts w:cs="Lohit Devanagari"/>
      <w:i/>
      <w:iCs/>
    </w:rPr>
  </w:style>
  <w:style w:type="paragraph" w:styleId="user2">
    <w:name w:val="Содержимое таблицы (user)"/>
    <w:basedOn w:val="Normal"/>
    <w:qFormat/>
    <w:pPr/>
    <w:rPr/>
  </w:style>
  <w:style w:type="table" w:default="1" w:styleId="3">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Другая 1">
      <a:majorFont>
        <a:latin typeface="Blackadder ITC" pitchFamily="0" charset="1"/>
        <a:ea typeface=""/>
        <a:cs typeface=""/>
      </a:majorFont>
      <a:minorFont>
        <a:latin typeface="Blackadder ITC"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C178191-A73F-448A-8A05-EBAF153225FB}">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94</TotalTime>
  <Application>LibreOffice/26.2.1.2$Windows_X86_64 LibreOffice_project/620$Build-2</Application>
  <AppVersion>15.0000</AppVersion>
  <Pages>5</Pages>
  <Words>1477</Words>
  <Characters>10515</Characters>
  <CharactersWithSpaces>12095</CharactersWithSpaces>
  <Paragraphs>128</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Comp_1</dc:creator>
  <dc:description/>
  <dc:language>ru-RU</dc:language>
  <cp:lastModifiedBy/>
  <dcterms:modified xsi:type="dcterms:W3CDTF">2026-04-08T12:30:25Z</dcterms:modified>
  <cp:revision>85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ICV">
    <vt:lpwstr>F6C9B01B8578458A95156506E4D9771A</vt:lpwstr>
  </property>
  <property fmtid="{D5CDD505-2E9C-101B-9397-08002B2CF9AE}" pid="4" name="KSOProductBuildVer">
    <vt:lpwstr>1049-11.2.0.10382</vt:lpwstr>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