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Times New Roman" w:hAnsi="Times New Roman"/>
          <w:b/>
          <w:b/>
          <w:lang w:val="en-US"/>
        </w:rPr>
      </w:pPr>
      <w:r>
        <w:rPr>
          <w:b/>
          <w:lang w:val="en-US"/>
        </w:rPr>
      </w:r>
    </w:p>
    <w:p>
      <w:pPr>
        <w:pStyle w:val="Normal"/>
        <w:rPr>
          <w:rFonts w:ascii="Arial" w:hAnsi="Arial"/>
        </w:rPr>
      </w:pPr>
      <w:r>
        <w:rPr>
          <w:rFonts w:ascii="Arial" w:hAnsi="Arial"/>
          <w:b/>
        </w:rPr>
        <w:t>1.ХАРАКТЕРИСТИКА ОБЪЕКТА</w:t>
      </w:r>
    </w:p>
    <w:p>
      <w:pPr>
        <w:pStyle w:val="Normal"/>
        <w:jc w:val="center"/>
        <w:rPr>
          <w:rFonts w:ascii="Arial" w:hAnsi="Arial"/>
        </w:rPr>
      </w:pPr>
      <w:r>
        <w:rPr>
          <w:rFonts w:ascii="Arial" w:hAnsi="Arial"/>
          <w:b/>
        </w:rPr>
        <w:t xml:space="preserve">                                                                                              </w:t>
      </w:r>
    </w:p>
    <w:p>
      <w:pPr>
        <w:pStyle w:val="Default"/>
        <w:jc w:val="both"/>
        <w:rPr>
          <w:rFonts w:ascii="Arial" w:hAnsi="Arial"/>
        </w:rPr>
      </w:pPr>
      <w:r>
        <w:rPr>
          <w:rFonts w:ascii="Arial" w:hAnsi="Arial"/>
        </w:rPr>
        <w:t xml:space="preserve">        </w:t>
      </w:r>
      <w:r>
        <w:rPr>
          <w:rFonts w:ascii="Arial" w:hAnsi="Arial"/>
          <w:sz w:val="24"/>
          <w:szCs w:val="24"/>
          <w:shd w:fill="auto" w:val="clear"/>
          <w:lang w:val="kk-KZ"/>
        </w:rPr>
        <w:t>ТО</w:t>
      </w:r>
      <w:r>
        <w:rPr>
          <w:rFonts w:ascii="Arial" w:hAnsi="Arial"/>
          <w:sz w:val="24"/>
          <w:szCs w:val="24"/>
          <w:shd w:fill="auto" w:val="clear"/>
        </w:rPr>
        <w:t>О «</w:t>
      </w:r>
      <w:r>
        <w:rPr>
          <w:rFonts w:eastAsia="" w:cs="Times New Roman" w:ascii="Arial" w:hAnsi="Arial" w:eastAsiaTheme="minorEastAsia"/>
          <w:color w:val="202124"/>
          <w:sz w:val="24"/>
          <w:szCs w:val="24"/>
          <w:shd w:fill="auto" w:val="clear"/>
        </w:rPr>
        <w:t>Rogers Pharma</w:t>
      </w:r>
      <w:r>
        <w:rPr>
          <w:rFonts w:ascii="Arial" w:hAnsi="Arial"/>
          <w:sz w:val="24"/>
          <w:szCs w:val="24"/>
          <w:shd w:fill="auto" w:val="clear"/>
        </w:rPr>
        <w:t>»</w:t>
      </w:r>
      <w:r>
        <w:rPr>
          <w:rFonts w:ascii="Arial" w:hAnsi="Arial"/>
        </w:rPr>
        <w:t xml:space="preserve">  находится по адресу: город Алматы, Бостандыкский район, Солодовникова 21, офис. 289. В целях утилизации медицинских препаратов, непригодных для дальнейшего использования (с истекшим сроком годности и т.д.) заключен договор с ТОО «Олжас».</w:t>
      </w:r>
    </w:p>
    <w:p>
      <w:pPr>
        <w:pStyle w:val="Default"/>
        <w:ind w:firstLine="708"/>
        <w:jc w:val="both"/>
        <w:rPr>
          <w:rFonts w:ascii="Arial" w:hAnsi="Arial"/>
        </w:rPr>
      </w:pPr>
      <w:r>
        <w:rPr>
          <w:rFonts w:cs="Arial" w:ascii="Arial" w:hAnsi="Arial"/>
          <w:sz w:val="24"/>
          <w:szCs w:val="24"/>
          <w:lang w:val="kk-KZ"/>
        </w:rPr>
        <w:t>Утилизация, будет осуществлена методом дробления. Н</w:t>
      </w:r>
      <w:r>
        <w:rPr>
          <w:rFonts w:ascii="Arial" w:hAnsi="Arial"/>
        </w:rPr>
        <w:t>а территории ТОО «Олжас», расположенного по адресу: Алматинская область, Илийский район, п. Боралдай, Менделеева, 10Е.</w:t>
      </w:r>
    </w:p>
    <w:p>
      <w:pPr>
        <w:pStyle w:val="Default"/>
        <w:ind w:firstLine="708"/>
        <w:rPr>
          <w:rFonts w:ascii="Arial" w:hAnsi="Arial"/>
        </w:rPr>
      </w:pPr>
      <w:r>
        <w:rPr>
          <w:rFonts w:ascii="Arial" w:hAnsi="Arial"/>
        </w:rPr>
        <w:t xml:space="preserve">Объемом утилизируемых препаратов  -  </w:t>
      </w:r>
      <w:r>
        <w:rPr>
          <w:rFonts w:ascii="Arial" w:hAnsi="Arial"/>
          <w:lang w:val="kk-KZ"/>
        </w:rPr>
        <w:t>820</w:t>
      </w:r>
      <w:r>
        <w:rPr>
          <w:rFonts w:ascii="Arial" w:hAnsi="Arial"/>
          <w:lang w:val="en-US"/>
        </w:rPr>
        <w:t>,00</w:t>
      </w:r>
      <w:r>
        <w:rPr>
          <w:rFonts w:ascii="Arial" w:hAnsi="Arial"/>
          <w:lang w:val="kk-KZ"/>
        </w:rPr>
        <w:t xml:space="preserve"> кг </w:t>
      </w:r>
      <w:r>
        <w:rPr>
          <w:rFonts w:ascii="Arial" w:hAnsi="Arial"/>
        </w:rPr>
        <w:t>(</w:t>
      </w:r>
      <w:r>
        <w:rPr>
          <w:rFonts w:ascii="Arial" w:hAnsi="Arial"/>
          <w:lang w:val="kk-KZ"/>
        </w:rPr>
        <w:t>0</w:t>
      </w:r>
      <w:r>
        <w:rPr>
          <w:rFonts w:ascii="Arial" w:hAnsi="Arial"/>
          <w:lang w:val="en-US"/>
        </w:rPr>
        <w:t>,</w:t>
      </w:r>
      <w:r>
        <w:rPr>
          <w:rFonts w:ascii="Arial" w:hAnsi="Arial"/>
          <w:lang w:val="kk-KZ"/>
        </w:rPr>
        <w:t>820</w:t>
      </w:r>
      <w:r>
        <w:rPr>
          <w:rFonts w:ascii="Arial" w:hAnsi="Arial"/>
        </w:rPr>
        <w:t xml:space="preserve"> тонн)</w:t>
      </w:r>
    </w:p>
    <w:p>
      <w:pPr>
        <w:pStyle w:val="Default"/>
        <w:ind w:firstLine="708"/>
        <w:rPr>
          <w:rFonts w:ascii="Arial" w:hAnsi="Arial"/>
        </w:rPr>
      </w:pPr>
      <w:r>
        <w:rPr>
          <w:rFonts w:ascii="Arial" w:hAnsi="Arial"/>
        </w:rPr>
        <w:t>Перечень препаратов подлежащих утилизации:</w:t>
      </w:r>
    </w:p>
    <w:tbl>
      <w:tblPr>
        <w:tblW w:w="9568" w:type="dxa"/>
        <w:jc w:val="left"/>
        <w:tblInd w:w="50" w:type="dxa"/>
        <w:tblLayout w:type="fixed"/>
        <w:tblCellMar>
          <w:top w:w="55" w:type="dxa"/>
          <w:left w:w="55" w:type="dxa"/>
          <w:bottom w:w="55" w:type="dxa"/>
          <w:right w:w="55" w:type="dxa"/>
        </w:tblCellMar>
      </w:tblPr>
      <w:tblGrid>
        <w:gridCol w:w="6347"/>
        <w:gridCol w:w="1642"/>
        <w:gridCol w:w="1579"/>
      </w:tblGrid>
      <w:tr>
        <w:trPr/>
        <w:tc>
          <w:tcPr>
            <w:tcW w:w="6347" w:type="dxa"/>
            <w:tcBorders>
              <w:top w:val="single" w:sz="4" w:space="0" w:color="000000"/>
              <w:left w:val="single" w:sz="4" w:space="0" w:color="000000"/>
              <w:bottom w:val="single" w:sz="4" w:space="0" w:color="000000"/>
            </w:tcBorders>
          </w:tcPr>
          <w:p>
            <w:pPr>
              <w:pStyle w:val="Normal"/>
              <w:widowControl w:val="false"/>
              <w:spacing w:lineRule="auto" w:line="276" w:before="0" w:after="86"/>
              <w:jc w:val="center"/>
              <w:rPr/>
            </w:pPr>
            <w:r>
              <w:rPr>
                <w:rFonts w:cs="Times New Roman"/>
                <w:b/>
                <w:bCs/>
                <w:color w:val="000000"/>
                <w:sz w:val="28"/>
                <w:szCs w:val="28"/>
              </w:rPr>
              <w:t>Н</w:t>
            </w:r>
            <w:r>
              <w:rPr>
                <w:rFonts w:cs="Times New Roman"/>
                <w:b/>
                <w:bCs/>
                <w:color w:val="000000"/>
                <w:sz w:val="28"/>
                <w:szCs w:val="28"/>
                <w:lang w:val="kk-KZ"/>
              </w:rPr>
              <w:t>а</w:t>
            </w:r>
            <w:r>
              <w:rPr>
                <w:rFonts w:cs="Times New Roman"/>
                <w:b/>
                <w:bCs/>
                <w:color w:val="000000"/>
                <w:sz w:val="28"/>
                <w:szCs w:val="28"/>
              </w:rPr>
              <w:t>именование препарата</w:t>
            </w:r>
          </w:p>
        </w:tc>
        <w:tc>
          <w:tcPr>
            <w:tcW w:w="1642" w:type="dxa"/>
            <w:tcBorders>
              <w:top w:val="single" w:sz="4" w:space="0" w:color="000000"/>
              <w:left w:val="single" w:sz="4" w:space="0" w:color="000000"/>
              <w:bottom w:val="single" w:sz="4" w:space="0" w:color="000000"/>
            </w:tcBorders>
          </w:tcPr>
          <w:p>
            <w:pPr>
              <w:pStyle w:val="Normal"/>
              <w:widowControl w:val="false"/>
              <w:spacing w:lineRule="auto" w:line="276" w:before="0" w:after="200"/>
              <w:jc w:val="center"/>
              <w:rPr>
                <w:rFonts w:ascii="Times New Roman" w:hAnsi="Times New Roman" w:cs="Times New Roman"/>
                <w:b/>
                <w:b/>
                <w:bCs/>
                <w:color w:val="000000"/>
                <w:sz w:val="28"/>
                <w:szCs w:val="28"/>
              </w:rPr>
            </w:pPr>
            <w:r>
              <w:rPr>
                <w:rFonts w:cs="Times New Roman"/>
                <w:b/>
                <w:bCs/>
                <w:color w:val="000000"/>
                <w:sz w:val="28"/>
                <w:szCs w:val="28"/>
              </w:rPr>
              <w:t>Количество</w:t>
            </w:r>
          </w:p>
        </w:tc>
        <w:tc>
          <w:tcPr>
            <w:tcW w:w="1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Times New Roman" w:hAnsi="Times New Roman" w:cs="Times New Roman"/>
                <w:b/>
                <w:b/>
                <w:bCs/>
                <w:color w:val="000000"/>
                <w:sz w:val="28"/>
                <w:szCs w:val="28"/>
              </w:rPr>
            </w:pPr>
            <w:r>
              <w:rPr>
                <w:rFonts w:cs="Times New Roman"/>
                <w:b/>
                <w:bCs/>
                <w:color w:val="000000"/>
                <w:sz w:val="28"/>
                <w:szCs w:val="28"/>
              </w:rPr>
              <w:t>Вес брутто / кг</w:t>
            </w:r>
          </w:p>
        </w:tc>
      </w:tr>
      <w:tr>
        <w:trPr/>
        <w:tc>
          <w:tcPr>
            <w:tcW w:w="6347" w:type="dxa"/>
            <w:tcBorders>
              <w:left w:val="single" w:sz="4" w:space="0" w:color="000000"/>
              <w:bottom w:val="single" w:sz="4" w:space="0" w:color="000000"/>
            </w:tcBorders>
          </w:tcPr>
          <w:p>
            <w:pPr>
              <w:pStyle w:val="Normal"/>
              <w:widowControl w:val="false"/>
              <w:bidi w:val="0"/>
              <w:snapToGrid w:val="false"/>
              <w:spacing w:before="0" w:after="0"/>
              <w:jc w:val="center"/>
              <w:rPr/>
            </w:pPr>
            <w:r>
              <w:rPr>
                <w:rFonts w:ascii="Arial" w:hAnsi="Arial"/>
                <w:b w:val="false"/>
                <w:i w:val="false"/>
                <w:strike w:val="false"/>
                <w:dstrike w:val="false"/>
                <w:outline w:val="false"/>
                <w:shadow w:val="false"/>
                <w:color w:val="000000"/>
                <w:sz w:val="20"/>
                <w:u w:val="none"/>
                <w:em w:val="none"/>
              </w:rPr>
              <w:t>ГЕПАРИН, РАСТВОР ДЛЯ ИНЪЕКЦИЙ 25000МЕ/5МЛ (РОДЖИПАРИН</w:t>
            </w:r>
          </w:p>
          <w:p>
            <w:pPr>
              <w:pStyle w:val="Normal"/>
              <w:widowControl w:val="false"/>
              <w:bidi w:val="0"/>
              <w:snapToGrid w:val="false"/>
              <w:spacing w:before="0" w:after="0"/>
              <w:jc w:val="center"/>
              <w:rPr/>
            </w:pPr>
            <w:r>
              <w:rPr>
                <w:rFonts w:ascii="Arial" w:hAnsi="Arial"/>
                <w:b w:val="false"/>
                <w:i w:val="false"/>
                <w:strike w:val="false"/>
                <w:dstrike w:val="false"/>
                <w:outline w:val="false"/>
                <w:shadow w:val="false"/>
                <w:color w:val="000000"/>
                <w:sz w:val="20"/>
                <w:u w:val="none"/>
                <w:em w:val="none"/>
              </w:rPr>
              <w:t xml:space="preserve">5000МЕ/МЛ), ПО 5МЛ ПРЕПАРАТА ВО ФЛАКОНЕ ИЗ СТЕКЛА, ПО 25 ФЛАКОНОВ В ПАЧКЕ ИЗ КАРТОНА.     </w:t>
            </w:r>
          </w:p>
        </w:tc>
        <w:tc>
          <w:tcPr>
            <w:tcW w:w="1642" w:type="dxa"/>
            <w:tcBorders>
              <w:left w:val="single" w:sz="4" w:space="0" w:color="000000"/>
              <w:bottom w:val="single" w:sz="4" w:space="0" w:color="000000"/>
            </w:tcBorders>
          </w:tcPr>
          <w:p>
            <w:pPr>
              <w:pStyle w:val="Style20"/>
              <w:widowControl w:val="false"/>
              <w:snapToGrid w:val="false"/>
              <w:spacing w:lineRule="auto" w:line="276" w:before="0" w:after="200"/>
              <w:jc w:val="center"/>
              <w:rPr>
                <w:lang w:val="ru-RU"/>
              </w:rPr>
            </w:pPr>
            <w:r>
              <w:rPr>
                <w:lang w:val="ru-RU"/>
              </w:rPr>
              <w:t>2058</w:t>
            </w:r>
          </w:p>
        </w:tc>
        <w:tc>
          <w:tcPr>
            <w:tcW w:w="1579" w:type="dxa"/>
            <w:tcBorders>
              <w:left w:val="single" w:sz="4" w:space="0" w:color="000000"/>
              <w:bottom w:val="single" w:sz="4" w:space="0" w:color="000000"/>
              <w:right w:val="single" w:sz="4" w:space="0" w:color="000000"/>
            </w:tcBorders>
          </w:tcPr>
          <w:p>
            <w:pPr>
              <w:pStyle w:val="Style20"/>
              <w:widowControl w:val="false"/>
              <w:snapToGrid w:val="false"/>
              <w:spacing w:lineRule="auto" w:line="276" w:before="0" w:after="200"/>
              <w:jc w:val="center"/>
              <w:rPr>
                <w:rFonts w:ascii="Times New Roman" w:hAnsi="Times New Roman" w:cs="Times New Roman"/>
                <w:sz w:val="28"/>
                <w:szCs w:val="28"/>
                <w:shd w:fill="auto" w:val="clear"/>
                <w:lang w:val="kk-KZ"/>
              </w:rPr>
            </w:pPr>
            <w:r>
              <w:rPr>
                <w:rFonts w:cs="Times New Roman"/>
                <w:sz w:val="28"/>
                <w:szCs w:val="28"/>
                <w:shd w:fill="auto" w:val="clear"/>
                <w:lang w:val="ru-RU"/>
              </w:rPr>
              <w:t>820</w:t>
            </w:r>
            <w:r>
              <w:rPr>
                <w:rFonts w:cs="Times New Roman"/>
                <w:sz w:val="28"/>
                <w:szCs w:val="28"/>
                <w:shd w:fill="auto" w:val="clear"/>
                <w:lang w:val="kk-KZ"/>
              </w:rPr>
              <w:t>,00</w:t>
            </w:r>
          </w:p>
        </w:tc>
      </w:tr>
      <w:tr>
        <w:trPr/>
        <w:tc>
          <w:tcPr>
            <w:tcW w:w="6347" w:type="dxa"/>
            <w:tcBorders>
              <w:left w:val="single" w:sz="4" w:space="0" w:color="000000"/>
              <w:bottom w:val="single" w:sz="4" w:space="0" w:color="000000"/>
            </w:tcBorders>
          </w:tcPr>
          <w:p>
            <w:pPr>
              <w:pStyle w:val="Style20"/>
              <w:widowControl w:val="false"/>
              <w:spacing w:lineRule="auto" w:line="276" w:before="0" w:after="0"/>
              <w:jc w:val="center"/>
              <w:rPr/>
            </w:pPr>
            <w:r>
              <w:rPr>
                <w:rFonts w:cs="Times New Roman"/>
                <w:b/>
                <w:bCs/>
                <w:sz w:val="28"/>
                <w:szCs w:val="28"/>
              </w:rPr>
              <w:t>Итог</w:t>
            </w:r>
            <w:r>
              <w:rPr>
                <w:rFonts w:cs="Times New Roman"/>
                <w:b/>
                <w:bCs/>
                <w:sz w:val="28"/>
                <w:szCs w:val="28"/>
                <w:lang w:val="ru-RU"/>
              </w:rPr>
              <w:t>о</w:t>
            </w:r>
          </w:p>
        </w:tc>
        <w:tc>
          <w:tcPr>
            <w:tcW w:w="1642" w:type="dxa"/>
            <w:tcBorders>
              <w:left w:val="single" w:sz="4" w:space="0" w:color="000000"/>
              <w:bottom w:val="single" w:sz="4" w:space="0" w:color="000000"/>
            </w:tcBorders>
          </w:tcPr>
          <w:p>
            <w:pPr>
              <w:pStyle w:val="Style20"/>
              <w:widowControl w:val="false"/>
              <w:spacing w:lineRule="auto" w:line="276" w:before="0" w:after="200"/>
              <w:jc w:val="center"/>
              <w:rPr>
                <w:rFonts w:ascii="Times New Roman" w:hAnsi="Times New Roman" w:cs="Times New Roman"/>
                <w:b/>
                <w:b/>
                <w:bCs/>
                <w:sz w:val="28"/>
                <w:szCs w:val="28"/>
                <w:lang w:val="kk-KZ"/>
              </w:rPr>
            </w:pPr>
            <w:r>
              <w:rPr>
                <w:rFonts w:cs="Times New Roman"/>
                <w:b/>
                <w:bCs/>
                <w:sz w:val="28"/>
                <w:szCs w:val="28"/>
                <w:lang w:val="kk-KZ"/>
              </w:rPr>
              <w:t>2058</w:t>
            </w:r>
          </w:p>
        </w:tc>
        <w:tc>
          <w:tcPr>
            <w:tcW w:w="1579" w:type="dxa"/>
            <w:tcBorders>
              <w:left w:val="single" w:sz="4" w:space="0" w:color="000000"/>
              <w:bottom w:val="single" w:sz="4" w:space="0" w:color="000000"/>
              <w:right w:val="single" w:sz="4" w:space="0" w:color="000000"/>
            </w:tcBorders>
          </w:tcPr>
          <w:p>
            <w:pPr>
              <w:pStyle w:val="Style20"/>
              <w:widowControl w:val="false"/>
              <w:spacing w:lineRule="auto" w:line="276" w:before="0" w:after="200"/>
              <w:jc w:val="center"/>
              <w:rPr/>
            </w:pPr>
            <w:r>
              <w:rPr>
                <w:rFonts w:cs="Times New Roman"/>
                <w:b/>
                <w:bCs/>
                <w:sz w:val="28"/>
                <w:szCs w:val="28"/>
                <w:lang w:val="en-US"/>
              </w:rPr>
              <w:t>820,00</w:t>
            </w:r>
            <w:r>
              <w:rPr>
                <w:rFonts w:cs="Times New Roman"/>
                <w:b/>
                <w:bCs/>
                <w:sz w:val="28"/>
                <w:szCs w:val="28"/>
              </w:rPr>
              <w:t xml:space="preserve"> кг</w:t>
            </w:r>
          </w:p>
        </w:tc>
      </w:tr>
    </w:tbl>
    <w:p>
      <w:pPr>
        <w:pStyle w:val="Normal"/>
        <w:rPr>
          <w:rFonts w:ascii="Arial" w:hAnsi="Arial"/>
        </w:rPr>
      </w:pPr>
      <w:r>
        <w:rPr>
          <w:rFonts w:ascii="Arial" w:hAnsi="Arial"/>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820,00</w:t>
            </w:r>
            <w:r>
              <w:rPr>
                <w:rFonts w:ascii="Arial" w:hAnsi="Arial"/>
                <w:kern w:val="0"/>
                <w:sz w:val="20"/>
              </w:rPr>
              <w:t xml:space="preserve"> кг </w:t>
              <w:br/>
              <w:t>(</w:t>
            </w:r>
            <w:r>
              <w:rPr>
                <w:rFonts w:ascii="Arial" w:hAnsi="Arial"/>
                <w:kern w:val="0"/>
                <w:sz w:val="20"/>
                <w:lang w:val="kk-KZ"/>
              </w:rPr>
              <w:t>0</w:t>
            </w:r>
            <w:r>
              <w:rPr>
                <w:rFonts w:ascii="Arial" w:hAnsi="Arial"/>
                <w:kern w:val="0"/>
                <w:sz w:val="20"/>
                <w:lang w:val="en-US"/>
              </w:rPr>
              <w:t>,</w:t>
            </w:r>
            <w:r>
              <w:rPr>
                <w:rFonts w:ascii="Arial" w:hAnsi="Arial"/>
                <w:kern w:val="0"/>
                <w:sz w:val="20"/>
                <w:lang w:val="kk-KZ"/>
              </w:rPr>
              <w:t>820</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«Олжас». Имеется положительное Заключение государственной экологической экспертизы и разрешение на эмиссии №KZ55VCZ03815478 от 06.01.2021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b w:val="false"/>
          <w:b w:val="false"/>
          <w:bCs w:val="false"/>
        </w:rPr>
      </w:pPr>
      <w:r>
        <w:rPr>
          <w:rFonts w:ascii="Arial" w:hAnsi="Arial"/>
          <w:b w:val="false"/>
          <w:bCs w:val="false"/>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«Олжас».</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LibreOffice/7.3.5.2$Windows_X86_64 LibreOffice_project/184fe81b8c8c30d8b5082578aee2fed2ea847c01</Application>
  <AppVersion>15.0000</AppVersion>
  <Pages>5</Pages>
  <Words>1448</Words>
  <Characters>10315</Characters>
  <CharactersWithSpaces>11889</CharactersWithSpaces>
  <Paragraphs>111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2026-06-19T12:47:43Z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