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CEC" w:rsidRPr="00502CEC" w:rsidRDefault="00502CEC" w:rsidP="00502CEC">
      <w:pPr>
        <w:tabs>
          <w:tab w:val="left" w:pos="993"/>
        </w:tabs>
        <w:jc w:val="both"/>
        <w:rPr>
          <w:b/>
          <w:color w:val="000000"/>
          <w:spacing w:val="2"/>
        </w:rPr>
      </w:pPr>
      <w:r>
        <w:rPr>
          <w:b/>
          <w:color w:val="000000"/>
          <w:spacing w:val="2"/>
        </w:rPr>
        <w:tab/>
      </w:r>
      <w:r w:rsidRPr="00502CEC">
        <w:rPr>
          <w:b/>
          <w:color w:val="000000"/>
          <w:spacing w:val="2"/>
        </w:rPr>
        <w:t>КРАТКОЕ НЕТЕХНИЧЕСКОЕ РЕЗЮМЕ С ОБОБЩЕНИЕМ ИНФОРМАЦИИ, УКАЗАННОЙ В ПУНКТАХ 1 - 17 НАСТОЯЩЕГО ПРИЛОЖЕНИЯ, В ЦЕЛЯХ ИНФОРМИРОВАНИЯ ЗАИНТЕРЕСОВАННОЙ ОБЩЕСТВЕННОСТИ В СВЯЗИ С ЕЕ УЧАСТИЕМ В ОЦЕНКЕ ВОЗДЕЙСТВИЯ НА ОКРУЖАЮЩУЮ СРЕДУ</w:t>
      </w:r>
    </w:p>
    <w:p w:rsidR="00502CEC" w:rsidRPr="00EF6CF9" w:rsidRDefault="00502CEC" w:rsidP="00502CEC">
      <w:pPr>
        <w:rPr>
          <w:highlight w:val="yellow"/>
        </w:rPr>
      </w:pPr>
    </w:p>
    <w:p w:rsidR="008B61D2" w:rsidRPr="008B61D2" w:rsidRDefault="000B21F0" w:rsidP="000965D5">
      <w:pPr>
        <w:ind w:firstLine="567"/>
        <w:jc w:val="both"/>
      </w:pPr>
      <w:r w:rsidRPr="00CA059F">
        <w:rPr>
          <w:b/>
        </w:rPr>
        <w:t>Цель работы</w:t>
      </w:r>
      <w:r w:rsidRPr="002331CA">
        <w:t xml:space="preserve"> -</w:t>
      </w:r>
      <w:r w:rsidR="008B61D2" w:rsidRPr="008B61D2">
        <w:t xml:space="preserve"> </w:t>
      </w:r>
      <w:r w:rsidR="000965D5" w:rsidRPr="000965D5">
        <w:t>Изменение вносится в связи с изменением параметров котлов, установленных в котельной.</w:t>
      </w:r>
    </w:p>
    <w:p w:rsidR="008B61D2" w:rsidRPr="008B61D2" w:rsidRDefault="008B61D2" w:rsidP="008B61D2">
      <w:pPr>
        <w:widowControl w:val="0"/>
        <w:autoSpaceDE w:val="0"/>
        <w:autoSpaceDN w:val="0"/>
        <w:ind w:left="930"/>
        <w:jc w:val="both"/>
        <w:outlineLvl w:val="3"/>
        <w:rPr>
          <w:b/>
          <w:bCs/>
          <w:i/>
          <w:iCs/>
          <w:lang w:eastAsia="en-US"/>
        </w:rPr>
      </w:pPr>
      <w:r w:rsidRPr="008B61D2">
        <w:rPr>
          <w:b/>
          <w:bCs/>
          <w:i/>
          <w:iCs/>
          <w:lang w:eastAsia="en-US"/>
        </w:rPr>
        <w:t>Климатическая</w:t>
      </w:r>
      <w:r w:rsidRPr="008B61D2">
        <w:rPr>
          <w:b/>
          <w:bCs/>
          <w:i/>
          <w:iCs/>
          <w:spacing w:val="-5"/>
          <w:lang w:eastAsia="en-US"/>
        </w:rPr>
        <w:t xml:space="preserve"> </w:t>
      </w:r>
      <w:r w:rsidRPr="008B61D2">
        <w:rPr>
          <w:b/>
          <w:bCs/>
          <w:i/>
          <w:iCs/>
          <w:lang w:eastAsia="en-US"/>
        </w:rPr>
        <w:t>характеристика</w:t>
      </w:r>
      <w:r w:rsidRPr="008B61D2">
        <w:rPr>
          <w:b/>
          <w:bCs/>
          <w:i/>
          <w:iCs/>
          <w:spacing w:val="-4"/>
          <w:lang w:eastAsia="en-US"/>
        </w:rPr>
        <w:t xml:space="preserve"> </w:t>
      </w:r>
      <w:r w:rsidRPr="008B61D2">
        <w:rPr>
          <w:b/>
          <w:bCs/>
          <w:i/>
          <w:iCs/>
          <w:lang w:eastAsia="en-US"/>
        </w:rPr>
        <w:t>района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965D5">
        <w:rPr>
          <w:rFonts w:eastAsia="Times New Roman" w:cs="Times New Roman"/>
          <w:szCs w:val="24"/>
          <w:lang w:eastAsia="ru-RU"/>
        </w:rPr>
        <w:t xml:space="preserve">Климат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района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 xml:space="preserve"> резко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континентальныи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 xml:space="preserve">̆. Особенности климата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района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 xml:space="preserve"> определяются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широтностью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 xml:space="preserve"> и наличием орографических элементов на его поверхности.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965D5">
        <w:rPr>
          <w:rFonts w:eastAsia="Times New Roman" w:cs="Times New Roman"/>
          <w:szCs w:val="24"/>
          <w:lang w:eastAsia="ru-RU"/>
        </w:rPr>
        <w:t xml:space="preserve">Совокупность климатообразующих факторов обуславливает преобладание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жаркои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 xml:space="preserve">̆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сухои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 xml:space="preserve">̆ погоды с резкими сезонными и суточными колебаниями температур воздуха. Лето жаркое, зима умеренно холодная, мягкая.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Веснои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>̆ и летом отмечаются ливневые дожди.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965D5">
        <w:rPr>
          <w:rFonts w:eastAsia="Times New Roman" w:cs="Times New Roman"/>
          <w:szCs w:val="24"/>
          <w:lang w:eastAsia="ru-RU"/>
        </w:rPr>
        <w:t xml:space="preserve">В соответствии с СП РК 2.04-01-2017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район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 xml:space="preserve"> изысканий расположен в III климатическом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районе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подрайон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0965D5">
        <w:rPr>
          <w:rFonts w:eastAsia="Times New Roman" w:cs="Times New Roman"/>
          <w:szCs w:val="24"/>
          <w:lang w:eastAsia="ru-RU"/>
        </w:rPr>
        <w:t>В</w:t>
      </w:r>
      <w:proofErr w:type="gramEnd"/>
      <w:r w:rsidRPr="000965D5">
        <w:rPr>
          <w:rFonts w:eastAsia="Times New Roman" w:cs="Times New Roman"/>
          <w:szCs w:val="24"/>
          <w:lang w:eastAsia="ru-RU"/>
        </w:rPr>
        <w:t>;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0965D5">
        <w:rPr>
          <w:rFonts w:eastAsia="Times New Roman" w:cs="Times New Roman"/>
          <w:szCs w:val="24"/>
          <w:lang w:eastAsia="ru-RU"/>
        </w:rPr>
        <w:t>Снеговои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 xml:space="preserve">̆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район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 xml:space="preserve"> - II; 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965D5">
        <w:rPr>
          <w:rFonts w:eastAsia="Times New Roman" w:cs="Times New Roman"/>
          <w:szCs w:val="24"/>
          <w:lang w:eastAsia="ru-RU"/>
        </w:rPr>
        <w:t xml:space="preserve">Снеговая нагрузка -1,2 кПа,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чрезвычайная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 xml:space="preserve"> снеговая нагрузка -2,1кПа, согласно НП к СП РК EN 1991-1-3:2003/2011, Часть 1-3 (НП. 3 Приложение);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0965D5">
        <w:rPr>
          <w:rFonts w:eastAsia="Times New Roman" w:cs="Times New Roman"/>
          <w:szCs w:val="24"/>
          <w:lang w:eastAsia="ru-RU"/>
        </w:rPr>
        <w:t>Ветровои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 xml:space="preserve">̆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район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 xml:space="preserve"> скоростных напоров – II; базовая скорость ветра 25 м/с, давление ветра – 0,39кПа, согласно НП к СП РК EN 1991-1-4:2005/2011. Часть 1-4 (НП. 4 Приложение) 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965D5">
        <w:rPr>
          <w:rFonts w:eastAsia="Times New Roman" w:cs="Times New Roman"/>
          <w:szCs w:val="24"/>
          <w:lang w:eastAsia="ru-RU"/>
        </w:rPr>
        <w:t xml:space="preserve">Температура воздуха наиболее холодных суток с обеспеченностью 0,98 – (- 26,9o С) 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965D5">
        <w:rPr>
          <w:rFonts w:eastAsia="Times New Roman" w:cs="Times New Roman"/>
          <w:szCs w:val="24"/>
          <w:lang w:eastAsia="ru-RU"/>
        </w:rPr>
        <w:t>Температура воздуха наиболее холодных суток с обеспеченностью 0,92 – (- 23,4o С)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965D5">
        <w:rPr>
          <w:rFonts w:eastAsia="Times New Roman" w:cs="Times New Roman"/>
          <w:szCs w:val="24"/>
          <w:lang w:eastAsia="ru-RU"/>
        </w:rPr>
        <w:t xml:space="preserve">Температура воздуха наиболее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холоднои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>̆ пятидневки с обеспеченностью 0,98 – (-23,3oС)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965D5">
        <w:rPr>
          <w:rFonts w:eastAsia="Times New Roman" w:cs="Times New Roman"/>
          <w:szCs w:val="24"/>
          <w:lang w:eastAsia="ru-RU"/>
        </w:rPr>
        <w:t xml:space="preserve">Температура воздуха наиболее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холоднои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>̆ пятидневки с обеспеченностью 0,92 – ( -20,1oС)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965D5">
        <w:rPr>
          <w:rFonts w:eastAsia="Times New Roman" w:cs="Times New Roman"/>
          <w:szCs w:val="24"/>
          <w:lang w:eastAsia="ru-RU"/>
        </w:rPr>
        <w:t xml:space="preserve">Средняя максимальная температура воздуха наиболее теплого месяца года (июль) – 30,0o С 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965D5">
        <w:rPr>
          <w:rFonts w:eastAsia="Times New Roman" w:cs="Times New Roman"/>
          <w:szCs w:val="24"/>
          <w:lang w:eastAsia="ru-RU"/>
        </w:rPr>
        <w:t>Абсолютная минимальная температура воздуха – (- 37,7o С)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965D5">
        <w:rPr>
          <w:rFonts w:eastAsia="Times New Roman" w:cs="Times New Roman"/>
          <w:szCs w:val="24"/>
          <w:lang w:eastAsia="ru-RU"/>
        </w:rPr>
        <w:t>Абсолютная максимальная температура воздуха теплого периода – 43,4°С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0965D5">
        <w:rPr>
          <w:rFonts w:eastAsia="Times New Roman" w:cs="Times New Roman"/>
          <w:szCs w:val="24"/>
          <w:lang w:eastAsia="ru-RU"/>
        </w:rPr>
        <w:t>Район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 xml:space="preserve"> расположен в зоне с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сейсмическои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 xml:space="preserve">̆ опасностью (согласно СП РК 2.03- 30-2017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Байсерке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 xml:space="preserve">) – 8-9 баллов по картам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сейсмического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 xml:space="preserve"> зонирования ОСЗ-2475 и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965D5">
        <w:rPr>
          <w:rFonts w:eastAsia="Times New Roman" w:cs="Times New Roman"/>
          <w:szCs w:val="24"/>
          <w:lang w:eastAsia="ru-RU"/>
        </w:rPr>
        <w:t xml:space="preserve">ОСЗ-22475. 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965D5">
        <w:rPr>
          <w:rFonts w:eastAsia="Times New Roman" w:cs="Times New Roman"/>
          <w:szCs w:val="24"/>
          <w:lang w:eastAsia="ru-RU"/>
        </w:rPr>
        <w:t>Пиковые ускорения (в долях g) для скальных грунтов: ОСЗ-1475 -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965D5">
        <w:rPr>
          <w:rFonts w:eastAsia="Times New Roman" w:cs="Times New Roman"/>
          <w:szCs w:val="24"/>
          <w:lang w:eastAsia="ru-RU"/>
        </w:rPr>
        <w:t>(</w:t>
      </w:r>
      <w:proofErr w:type="spellStart"/>
      <w:proofErr w:type="gramStart"/>
      <w:r w:rsidRPr="000965D5">
        <w:rPr>
          <w:rFonts w:eastAsia="Times New Roman" w:cs="Times New Roman"/>
          <w:szCs w:val="24"/>
          <w:lang w:eastAsia="ru-RU"/>
        </w:rPr>
        <w:t>agR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>(</w:t>
      </w:r>
      <w:proofErr w:type="gramEnd"/>
      <w:r w:rsidRPr="000965D5">
        <w:rPr>
          <w:rFonts w:eastAsia="Times New Roman" w:cs="Times New Roman"/>
          <w:szCs w:val="24"/>
          <w:lang w:eastAsia="ru-RU"/>
        </w:rPr>
        <w:t>475)) - 0,31; И ОСЗ-12475 - (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agR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>(2475)) - 0,54;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965D5">
        <w:rPr>
          <w:rFonts w:eastAsia="Times New Roman" w:cs="Times New Roman"/>
          <w:szCs w:val="24"/>
          <w:lang w:eastAsia="ru-RU"/>
        </w:rPr>
        <w:t>Тип грунтовых условий площадки строительства – III (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третии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>̆), (согласно т.6,1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965D5">
        <w:rPr>
          <w:rFonts w:eastAsia="Times New Roman" w:cs="Times New Roman"/>
          <w:szCs w:val="24"/>
          <w:lang w:eastAsia="ru-RU"/>
        </w:rPr>
        <w:t>СП РК 2.03-30-2017).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965D5">
        <w:rPr>
          <w:rFonts w:eastAsia="Times New Roman" w:cs="Times New Roman"/>
          <w:szCs w:val="24"/>
          <w:lang w:eastAsia="ru-RU"/>
        </w:rPr>
        <w:t xml:space="preserve">Расчетное ускорение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аg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 xml:space="preserve"> – 0,487 (согласно приложению Е СП РК 2.03-30- 2017).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965D5">
        <w:rPr>
          <w:rFonts w:eastAsia="Times New Roman" w:cs="Times New Roman"/>
          <w:szCs w:val="24"/>
          <w:lang w:eastAsia="ru-RU"/>
        </w:rPr>
        <w:t xml:space="preserve">Вертикальное расчетное ускорение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аgv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 xml:space="preserve"> -0,438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965D5">
        <w:rPr>
          <w:rFonts w:eastAsia="Times New Roman" w:cs="Times New Roman"/>
          <w:szCs w:val="24"/>
          <w:lang w:eastAsia="ru-RU"/>
        </w:rPr>
        <w:t xml:space="preserve">Расчетная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сейсмичность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 xml:space="preserve"> площадки строительства – 9(девять) баллов (согласно т.6.2 СП РК 2.03-30-2017).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965D5">
        <w:rPr>
          <w:rFonts w:eastAsia="Times New Roman" w:cs="Times New Roman"/>
          <w:szCs w:val="24"/>
          <w:lang w:eastAsia="ru-RU"/>
        </w:rPr>
        <w:t xml:space="preserve">Участок строительства потенциально не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подтопляемыи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 xml:space="preserve">̆. 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965D5">
        <w:rPr>
          <w:rFonts w:eastAsia="Times New Roman" w:cs="Times New Roman"/>
          <w:szCs w:val="24"/>
          <w:lang w:eastAsia="ru-RU"/>
        </w:rPr>
        <w:t xml:space="preserve">Рельеф местности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ровныи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 xml:space="preserve">̆ с небольшим уклоном на северо-восток. На участке отсутствуют </w:t>
      </w:r>
      <w:proofErr w:type="gramStart"/>
      <w:r w:rsidRPr="000965D5">
        <w:rPr>
          <w:rFonts w:eastAsia="Times New Roman" w:cs="Times New Roman"/>
          <w:szCs w:val="24"/>
          <w:lang w:eastAsia="ru-RU"/>
        </w:rPr>
        <w:t>строения и зеленые насаждения</w:t>
      </w:r>
      <w:proofErr w:type="gramEnd"/>
      <w:r w:rsidRPr="000965D5">
        <w:rPr>
          <w:rFonts w:eastAsia="Times New Roman" w:cs="Times New Roman"/>
          <w:szCs w:val="24"/>
          <w:lang w:eastAsia="ru-RU"/>
        </w:rPr>
        <w:t xml:space="preserve"> подпадающие под снос.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965D5">
        <w:rPr>
          <w:rFonts w:eastAsia="Times New Roman" w:cs="Times New Roman"/>
          <w:szCs w:val="24"/>
          <w:lang w:eastAsia="ru-RU"/>
        </w:rPr>
        <w:t xml:space="preserve">Отвод поверхностных вод запроектирован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открытои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 xml:space="preserve">̆ </w:t>
      </w:r>
      <w:proofErr w:type="spellStart"/>
      <w:r w:rsidRPr="000965D5">
        <w:rPr>
          <w:rFonts w:eastAsia="Times New Roman" w:cs="Times New Roman"/>
          <w:szCs w:val="24"/>
          <w:lang w:eastAsia="ru-RU"/>
        </w:rPr>
        <w:t>системои</w:t>
      </w:r>
      <w:proofErr w:type="spellEnd"/>
      <w:r w:rsidRPr="000965D5">
        <w:rPr>
          <w:rFonts w:eastAsia="Times New Roman" w:cs="Times New Roman"/>
          <w:szCs w:val="24"/>
          <w:lang w:eastAsia="ru-RU"/>
        </w:rPr>
        <w:t>̆ с приданием уклонов, обеспечивающих сток воды в пониженные места рельефа, в зеленую зону</w:t>
      </w:r>
      <w:r>
        <w:rPr>
          <w:rFonts w:eastAsia="Times New Roman" w:cs="Times New Roman"/>
          <w:szCs w:val="24"/>
          <w:lang w:eastAsia="ru-RU"/>
        </w:rPr>
        <w:t>.</w:t>
      </w:r>
    </w:p>
    <w:tbl>
      <w:tblPr>
        <w:tblW w:w="9864" w:type="dxa"/>
        <w:tblInd w:w="108" w:type="dxa"/>
        <w:tblLook w:val="04A0" w:firstRow="1" w:lastRow="0" w:firstColumn="1" w:lastColumn="0" w:noHBand="0" w:noVBand="1"/>
      </w:tblPr>
      <w:tblGrid>
        <w:gridCol w:w="458"/>
        <w:gridCol w:w="2568"/>
        <w:gridCol w:w="679"/>
        <w:gridCol w:w="679"/>
        <w:gridCol w:w="679"/>
        <w:gridCol w:w="923"/>
        <w:gridCol w:w="407"/>
        <w:gridCol w:w="458"/>
        <w:gridCol w:w="232"/>
        <w:gridCol w:w="458"/>
        <w:gridCol w:w="456"/>
        <w:gridCol w:w="69"/>
        <w:gridCol w:w="456"/>
        <w:gridCol w:w="886"/>
        <w:gridCol w:w="456"/>
      </w:tblGrid>
      <w:tr w:rsidR="000965D5" w:rsidRPr="000965D5" w:rsidTr="003071E9">
        <w:trPr>
          <w:gridAfter w:val="1"/>
          <w:wAfter w:w="458" w:type="dxa"/>
          <w:trHeight w:val="295"/>
        </w:trPr>
        <w:tc>
          <w:tcPr>
            <w:tcW w:w="63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sz w:val="20"/>
                <w:szCs w:val="20"/>
                <w:lang w:val="ru-KZ"/>
              </w:rPr>
            </w:pPr>
            <w:r w:rsidRPr="000965D5">
              <w:rPr>
                <w:b/>
                <w:bCs/>
                <w:color w:val="000000"/>
                <w:lang w:val="ru-KZ"/>
              </w:rPr>
              <w:t>Климатические данные АМС Илийский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sz w:val="20"/>
                <w:szCs w:val="20"/>
                <w:lang w:val="ru-K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jc w:val="center"/>
              <w:rPr>
                <w:sz w:val="20"/>
                <w:szCs w:val="20"/>
                <w:lang w:val="ru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</w:tr>
      <w:tr w:rsidR="000965D5" w:rsidRPr="000965D5" w:rsidTr="003071E9">
        <w:trPr>
          <w:trHeight w:val="29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sz w:val="20"/>
                <w:szCs w:val="20"/>
                <w:lang w:val="ru-K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sz w:val="20"/>
                <w:szCs w:val="20"/>
                <w:lang w:val="ru-KZ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sz w:val="20"/>
                <w:szCs w:val="20"/>
                <w:lang w:val="ru-KZ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sz w:val="20"/>
                <w:szCs w:val="20"/>
                <w:lang w:val="ru-K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jc w:val="center"/>
              <w:rPr>
                <w:sz w:val="20"/>
                <w:szCs w:val="20"/>
                <w:lang w:val="ru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</w:tr>
      <w:tr w:rsidR="000965D5" w:rsidRPr="000965D5" w:rsidTr="003071E9">
        <w:trPr>
          <w:trHeight w:val="2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b/>
                <w:bCs/>
                <w:color w:val="000000"/>
                <w:lang w:val="ru-KZ"/>
              </w:rPr>
            </w:pPr>
            <w:r w:rsidRPr="000965D5">
              <w:rPr>
                <w:b/>
                <w:bCs/>
                <w:color w:val="000000"/>
                <w:lang w:val="ru-KZ"/>
              </w:rPr>
              <w:t>№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rPr>
                <w:b/>
                <w:bCs/>
                <w:color w:val="000000"/>
                <w:lang w:val="ru-KZ"/>
              </w:rPr>
            </w:pPr>
            <w:r w:rsidRPr="000965D5">
              <w:rPr>
                <w:b/>
                <w:bCs/>
                <w:color w:val="000000"/>
                <w:lang w:val="ru-KZ"/>
              </w:rPr>
              <w:t>Год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b/>
                <w:bCs/>
                <w:color w:val="000000"/>
                <w:lang w:val="ru-KZ"/>
              </w:rPr>
            </w:pPr>
            <w:r w:rsidRPr="000965D5">
              <w:rPr>
                <w:b/>
                <w:bCs/>
                <w:color w:val="000000"/>
                <w:lang w:val="ru-KZ"/>
              </w:rPr>
              <w:t>2023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b/>
                <w:bCs/>
                <w:color w:val="000000"/>
                <w:lang w:val="ru-K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</w:tr>
      <w:tr w:rsidR="000965D5" w:rsidRPr="000965D5" w:rsidTr="003071E9">
        <w:trPr>
          <w:trHeight w:val="67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b/>
                <w:bCs/>
                <w:color w:val="000000"/>
                <w:lang w:val="ru-KZ"/>
              </w:rPr>
            </w:pPr>
            <w:r w:rsidRPr="000965D5">
              <w:rPr>
                <w:b/>
                <w:bCs/>
                <w:color w:val="000000"/>
                <w:lang w:val="ru-KZ"/>
              </w:rPr>
              <w:lastRenderedPageBreak/>
              <w:t>1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D5" w:rsidRPr="000965D5" w:rsidRDefault="000965D5" w:rsidP="000965D5">
            <w:pPr>
              <w:rPr>
                <w:b/>
                <w:bCs/>
                <w:color w:val="000000"/>
                <w:lang w:val="ru-KZ"/>
              </w:rPr>
            </w:pPr>
            <w:r w:rsidRPr="000965D5">
              <w:rPr>
                <w:b/>
                <w:bCs/>
                <w:color w:val="000000"/>
                <w:lang w:val="ru-KZ"/>
              </w:rPr>
              <w:t>Средняя минимальная температура наружного воздуха наиболее холодного месяца (январь), °С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color w:val="000000"/>
                <w:lang w:val="ru-KZ"/>
              </w:rPr>
            </w:pPr>
            <w:r w:rsidRPr="000965D5">
              <w:rPr>
                <w:color w:val="000000"/>
                <w:lang w:val="ru-KZ"/>
              </w:rPr>
              <w:t>-16,4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color w:val="000000"/>
                <w:lang w:val="ru-K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sz w:val="20"/>
                <w:szCs w:val="20"/>
                <w:lang w:val="ru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sz w:val="20"/>
                <w:szCs w:val="20"/>
                <w:lang w:val="ru-KZ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sz w:val="20"/>
                <w:szCs w:val="20"/>
                <w:lang w:val="ru-KZ"/>
              </w:rPr>
            </w:pPr>
          </w:p>
        </w:tc>
      </w:tr>
      <w:tr w:rsidR="000965D5" w:rsidRPr="000965D5" w:rsidTr="003071E9">
        <w:trPr>
          <w:trHeight w:val="66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b/>
                <w:bCs/>
                <w:color w:val="000000"/>
                <w:lang w:val="ru-KZ"/>
              </w:rPr>
            </w:pPr>
            <w:r w:rsidRPr="000965D5">
              <w:rPr>
                <w:b/>
                <w:bCs/>
                <w:color w:val="000000"/>
                <w:lang w:val="ru-KZ"/>
              </w:rPr>
              <w:t>2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5D5" w:rsidRPr="000965D5" w:rsidRDefault="000965D5" w:rsidP="000965D5">
            <w:pPr>
              <w:rPr>
                <w:b/>
                <w:bCs/>
                <w:color w:val="000000"/>
                <w:lang w:val="ru-KZ"/>
              </w:rPr>
            </w:pPr>
            <w:r w:rsidRPr="000965D5">
              <w:rPr>
                <w:b/>
                <w:bCs/>
                <w:color w:val="000000"/>
                <w:lang w:val="ru-KZ"/>
              </w:rPr>
              <w:t>Средняя максимальная температура наружного воздуха наиболее жаркого месяца (июль), °С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color w:val="000000"/>
                <w:lang w:val="ru-KZ"/>
              </w:rPr>
            </w:pPr>
            <w:r w:rsidRPr="000965D5">
              <w:rPr>
                <w:color w:val="000000"/>
                <w:lang w:val="ru-KZ"/>
              </w:rPr>
              <w:t>34,5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color w:val="000000"/>
                <w:lang w:val="ru-K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jc w:val="center"/>
              <w:rPr>
                <w:sz w:val="20"/>
                <w:szCs w:val="20"/>
                <w:lang w:val="ru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</w:tr>
      <w:tr w:rsidR="000965D5" w:rsidRPr="000965D5" w:rsidTr="003071E9">
        <w:trPr>
          <w:trHeight w:val="29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b/>
                <w:bCs/>
                <w:color w:val="000000"/>
                <w:lang w:val="ru-KZ"/>
              </w:rPr>
            </w:pPr>
            <w:r w:rsidRPr="000965D5">
              <w:rPr>
                <w:b/>
                <w:bCs/>
                <w:color w:val="000000"/>
                <w:lang w:val="ru-KZ"/>
              </w:rPr>
              <w:t>3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rPr>
                <w:b/>
                <w:bCs/>
                <w:color w:val="000000"/>
                <w:lang w:val="ru-KZ"/>
              </w:rPr>
            </w:pPr>
            <w:r w:rsidRPr="000965D5">
              <w:rPr>
                <w:b/>
                <w:bCs/>
                <w:color w:val="000000"/>
                <w:lang w:val="ru-KZ"/>
              </w:rPr>
              <w:t>Среднегодовая скорость ветра, м/с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color w:val="000000"/>
                <w:lang w:val="ru-KZ"/>
              </w:rPr>
            </w:pPr>
            <w:r w:rsidRPr="000965D5">
              <w:rPr>
                <w:color w:val="000000"/>
                <w:lang w:val="ru-KZ"/>
              </w:rPr>
              <w:t>1,6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color w:val="000000"/>
                <w:lang w:val="ru-K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jc w:val="center"/>
              <w:rPr>
                <w:sz w:val="20"/>
                <w:szCs w:val="20"/>
                <w:lang w:val="ru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</w:tr>
      <w:tr w:rsidR="000965D5" w:rsidRPr="000965D5" w:rsidTr="003071E9">
        <w:trPr>
          <w:trHeight w:val="29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</w:tr>
      <w:tr w:rsidR="000965D5" w:rsidRPr="000965D5" w:rsidTr="003071E9">
        <w:trPr>
          <w:trHeight w:val="29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b/>
                <w:bCs/>
                <w:color w:val="000000"/>
                <w:lang w:val="ru-KZ"/>
              </w:rPr>
            </w:pPr>
            <w:r w:rsidRPr="000965D5">
              <w:rPr>
                <w:b/>
                <w:bCs/>
                <w:color w:val="000000"/>
                <w:lang w:val="ru-KZ"/>
              </w:rPr>
              <w:t>4</w:t>
            </w:r>
          </w:p>
        </w:tc>
        <w:tc>
          <w:tcPr>
            <w:tcW w:w="94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b/>
                <w:bCs/>
                <w:color w:val="000000"/>
                <w:lang w:val="ru-KZ"/>
              </w:rPr>
            </w:pPr>
            <w:r w:rsidRPr="000965D5">
              <w:rPr>
                <w:b/>
                <w:bCs/>
                <w:color w:val="000000"/>
                <w:lang w:val="ru-KZ"/>
              </w:rPr>
              <w:t>Повторяемость направлений ветра и штилей, %</w:t>
            </w:r>
          </w:p>
        </w:tc>
      </w:tr>
      <w:tr w:rsidR="000965D5" w:rsidRPr="000965D5" w:rsidTr="003071E9">
        <w:trPr>
          <w:trHeight w:val="29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D5" w:rsidRPr="000965D5" w:rsidRDefault="000965D5" w:rsidP="000965D5">
            <w:pPr>
              <w:rPr>
                <w:b/>
                <w:bCs/>
                <w:color w:val="000000"/>
                <w:lang w:val="ru-KZ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b/>
                <w:bCs/>
                <w:color w:val="000000"/>
                <w:lang w:val="ru-KZ"/>
              </w:rPr>
            </w:pPr>
            <w:r w:rsidRPr="000965D5">
              <w:rPr>
                <w:b/>
                <w:bCs/>
                <w:color w:val="000000"/>
                <w:lang w:val="ru-KZ"/>
              </w:rPr>
              <w:t xml:space="preserve">Румбы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b/>
                <w:bCs/>
                <w:color w:val="000000"/>
                <w:lang w:val="ru-KZ"/>
              </w:rPr>
            </w:pPr>
            <w:r w:rsidRPr="000965D5">
              <w:rPr>
                <w:b/>
                <w:bCs/>
                <w:color w:val="000000"/>
                <w:lang w:val="ru-KZ"/>
              </w:rPr>
              <w:t>С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b/>
                <w:bCs/>
                <w:color w:val="000000"/>
                <w:lang w:val="ru-KZ"/>
              </w:rPr>
            </w:pPr>
            <w:r w:rsidRPr="000965D5">
              <w:rPr>
                <w:b/>
                <w:bCs/>
                <w:color w:val="000000"/>
                <w:lang w:val="ru-KZ"/>
              </w:rPr>
              <w:t>СВ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b/>
                <w:bCs/>
                <w:color w:val="000000"/>
                <w:lang w:val="ru-KZ"/>
              </w:rPr>
            </w:pPr>
            <w:r w:rsidRPr="000965D5">
              <w:rPr>
                <w:b/>
                <w:bCs/>
                <w:color w:val="000000"/>
                <w:lang w:val="ru-KZ"/>
              </w:rPr>
              <w:t>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b/>
                <w:bCs/>
                <w:color w:val="000000"/>
                <w:lang w:val="ru-KZ"/>
              </w:rPr>
            </w:pPr>
            <w:r w:rsidRPr="000965D5">
              <w:rPr>
                <w:b/>
                <w:bCs/>
                <w:color w:val="000000"/>
                <w:lang w:val="ru-KZ"/>
              </w:rPr>
              <w:t>ЮВ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b/>
                <w:bCs/>
                <w:color w:val="000000"/>
                <w:lang w:val="ru-KZ"/>
              </w:rPr>
            </w:pPr>
            <w:r w:rsidRPr="000965D5">
              <w:rPr>
                <w:b/>
                <w:bCs/>
                <w:color w:val="000000"/>
                <w:lang w:val="ru-KZ"/>
              </w:rPr>
              <w:t>Ю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b/>
                <w:bCs/>
                <w:color w:val="000000"/>
                <w:lang w:val="ru-KZ"/>
              </w:rPr>
            </w:pPr>
            <w:r w:rsidRPr="000965D5">
              <w:rPr>
                <w:b/>
                <w:bCs/>
                <w:color w:val="000000"/>
                <w:lang w:val="ru-KZ"/>
              </w:rPr>
              <w:t>ЮЗ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b/>
                <w:bCs/>
                <w:color w:val="000000"/>
                <w:lang w:val="ru-KZ"/>
              </w:rPr>
            </w:pPr>
            <w:r w:rsidRPr="000965D5">
              <w:rPr>
                <w:b/>
                <w:bCs/>
                <w:color w:val="000000"/>
                <w:lang w:val="ru-KZ"/>
              </w:rPr>
              <w:t>З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b/>
                <w:bCs/>
                <w:color w:val="000000"/>
                <w:lang w:val="ru-KZ"/>
              </w:rPr>
            </w:pPr>
            <w:r w:rsidRPr="000965D5">
              <w:rPr>
                <w:b/>
                <w:bCs/>
                <w:color w:val="000000"/>
                <w:lang w:val="ru-KZ"/>
              </w:rPr>
              <w:t>СЗ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b/>
                <w:bCs/>
                <w:color w:val="000000"/>
                <w:lang w:val="ru-KZ"/>
              </w:rPr>
            </w:pPr>
            <w:r w:rsidRPr="000965D5">
              <w:rPr>
                <w:b/>
                <w:bCs/>
                <w:color w:val="000000"/>
                <w:lang w:val="ru-KZ"/>
              </w:rPr>
              <w:t>Штиль</w:t>
            </w:r>
          </w:p>
        </w:tc>
      </w:tr>
      <w:tr w:rsidR="000965D5" w:rsidRPr="000965D5" w:rsidTr="003071E9">
        <w:trPr>
          <w:trHeight w:val="29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D5" w:rsidRPr="000965D5" w:rsidRDefault="000965D5" w:rsidP="000965D5">
            <w:pPr>
              <w:rPr>
                <w:b/>
                <w:bCs/>
                <w:color w:val="000000"/>
                <w:lang w:val="ru-KZ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b/>
                <w:bCs/>
                <w:color w:val="000000"/>
                <w:lang w:val="ru-KZ"/>
              </w:rPr>
            </w:pPr>
            <w:r w:rsidRPr="000965D5">
              <w:rPr>
                <w:b/>
                <w:bCs/>
                <w:color w:val="000000"/>
                <w:lang w:val="ru-KZ"/>
              </w:rPr>
              <w:t>Повторяемость, 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color w:val="000000"/>
                <w:lang w:val="ru-KZ"/>
              </w:rPr>
            </w:pPr>
            <w:r w:rsidRPr="000965D5">
              <w:rPr>
                <w:color w:val="000000"/>
                <w:lang w:val="ru-KZ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color w:val="000000"/>
                <w:lang w:val="ru-KZ"/>
              </w:rPr>
            </w:pPr>
            <w:r w:rsidRPr="000965D5">
              <w:rPr>
                <w:color w:val="000000"/>
                <w:lang w:val="ru-KZ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color w:val="000000"/>
                <w:lang w:val="ru-KZ"/>
              </w:rPr>
            </w:pPr>
            <w:r w:rsidRPr="000965D5">
              <w:rPr>
                <w:color w:val="000000"/>
                <w:lang w:val="ru-KZ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color w:val="000000"/>
                <w:lang w:val="ru-KZ"/>
              </w:rPr>
            </w:pPr>
            <w:r w:rsidRPr="000965D5">
              <w:rPr>
                <w:color w:val="000000"/>
                <w:lang w:val="ru-KZ"/>
              </w:rPr>
              <w:t>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color w:val="000000"/>
                <w:lang w:val="ru-KZ"/>
              </w:rPr>
            </w:pPr>
            <w:r w:rsidRPr="000965D5">
              <w:rPr>
                <w:color w:val="000000"/>
                <w:lang w:val="ru-KZ"/>
              </w:rPr>
              <w:t>10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color w:val="000000"/>
                <w:lang w:val="ru-KZ"/>
              </w:rPr>
            </w:pPr>
            <w:r w:rsidRPr="000965D5">
              <w:rPr>
                <w:color w:val="000000"/>
                <w:lang w:val="ru-KZ"/>
              </w:rPr>
              <w:t>27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color w:val="000000"/>
                <w:lang w:val="ru-KZ"/>
              </w:rPr>
            </w:pPr>
            <w:r w:rsidRPr="000965D5">
              <w:rPr>
                <w:color w:val="000000"/>
                <w:lang w:val="ru-KZ"/>
              </w:rPr>
              <w:t>15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color w:val="000000"/>
                <w:lang w:val="ru-KZ"/>
              </w:rPr>
            </w:pPr>
            <w:r w:rsidRPr="000965D5">
              <w:rPr>
                <w:color w:val="000000"/>
                <w:lang w:val="ru-KZ"/>
              </w:rPr>
              <w:t>11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5D5" w:rsidRPr="000965D5" w:rsidRDefault="000965D5" w:rsidP="000965D5">
            <w:pPr>
              <w:jc w:val="center"/>
              <w:rPr>
                <w:color w:val="000000"/>
                <w:lang w:val="ru-KZ"/>
              </w:rPr>
            </w:pPr>
            <w:r w:rsidRPr="000965D5">
              <w:rPr>
                <w:color w:val="000000"/>
                <w:lang w:val="ru-KZ"/>
              </w:rPr>
              <w:t>2</w:t>
            </w:r>
          </w:p>
        </w:tc>
      </w:tr>
      <w:tr w:rsidR="000965D5" w:rsidRPr="000965D5" w:rsidTr="003071E9">
        <w:trPr>
          <w:trHeight w:val="29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jc w:val="center"/>
              <w:rPr>
                <w:color w:val="000000"/>
                <w:lang w:val="ru-KZ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</w:tr>
      <w:tr w:rsidR="000965D5" w:rsidRPr="000965D5" w:rsidTr="003071E9">
        <w:trPr>
          <w:trHeight w:val="29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  <w:r w:rsidRPr="000965D5"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127000</wp:posOffset>
                  </wp:positionV>
                  <wp:extent cx="5295900" cy="2984500"/>
                  <wp:effectExtent l="0" t="0" r="0" b="6350"/>
                  <wp:wrapNone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иаграмма 5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0" cy="298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rFonts w:cs="Calibri"/>
                <w:color w:val="000000"/>
                <w:lang w:val="ru-KZ"/>
              </w:rPr>
            </w:pPr>
          </w:p>
          <w:tbl>
            <w:tblPr>
              <w:tblW w:w="235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2"/>
            </w:tblGrid>
            <w:tr w:rsidR="000965D5" w:rsidRPr="000965D5" w:rsidTr="003071E9">
              <w:trPr>
                <w:trHeight w:val="295"/>
                <w:tblCellSpacing w:w="0" w:type="dxa"/>
              </w:trPr>
              <w:tc>
                <w:tcPr>
                  <w:tcW w:w="2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65D5" w:rsidRPr="000965D5" w:rsidRDefault="000965D5" w:rsidP="000965D5">
                  <w:pPr>
                    <w:rPr>
                      <w:rFonts w:cs="Calibri"/>
                      <w:color w:val="000000"/>
                      <w:lang w:val="ru-KZ"/>
                    </w:rPr>
                  </w:pPr>
                </w:p>
              </w:tc>
            </w:tr>
          </w:tbl>
          <w:p w:rsidR="000965D5" w:rsidRPr="000965D5" w:rsidRDefault="000965D5" w:rsidP="000965D5">
            <w:pPr>
              <w:rPr>
                <w:rFonts w:cs="Calibri"/>
                <w:color w:val="00000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</w:tr>
      <w:tr w:rsidR="000965D5" w:rsidRPr="000965D5" w:rsidTr="003071E9">
        <w:trPr>
          <w:trHeight w:val="29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</w:tr>
      <w:tr w:rsidR="000965D5" w:rsidRPr="000965D5" w:rsidTr="003071E9">
        <w:trPr>
          <w:trHeight w:val="29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</w:tr>
      <w:tr w:rsidR="000965D5" w:rsidRPr="000965D5" w:rsidTr="003071E9">
        <w:trPr>
          <w:trHeight w:val="29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</w:tr>
      <w:tr w:rsidR="000965D5" w:rsidRPr="000965D5" w:rsidTr="003071E9">
        <w:trPr>
          <w:trHeight w:val="29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</w:tr>
      <w:tr w:rsidR="000965D5" w:rsidRPr="000965D5" w:rsidTr="003071E9">
        <w:trPr>
          <w:trHeight w:val="29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</w:tr>
      <w:tr w:rsidR="000965D5" w:rsidRPr="000965D5" w:rsidTr="003071E9">
        <w:trPr>
          <w:trHeight w:val="29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</w:tr>
      <w:tr w:rsidR="000965D5" w:rsidRPr="000965D5" w:rsidTr="003071E9">
        <w:trPr>
          <w:trHeight w:val="29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</w:tr>
      <w:tr w:rsidR="000965D5" w:rsidRPr="000965D5" w:rsidTr="003071E9">
        <w:trPr>
          <w:trHeight w:val="29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</w:tr>
      <w:tr w:rsidR="000965D5" w:rsidRPr="000965D5" w:rsidTr="003071E9">
        <w:trPr>
          <w:trHeight w:val="29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</w:tr>
      <w:tr w:rsidR="000965D5" w:rsidRPr="000965D5" w:rsidTr="003071E9">
        <w:trPr>
          <w:trHeight w:val="29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</w:tr>
      <w:tr w:rsidR="000965D5" w:rsidRPr="000965D5" w:rsidTr="003071E9">
        <w:trPr>
          <w:trHeight w:val="29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</w:tr>
      <w:tr w:rsidR="000965D5" w:rsidRPr="000965D5" w:rsidTr="003071E9">
        <w:trPr>
          <w:trHeight w:val="29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</w:tr>
      <w:tr w:rsidR="000965D5" w:rsidRPr="000965D5" w:rsidTr="003071E9">
        <w:trPr>
          <w:trHeight w:val="29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</w:tr>
      <w:tr w:rsidR="000965D5" w:rsidRPr="000965D5" w:rsidTr="003071E9">
        <w:trPr>
          <w:trHeight w:val="29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</w:tr>
      <w:tr w:rsidR="000965D5" w:rsidRPr="000965D5" w:rsidTr="003071E9">
        <w:trPr>
          <w:trHeight w:val="29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D5" w:rsidRPr="000965D5" w:rsidRDefault="000965D5" w:rsidP="000965D5">
            <w:pPr>
              <w:rPr>
                <w:sz w:val="20"/>
                <w:szCs w:val="20"/>
                <w:lang w:val="ru-KZ"/>
              </w:rPr>
            </w:pPr>
          </w:p>
        </w:tc>
      </w:tr>
    </w:tbl>
    <w:p w:rsidR="000965D5" w:rsidRPr="000965D5" w:rsidRDefault="000965D5" w:rsidP="000965D5">
      <w:pPr>
        <w:ind w:firstLine="709"/>
        <w:jc w:val="both"/>
        <w:rPr>
          <w:lang w:val="ru-KZ"/>
        </w:rPr>
      </w:pPr>
    </w:p>
    <w:p w:rsidR="000965D5" w:rsidRPr="000965D5" w:rsidRDefault="000965D5" w:rsidP="000965D5">
      <w:pPr>
        <w:ind w:firstLine="709"/>
        <w:jc w:val="both"/>
        <w:rPr>
          <w:lang w:val="ru-KZ"/>
        </w:rPr>
      </w:pPr>
      <w:r w:rsidRPr="000965D5">
        <w:rPr>
          <w:lang w:val="ru-KZ"/>
        </w:rPr>
        <w:t>При общей благоприятности климатических условий предгорная зона Заилийского Алатау характеризуется исключительно слабыми ресурсами самоочищения атмосферы. Основной причиной глубокого безветрия в предгорной зоне является влияние горного хребта, создающего сопротивление перемещению трансконтинентальных воздушных масс с севера.</w:t>
      </w:r>
    </w:p>
    <w:p w:rsidR="000965D5" w:rsidRPr="000965D5" w:rsidRDefault="000965D5" w:rsidP="000965D5">
      <w:pPr>
        <w:ind w:firstLine="709"/>
        <w:jc w:val="both"/>
        <w:rPr>
          <w:lang w:val="ru-KZ"/>
        </w:rPr>
      </w:pPr>
      <w:r w:rsidRPr="000965D5">
        <w:rPr>
          <w:lang w:val="ru-KZ"/>
        </w:rPr>
        <w:t>Проблема смога над городом стоит очень остро.  Из-за котловинного расположения и плотной застройки воздух не продувается.  Количество зеленых насаждений в городе с каждым годом уменьшается, по причине старения растений. А количество автотранспорта - увеличивается. На него приходится более 80 % загрязнения воздуха в городе.  Ежегодно эти автомашины выделяют в воздух города около 250—260 тысяч тонн вредных отходов. Таким образом, на каждого жителя города приходится более 200 кг вредных веществ.</w:t>
      </w:r>
    </w:p>
    <w:p w:rsidR="000965D5" w:rsidRPr="000965D5" w:rsidRDefault="000965D5" w:rsidP="000965D5">
      <w:pPr>
        <w:ind w:firstLine="709"/>
        <w:jc w:val="both"/>
        <w:rPr>
          <w:lang w:val="ru-KZ"/>
        </w:rPr>
      </w:pPr>
      <w:r w:rsidRPr="000965D5">
        <w:rPr>
          <w:lang w:val="ru-KZ"/>
        </w:rPr>
        <w:t xml:space="preserve">Информация по фоновому загрязнению атмосферного воздуха в районе расположения объекта </w:t>
      </w:r>
      <w:r w:rsidRPr="000965D5">
        <w:t>нет.</w:t>
      </w:r>
    </w:p>
    <w:p w:rsidR="000965D5" w:rsidRPr="000965D5" w:rsidRDefault="000965D5" w:rsidP="000965D5">
      <w:pPr>
        <w:ind w:firstLine="709"/>
        <w:jc w:val="both"/>
        <w:rPr>
          <w:lang w:val="ru-KZ"/>
        </w:rPr>
      </w:pPr>
      <w:r w:rsidRPr="000965D5">
        <w:rPr>
          <w:lang w:val="ru-KZ"/>
        </w:rPr>
        <w:t>Рельеф производственной базы спокойный с незначительным уклоном на север.</w:t>
      </w:r>
    </w:p>
    <w:p w:rsidR="000965D5" w:rsidRPr="000965D5" w:rsidRDefault="000965D5" w:rsidP="000965D5">
      <w:pPr>
        <w:ind w:firstLine="709"/>
        <w:jc w:val="both"/>
        <w:rPr>
          <w:lang w:val="ru-KZ"/>
        </w:rPr>
      </w:pPr>
      <w:r w:rsidRPr="000965D5">
        <w:rPr>
          <w:lang w:val="ru-KZ"/>
        </w:rPr>
        <w:t>Природные условия Алматы и Алматинской области включают 5 климатических зон – от пустынь до вечных снегов. Климат резко континентальный, средняя температура января в равнинной части - 15 С, в предгорьях – 6-8 С; июля – +16 С и +24+25 С соответственно. Годовое количество осадков на равнинах – до 300 мм, в предгорьях и горах – от 500-700 до 1000 мм в год.</w:t>
      </w:r>
    </w:p>
    <w:p w:rsidR="000965D5" w:rsidRPr="000965D5" w:rsidRDefault="000965D5" w:rsidP="000965D5">
      <w:pPr>
        <w:ind w:firstLine="709"/>
        <w:jc w:val="both"/>
        <w:rPr>
          <w:lang w:val="ru-KZ"/>
        </w:rPr>
      </w:pPr>
      <w:r w:rsidRPr="000965D5">
        <w:rPr>
          <w:lang w:val="ru-KZ"/>
        </w:rPr>
        <w:t xml:space="preserve"> Алматы и Алматинская область расположены между хребтами Северного Тянь-Шаня на юге, озеро Балхаш – на северо-западе и река Или – на северо-востоке; на востоке граничит с КНР.</w:t>
      </w:r>
    </w:p>
    <w:p w:rsidR="000965D5" w:rsidRPr="000965D5" w:rsidRDefault="000965D5" w:rsidP="000965D5">
      <w:pPr>
        <w:ind w:firstLine="709"/>
        <w:jc w:val="both"/>
        <w:rPr>
          <w:lang w:val="ru-KZ"/>
        </w:rPr>
      </w:pPr>
      <w:r w:rsidRPr="000965D5">
        <w:rPr>
          <w:lang w:val="ru-KZ"/>
        </w:rPr>
        <w:lastRenderedPageBreak/>
        <w:t>Всю северную половину занимает слабонаклонённая к северу равнина южного Семиречья, или Прибалхашья (высота 300-500 м), пересечённая сухими руслами - баканасами, с массивами грядовых и сыпучих песков (Сары-Ишикотрау, Таукум). Южная часть занята хребтами высотой до 5000 м: Кетмень, Заилийский Алатау и северными отрогами Кунгей-Алатау. С севера хребты окаймлены предгорьями и неширокими предгорными равнинами. Вся южная часть - район высокой сейсмичности.</w:t>
      </w:r>
    </w:p>
    <w:p w:rsidR="000965D5" w:rsidRPr="000965D5" w:rsidRDefault="000965D5" w:rsidP="000965D5">
      <w:pPr>
        <w:ind w:firstLine="709"/>
        <w:jc w:val="both"/>
        <w:rPr>
          <w:lang w:val="ru-KZ"/>
        </w:rPr>
      </w:pPr>
      <w:r w:rsidRPr="000965D5">
        <w:rPr>
          <w:lang w:val="ru-KZ"/>
        </w:rPr>
        <w:t>Для северной, равнинной части характерна резкая континентальность климата, относительно холодная зима (января -9°С, -10°С), жаркое лето (июль около 24°С). Осадков выпадает всего 110 мм в год. В предгорной полосе климат мягче, осадков до 500-600 мм. В горах ярко выражена вертикальная поясность; количество осадков достигает 700-1000 мм в год. Вегетационный период в предгорьях и на равнине 205-225 дней.</w:t>
      </w:r>
    </w:p>
    <w:p w:rsidR="000965D5" w:rsidRPr="000965D5" w:rsidRDefault="000965D5" w:rsidP="000965D5">
      <w:pPr>
        <w:ind w:firstLine="709"/>
        <w:jc w:val="both"/>
        <w:rPr>
          <w:lang w:val="ru-KZ"/>
        </w:rPr>
      </w:pPr>
      <w:r w:rsidRPr="000965D5">
        <w:rPr>
          <w:lang w:val="ru-KZ"/>
        </w:rPr>
        <w:t>Север и северо-запад почти лишены поверхностного стока; единственная река здесь - Или, образующая сильно развитую заболоченную дельту и впадающая в западную часть озера Балхаш. В южной, предгорной части речная сеть сравнительно густа; большинство рек (Курты, Каскелен, Талгар, Иссык, Тургень, Чилик, Чарын и др.) берёт начало в горах и обычно не доходит до реки Или; реки теряются в песках или разбираются на орошение. В горах много мелких пресных озёр (Большое Алматинское и др.) и минеральных источников (Алма-Арасан и др.).</w:t>
      </w:r>
    </w:p>
    <w:p w:rsidR="000965D5" w:rsidRPr="000965D5" w:rsidRDefault="000965D5" w:rsidP="000965D5">
      <w:pPr>
        <w:ind w:firstLine="709"/>
        <w:jc w:val="both"/>
        <w:rPr>
          <w:lang w:val="ru-KZ"/>
        </w:rPr>
      </w:pPr>
      <w:r w:rsidRPr="000965D5">
        <w:rPr>
          <w:lang w:val="ru-KZ"/>
        </w:rPr>
        <w:t>Почвенно-растительный покров очень разнообразен. В равнинной части - полупустынная и пустынная, полынно-солянковая растительность с зарослями саксаула; весной характерны эфемеры и эфемероиды на глинистых бурозёмах. Имеются солончаки. На заболоченном побережье Балхаша, в дельте и долине Или - заросли тростника, луговая и галофитная растительность, отчасти тугайные леса из ивы и кустарников на аллювиально-луговых почвах и солончаках.</w:t>
      </w:r>
    </w:p>
    <w:p w:rsidR="000965D5" w:rsidRPr="000965D5" w:rsidRDefault="000965D5" w:rsidP="000965D5">
      <w:pPr>
        <w:ind w:firstLine="709"/>
        <w:jc w:val="both"/>
        <w:rPr>
          <w:lang w:val="ru-KZ"/>
        </w:rPr>
      </w:pPr>
      <w:r w:rsidRPr="000965D5">
        <w:rPr>
          <w:lang w:val="ru-KZ"/>
        </w:rPr>
        <w:t xml:space="preserve">В горах высотой 600 м полупустыня сменяется поясом сухих полынно-ковыльно-типчаковых степей на каштановых почвах; </w:t>
      </w:r>
    </w:p>
    <w:p w:rsidR="000965D5" w:rsidRPr="000965D5" w:rsidRDefault="000965D5" w:rsidP="000965D5">
      <w:pPr>
        <w:ind w:firstLine="709"/>
        <w:jc w:val="both"/>
        <w:rPr>
          <w:lang w:val="ru-KZ"/>
        </w:rPr>
      </w:pPr>
      <w:r w:rsidRPr="000965D5">
        <w:rPr>
          <w:lang w:val="ru-KZ"/>
        </w:rPr>
        <w:t xml:space="preserve">на высоте 800-1700 м луга на чернозёмовидных горных почвах и лиственные леса паркового типа; </w:t>
      </w:r>
    </w:p>
    <w:p w:rsidR="000965D5" w:rsidRPr="000965D5" w:rsidRDefault="000965D5" w:rsidP="000965D5">
      <w:pPr>
        <w:ind w:firstLine="709"/>
        <w:jc w:val="both"/>
        <w:rPr>
          <w:lang w:val="ru-KZ"/>
        </w:rPr>
      </w:pPr>
      <w:r w:rsidRPr="000965D5">
        <w:rPr>
          <w:lang w:val="ru-KZ"/>
        </w:rPr>
        <w:t xml:space="preserve">на высоте 1500-1700 м - пояс субальпийских лугов в сочетании с хвойными лесами (тянь-шаньская ель, пихта, арча) на горнолуговых почвах; </w:t>
      </w:r>
    </w:p>
    <w:p w:rsidR="000965D5" w:rsidRPr="000965D5" w:rsidRDefault="000965D5" w:rsidP="000965D5">
      <w:pPr>
        <w:ind w:firstLine="709"/>
        <w:jc w:val="both"/>
        <w:rPr>
          <w:lang w:val="ru-KZ"/>
        </w:rPr>
      </w:pPr>
      <w:r w:rsidRPr="000965D5">
        <w:rPr>
          <w:lang w:val="ru-KZ"/>
        </w:rPr>
        <w:t>выше 2800 м - низкотравные альпийские луга и кустарники на горнотундровых почвах.</w:t>
      </w:r>
    </w:p>
    <w:p w:rsidR="000965D5" w:rsidRPr="000965D5" w:rsidRDefault="000965D5" w:rsidP="000965D5">
      <w:pPr>
        <w:ind w:firstLine="709"/>
        <w:jc w:val="both"/>
        <w:rPr>
          <w:lang w:val="ru-KZ"/>
        </w:rPr>
      </w:pPr>
      <w:r w:rsidRPr="000965D5">
        <w:rPr>
          <w:lang w:val="ru-KZ"/>
        </w:rPr>
        <w:t xml:space="preserve">В пустынях много грызунов: песчанки, полёвки, заяц-толай; копытные: антилопа джейран, косуля; хищники: волк, лисица, барсук. В дельте Или — кабан, здесь же акклиматизирована ондатра. Характерны из пресмыкающихся змеи, черепахи, ящерицы, из беспозвоночных: фаланги, паук-каракурт. В горах встречаются снежный барс, рысь. В озере Балхаш и реке или водятся сазан, маринка, окунь, шип, лещ и др. </w:t>
      </w:r>
    </w:p>
    <w:p w:rsidR="000965D5" w:rsidRPr="000965D5" w:rsidRDefault="000965D5" w:rsidP="000965D5">
      <w:pPr>
        <w:ind w:firstLine="709"/>
        <w:jc w:val="both"/>
        <w:rPr>
          <w:lang w:val="ru-KZ"/>
        </w:rPr>
      </w:pPr>
      <w:r w:rsidRPr="000965D5">
        <w:rPr>
          <w:lang w:val="ru-KZ"/>
        </w:rPr>
        <w:t>В районе расположения строительства редких животных и растений, занесенных в Красную книгу РК, не установлено.</w:t>
      </w:r>
    </w:p>
    <w:p w:rsidR="000965D5" w:rsidRPr="000965D5" w:rsidRDefault="000965D5" w:rsidP="000965D5">
      <w:pPr>
        <w:ind w:firstLine="709"/>
        <w:jc w:val="both"/>
        <w:rPr>
          <w:lang w:val="ru-KZ"/>
        </w:rPr>
      </w:pPr>
      <w:r w:rsidRPr="000965D5">
        <w:rPr>
          <w:lang w:val="ru-KZ"/>
        </w:rPr>
        <w:t>Грунтовое основание площадки, в естественном залеганиии, представлено маломощным слоем четвертичных связаных суглинков проявляющие просадочные свойства только от дополнительных нагрузок, суглинистые отложения подстилаются не связными галечниково-гравийными грунтами с песчаным заполнителем. С поверхности отложеня повсеместно перекрыты насыпным грунтом, площадь распространения грунтов техногенного характера была определена в габаритах сужествующих скважин. Распространение отложений и образований в плане и профиле отражено в грунтовой части продрольных профилей. В связи со значительной неоднородностью и непредсказуемостью насыпные грунты в качестве основания зданий и сооружений использовать не рекомендуется.</w:t>
      </w:r>
    </w:p>
    <w:p w:rsidR="000965D5" w:rsidRPr="000965D5" w:rsidRDefault="000965D5" w:rsidP="000965D5">
      <w:pPr>
        <w:pStyle w:val="a7"/>
        <w:ind w:firstLine="567"/>
        <w:jc w:val="both"/>
        <w:rPr>
          <w:rFonts w:eastAsia="Times New Roman" w:cs="Times New Roman"/>
          <w:szCs w:val="24"/>
          <w:lang w:val="ru-KZ" w:eastAsia="ru-RU"/>
        </w:rPr>
      </w:pPr>
    </w:p>
    <w:p w:rsidR="000B21F0" w:rsidRDefault="000B21F0" w:rsidP="000965D5">
      <w:pPr>
        <w:pStyle w:val="a7"/>
        <w:ind w:firstLine="567"/>
        <w:jc w:val="both"/>
        <w:rPr>
          <w:b/>
          <w:szCs w:val="24"/>
          <w:u w:val="single"/>
        </w:rPr>
      </w:pPr>
      <w:r w:rsidRPr="00FC5615">
        <w:rPr>
          <w:b/>
          <w:szCs w:val="24"/>
          <w:u w:val="single"/>
        </w:rPr>
        <w:t>Атмосферный воздух</w:t>
      </w:r>
    </w:p>
    <w:p w:rsidR="000965D5" w:rsidRDefault="000965D5" w:rsidP="000965D5">
      <w:pPr>
        <w:ind w:firstLine="567"/>
        <w:jc w:val="both"/>
        <w:outlineLvl w:val="0"/>
      </w:pPr>
      <w:r>
        <w:lastRenderedPageBreak/>
        <w:t>В период эксплуатации будет 17 организованных и 2 неорганизованных источников выбросов загрязняющих веществ:</w:t>
      </w:r>
    </w:p>
    <w:p w:rsidR="000965D5" w:rsidRDefault="000965D5" w:rsidP="000965D5">
      <w:pPr>
        <w:ind w:firstLine="567"/>
        <w:jc w:val="both"/>
        <w:outlineLvl w:val="0"/>
      </w:pPr>
      <w:r>
        <w:t>•</w:t>
      </w:r>
      <w:r>
        <w:tab/>
        <w:t>аммиачный компрессорный цех (источник 0001);</w:t>
      </w:r>
    </w:p>
    <w:p w:rsidR="000965D5" w:rsidRDefault="000965D5" w:rsidP="000965D5">
      <w:pPr>
        <w:ind w:firstLine="567"/>
        <w:jc w:val="both"/>
        <w:outlineLvl w:val="0"/>
      </w:pPr>
      <w:r>
        <w:t>•</w:t>
      </w:r>
      <w:r>
        <w:tab/>
        <w:t>газовая котельная (источники 0002-0006);</w:t>
      </w:r>
    </w:p>
    <w:p w:rsidR="000965D5" w:rsidRDefault="000965D5" w:rsidP="000965D5">
      <w:pPr>
        <w:ind w:firstLine="567"/>
        <w:jc w:val="both"/>
        <w:outlineLvl w:val="0"/>
      </w:pPr>
      <w:r>
        <w:t>•</w:t>
      </w:r>
      <w:r>
        <w:tab/>
        <w:t>выпечка вафель (источники 0007-0010);</w:t>
      </w:r>
    </w:p>
    <w:p w:rsidR="000965D5" w:rsidRDefault="000965D5" w:rsidP="000965D5">
      <w:pPr>
        <w:ind w:firstLine="567"/>
        <w:jc w:val="both"/>
        <w:outlineLvl w:val="0"/>
      </w:pPr>
      <w:r>
        <w:t>•</w:t>
      </w:r>
      <w:r>
        <w:tab/>
      </w:r>
      <w:proofErr w:type="spellStart"/>
      <w:r>
        <w:t>мукопросеиватель</w:t>
      </w:r>
      <w:proofErr w:type="spellEnd"/>
      <w:r>
        <w:t xml:space="preserve"> и лаборатория физико-химическая (источник 0011);</w:t>
      </w:r>
    </w:p>
    <w:p w:rsidR="000965D5" w:rsidRDefault="000965D5" w:rsidP="000965D5">
      <w:pPr>
        <w:ind w:firstLine="567"/>
        <w:jc w:val="both"/>
        <w:outlineLvl w:val="0"/>
      </w:pPr>
      <w:r>
        <w:t>•</w:t>
      </w:r>
      <w:r>
        <w:tab/>
        <w:t>отделение централизованной мойки (источник 0012, 0016);</w:t>
      </w:r>
    </w:p>
    <w:p w:rsidR="000965D5" w:rsidRDefault="000965D5" w:rsidP="000965D5">
      <w:pPr>
        <w:ind w:firstLine="567"/>
        <w:jc w:val="both"/>
        <w:outlineLvl w:val="0"/>
      </w:pPr>
      <w:r>
        <w:t>•</w:t>
      </w:r>
      <w:r>
        <w:tab/>
        <w:t>прачечная (источник 0013);</w:t>
      </w:r>
    </w:p>
    <w:p w:rsidR="000965D5" w:rsidRDefault="000965D5" w:rsidP="000965D5">
      <w:pPr>
        <w:ind w:firstLine="567"/>
        <w:jc w:val="both"/>
        <w:outlineLvl w:val="0"/>
      </w:pPr>
      <w:r>
        <w:t>•</w:t>
      </w:r>
      <w:r>
        <w:tab/>
        <w:t>участок ремонта и обслуживания автотранспорта предприятия АТП (источник 0014);</w:t>
      </w:r>
    </w:p>
    <w:p w:rsidR="000965D5" w:rsidRDefault="000965D5" w:rsidP="000965D5">
      <w:pPr>
        <w:ind w:firstLine="567"/>
        <w:jc w:val="both"/>
        <w:outlineLvl w:val="0"/>
      </w:pPr>
      <w:r>
        <w:t>•</w:t>
      </w:r>
      <w:r>
        <w:tab/>
        <w:t>ремонтный цех в производственном корпусе № 1 (источник 0015);</w:t>
      </w:r>
    </w:p>
    <w:p w:rsidR="000965D5" w:rsidRDefault="000965D5" w:rsidP="000965D5">
      <w:pPr>
        <w:ind w:firstLine="567"/>
        <w:jc w:val="both"/>
        <w:outlineLvl w:val="0"/>
      </w:pPr>
      <w:r>
        <w:t>•</w:t>
      </w:r>
      <w:r>
        <w:tab/>
        <w:t>помещение подготовки сухих веществ в производственном корпусе № 1 (источник 0017);</w:t>
      </w:r>
    </w:p>
    <w:p w:rsidR="000965D5" w:rsidRDefault="000965D5" w:rsidP="000965D5">
      <w:pPr>
        <w:ind w:firstLine="567"/>
        <w:jc w:val="both"/>
        <w:outlineLvl w:val="0"/>
      </w:pPr>
      <w:r>
        <w:t>•</w:t>
      </w:r>
      <w:r>
        <w:tab/>
        <w:t>парковка легковых автомобилей (источник 6001);</w:t>
      </w:r>
    </w:p>
    <w:p w:rsidR="000965D5" w:rsidRDefault="000965D5" w:rsidP="000965D5">
      <w:pPr>
        <w:ind w:firstLine="567"/>
        <w:jc w:val="both"/>
        <w:outlineLvl w:val="0"/>
      </w:pPr>
      <w:r>
        <w:t>•</w:t>
      </w:r>
      <w:r>
        <w:tab/>
        <w:t>парковка автобусов (источник 6002).</w:t>
      </w:r>
    </w:p>
    <w:p w:rsidR="000965D5" w:rsidRDefault="000965D5" w:rsidP="000965D5">
      <w:pPr>
        <w:keepNext/>
        <w:keepLines/>
        <w:ind w:firstLine="567"/>
        <w:jc w:val="both"/>
      </w:pPr>
      <w:r>
        <w:lastRenderedPageBreak/>
        <w:t xml:space="preserve">В данном проекте нормативов эмиссий рассматриваются работы на период строительства котельной для завода по производству мороженного расположенного в </w:t>
      </w:r>
      <w:proofErr w:type="spellStart"/>
      <w:r>
        <w:t>Илийском</w:t>
      </w:r>
      <w:proofErr w:type="spellEnd"/>
      <w:r>
        <w:t xml:space="preserve"> районе </w:t>
      </w:r>
      <w:proofErr w:type="spellStart"/>
      <w:r>
        <w:t>Алматинской</w:t>
      </w:r>
      <w:proofErr w:type="spellEnd"/>
      <w:r>
        <w:t xml:space="preserve"> области) и на период эксплуатации работы котельной для отопления и </w:t>
      </w:r>
      <w:proofErr w:type="spellStart"/>
      <w:r>
        <w:t>пароснабжения</w:t>
      </w:r>
      <w:proofErr w:type="spellEnd"/>
      <w:r>
        <w:t>.</w:t>
      </w:r>
    </w:p>
    <w:p w:rsidR="000965D5" w:rsidRDefault="000965D5" w:rsidP="000965D5">
      <w:pPr>
        <w:keepNext/>
        <w:keepLines/>
        <w:ind w:firstLine="567"/>
        <w:jc w:val="both"/>
      </w:pPr>
      <w:r>
        <w:t xml:space="preserve">На время строительно-монтажных работ находится 1 неорганизованный источник загрязнения, (без учета выбросов загрязняющих веществ от автотранспорта) в выбросах предприятия содержится 20 ингредиентов загрязняющих веществ и валовый выброс составит 1,36154647 т/год. </w:t>
      </w:r>
    </w:p>
    <w:p w:rsidR="000965D5" w:rsidRDefault="000965D5" w:rsidP="000965D5">
      <w:pPr>
        <w:keepNext/>
        <w:keepLines/>
        <w:ind w:firstLine="567"/>
        <w:jc w:val="both"/>
      </w:pPr>
      <w:r>
        <w:t xml:space="preserve">При строительства в атмосферный воздух выделяются (без учета выбросов загрязняющих веществ от автотранспорта): -  оксид железа (0123), марганец и его соединения (0143), диоксид азота (0301), оксид азота (0304), сажа (0328), сернистый ангидрид (0330), оксид углерода (0337), фтористый водород (0342), оксид хрома (0203), ацетон (1401), </w:t>
      </w:r>
      <w:proofErr w:type="spellStart"/>
      <w:r>
        <w:t>бутилацетат</w:t>
      </w:r>
      <w:proofErr w:type="spellEnd"/>
      <w:r>
        <w:t xml:space="preserve"> (1210), толуол (0621), ксилол (0616), </w:t>
      </w:r>
      <w:proofErr w:type="spellStart"/>
      <w:r>
        <w:t>уайт</w:t>
      </w:r>
      <w:proofErr w:type="spellEnd"/>
      <w:r>
        <w:t xml:space="preserve"> – спирит (2752), </w:t>
      </w:r>
      <w:proofErr w:type="spellStart"/>
      <w:r>
        <w:t>бенз</w:t>
      </w:r>
      <w:proofErr w:type="spellEnd"/>
      <w:r>
        <w:t>(а)</w:t>
      </w:r>
      <w:proofErr w:type="spellStart"/>
      <w:r>
        <w:t>пирен</w:t>
      </w:r>
      <w:proofErr w:type="spellEnd"/>
      <w:r>
        <w:t xml:space="preserve"> (0703), взвешенные частицы (2902), пыль древесная (2936), </w:t>
      </w:r>
      <w:proofErr w:type="spellStart"/>
      <w:r>
        <w:t>алканы</w:t>
      </w:r>
      <w:proofErr w:type="spellEnd"/>
      <w:r>
        <w:t xml:space="preserve"> (2754), пыль неорганическая (2908),  винилхлорид (0827).</w:t>
      </w:r>
    </w:p>
    <w:p w:rsidR="000965D5" w:rsidRDefault="000965D5" w:rsidP="000965D5">
      <w:pPr>
        <w:keepNext/>
        <w:keepLines/>
        <w:ind w:firstLine="567"/>
        <w:jc w:val="both"/>
      </w:pPr>
      <w:r>
        <w:t>В данном проекте производится расчет и устанавливаются нормативы на период эксплуатации завода на 2026-2034 год.</w:t>
      </w:r>
    </w:p>
    <w:p w:rsidR="000965D5" w:rsidRDefault="000965D5" w:rsidP="000965D5">
      <w:pPr>
        <w:keepNext/>
        <w:keepLines/>
        <w:ind w:firstLine="567"/>
        <w:jc w:val="both"/>
      </w:pPr>
      <w:r>
        <w:t>В результате проведенных расчетов было выявлено, что загрязняющие атмосферный воздух вещества, образующиеся в процессе производства отводятся через 17 организованных и 2 неорганизованных источников выбросов загрязняющих веществ.  По степени воздействия на организм человека все загрязняющие вещества, присутствующие в выбросах при эксплуатации, относятся к 2, 3 и 4 классам опасности.</w:t>
      </w:r>
    </w:p>
    <w:p w:rsidR="000965D5" w:rsidRDefault="000965D5" w:rsidP="000965D5">
      <w:pPr>
        <w:keepNext/>
        <w:keepLines/>
        <w:ind w:firstLine="567"/>
        <w:jc w:val="both"/>
      </w:pPr>
      <w:r>
        <w:t>Всего в период эксплуатации будут выбрасываться в атмосферу с учетом передвижных источников (парковка легковых автомобилей и автобусов) 20 вредных вещества, из них 8 твердых и 12 газообразных.</w:t>
      </w:r>
    </w:p>
    <w:p w:rsidR="000965D5" w:rsidRDefault="000965D5" w:rsidP="000965D5">
      <w:pPr>
        <w:keepNext/>
        <w:keepLines/>
        <w:ind w:firstLine="567"/>
        <w:jc w:val="both"/>
      </w:pPr>
      <w:r>
        <w:t>В период эксплуатации в атмосферу будет выбрасываться 214,5127502 тонн в год, с учетом перспективы вредных веществ, большая часть загрязняющих веществ 3 класса опасности.</w:t>
      </w:r>
    </w:p>
    <w:p w:rsidR="000965D5" w:rsidRDefault="000965D5" w:rsidP="000965D5">
      <w:pPr>
        <w:keepNext/>
        <w:keepLines/>
        <w:ind w:firstLine="567"/>
        <w:jc w:val="both"/>
      </w:pPr>
      <w:proofErr w:type="gramStart"/>
      <w:r>
        <w:t>В связи с тем что</w:t>
      </w:r>
      <w:proofErr w:type="gramEnd"/>
      <w:r>
        <w:t>, Завод по производству мороженного функционируют, и да деятельность выдано Разрешение на эмиссии в окружающую среду №KZ77VDD00156132 от 10.12.2020 года, в 2025 году нормативы ЗВ проектом предлагается установить 16,5698 т/год. С 2026 года по 2030 год предлагается установить 135,3356 т/год, при работе трех котлов.</w:t>
      </w:r>
    </w:p>
    <w:p w:rsidR="000965D5" w:rsidRDefault="000965D5" w:rsidP="000965D5">
      <w:pPr>
        <w:keepNext/>
        <w:keepLines/>
        <w:ind w:firstLine="567"/>
        <w:jc w:val="both"/>
      </w:pPr>
      <w:r>
        <w:t xml:space="preserve">В 2020 году был </w:t>
      </w:r>
      <w:proofErr w:type="spellStart"/>
      <w:r>
        <w:t>разраюотан</w:t>
      </w:r>
      <w:proofErr w:type="spellEnd"/>
      <w:r>
        <w:t xml:space="preserve"> проект «ОВОС» на Завод по производству мороженого, расположенный в </w:t>
      </w:r>
      <w:proofErr w:type="spellStart"/>
      <w:r>
        <w:t>Илийском</w:t>
      </w:r>
      <w:proofErr w:type="spellEnd"/>
      <w:r>
        <w:t xml:space="preserve"> районе </w:t>
      </w:r>
      <w:proofErr w:type="spellStart"/>
      <w:r>
        <w:t>Алматинской</w:t>
      </w:r>
      <w:proofErr w:type="spellEnd"/>
      <w:r>
        <w:t xml:space="preserve"> области и получено положительное заключение №18-0180/20от15.12.2020 г. (положительное) по проекту «П «Завод по производству мороженого, расположенный в </w:t>
      </w:r>
      <w:proofErr w:type="spellStart"/>
      <w:r>
        <w:t>Илийском</w:t>
      </w:r>
      <w:proofErr w:type="spellEnd"/>
      <w:r>
        <w:t xml:space="preserve"> районе </w:t>
      </w:r>
      <w:proofErr w:type="spellStart"/>
      <w:r>
        <w:t>Алматинской</w:t>
      </w:r>
      <w:proofErr w:type="spellEnd"/>
      <w:r>
        <w:t xml:space="preserve"> области».  Имеется Разрешение на эмиссии в окружающую среду №KZ77VDD00156132 от 10.12.2020 года.</w:t>
      </w:r>
    </w:p>
    <w:p w:rsidR="000965D5" w:rsidRDefault="000965D5" w:rsidP="000965D5">
      <w:pPr>
        <w:keepNext/>
        <w:keepLines/>
        <w:ind w:firstLine="567"/>
        <w:jc w:val="both"/>
      </w:pPr>
      <w:r>
        <w:t xml:space="preserve">Изменение вносится в связи с изменением параметров котлов, установленных в котельной. </w:t>
      </w:r>
    </w:p>
    <w:p w:rsidR="000B21F0" w:rsidRPr="009F27F0" w:rsidRDefault="000B21F0" w:rsidP="000965D5">
      <w:pPr>
        <w:keepNext/>
        <w:keepLines/>
        <w:ind w:firstLine="567"/>
        <w:jc w:val="both"/>
        <w:rPr>
          <w:b/>
          <w:u w:val="single"/>
        </w:rPr>
      </w:pPr>
      <w:r w:rsidRPr="00C00A69">
        <w:rPr>
          <w:b/>
          <w:u w:val="single"/>
        </w:rPr>
        <w:t>Водные ресурсы</w:t>
      </w:r>
    </w:p>
    <w:p w:rsidR="00320226" w:rsidRDefault="00320226" w:rsidP="00320226">
      <w:pPr>
        <w:ind w:firstLine="540"/>
        <w:jc w:val="both"/>
      </w:pPr>
      <w:r>
        <w:t>Пунктов питания на рассматриваемой площадке не предусматривается.</w:t>
      </w:r>
    </w:p>
    <w:p w:rsidR="00320226" w:rsidRDefault="00320226" w:rsidP="00320226">
      <w:pPr>
        <w:ind w:firstLine="540"/>
        <w:jc w:val="both"/>
      </w:pPr>
      <w:r>
        <w:t>Потребности в питьевой воде на период строительных работ будут обеспечены за счет питьевой воды в бутылках. Для оценки возможного водопотребления и отведения сточных вод принято ориентировочное количество задействованного персонала.</w:t>
      </w:r>
    </w:p>
    <w:p w:rsidR="00320226" w:rsidRPr="00320226" w:rsidRDefault="00320226" w:rsidP="00320226">
      <w:pPr>
        <w:ind w:firstLine="567"/>
        <w:jc w:val="both"/>
        <w:outlineLvl w:val="0"/>
      </w:pPr>
      <w:proofErr w:type="spellStart"/>
      <w:r w:rsidRPr="00320226">
        <w:t>Хозбытовая</w:t>
      </w:r>
      <w:proofErr w:type="spellEnd"/>
      <w:r w:rsidRPr="00320226">
        <w:t xml:space="preserve"> канализация. На территории строительной площадки устанавливаются биотуалеты. По мере накопления, стоки специальным автотранспортом отправляются сторонней организации на переработку.</w:t>
      </w:r>
    </w:p>
    <w:p w:rsidR="000965D5" w:rsidRDefault="000B21F0" w:rsidP="00320226">
      <w:pPr>
        <w:ind w:firstLine="567"/>
        <w:jc w:val="both"/>
        <w:outlineLvl w:val="0"/>
      </w:pPr>
      <w:r w:rsidRPr="009F27F0">
        <w:t xml:space="preserve">Отвод сточных вод от санитарных приборов осуществляется по самотечным канализационным трубам в специальную емкость (септик) объёмом 20 м3, из которого по </w:t>
      </w:r>
      <w:r w:rsidRPr="009F27F0">
        <w:lastRenderedPageBreak/>
        <w:t>мере накопления откачиваются и вывозятся специальным автотранспортом на очистные сооружения в соответствии с договором со сторонними организациями.</w:t>
      </w:r>
    </w:p>
    <w:p w:rsidR="000965D5" w:rsidRDefault="000B21F0" w:rsidP="000965D5">
      <w:pPr>
        <w:ind w:firstLine="567"/>
        <w:jc w:val="both"/>
        <w:outlineLvl w:val="0"/>
      </w:pPr>
      <w:r w:rsidRPr="009F27F0">
        <w:t xml:space="preserve"> </w:t>
      </w:r>
      <w:r w:rsidR="000965D5">
        <w:t>Источники загрязнения поверхностных и подземных вод отсутствуют. Отбор воды из поверхностных источников и сброс канализационных сточных вод в открытые водоемы не производится.</w:t>
      </w:r>
    </w:p>
    <w:p w:rsidR="000965D5" w:rsidRDefault="000965D5" w:rsidP="000965D5">
      <w:pPr>
        <w:ind w:firstLine="567"/>
        <w:jc w:val="both"/>
        <w:outlineLvl w:val="0"/>
      </w:pPr>
      <w:r>
        <w:t>•</w:t>
      </w:r>
      <w:r>
        <w:tab/>
        <w:t>водоснабжение - от существующих сетей.</w:t>
      </w:r>
    </w:p>
    <w:p w:rsidR="000B21F0" w:rsidRDefault="000965D5" w:rsidP="000965D5">
      <w:pPr>
        <w:ind w:firstLine="567"/>
        <w:jc w:val="both"/>
        <w:outlineLvl w:val="0"/>
      </w:pPr>
      <w:r>
        <w:t>•</w:t>
      </w:r>
      <w:r>
        <w:tab/>
        <w:t xml:space="preserve">канализация – предусматривается в водонепроницаемый септик, с последующим вывозом из территории </w:t>
      </w:r>
      <w:proofErr w:type="spellStart"/>
      <w:r>
        <w:t>специализированым</w:t>
      </w:r>
      <w:proofErr w:type="spellEnd"/>
      <w:r>
        <w:t xml:space="preserve"> автотранспортом (согласно Договора).</w:t>
      </w:r>
      <w:bookmarkStart w:id="0" w:name="_GoBack"/>
      <w:bookmarkEnd w:id="0"/>
    </w:p>
    <w:p w:rsidR="000965D5" w:rsidRDefault="000965D5" w:rsidP="00320226">
      <w:pPr>
        <w:ind w:firstLine="567"/>
        <w:jc w:val="both"/>
        <w:outlineLvl w:val="0"/>
      </w:pPr>
    </w:p>
    <w:p w:rsidR="000B21F0" w:rsidRDefault="000B21F0" w:rsidP="000B21F0">
      <w:pPr>
        <w:pStyle w:val="3"/>
        <w:spacing w:after="0" w:line="276" w:lineRule="auto"/>
        <w:ind w:left="0" w:firstLine="567"/>
        <w:jc w:val="both"/>
        <w:rPr>
          <w:b/>
          <w:snapToGrid w:val="0"/>
          <w:sz w:val="24"/>
          <w:szCs w:val="24"/>
          <w:u w:val="single"/>
        </w:rPr>
      </w:pPr>
      <w:r w:rsidRPr="009F27F0">
        <w:rPr>
          <w:b/>
          <w:snapToGrid w:val="0"/>
          <w:sz w:val="24"/>
          <w:szCs w:val="24"/>
          <w:u w:val="single"/>
        </w:rPr>
        <w:t>Отходы</w:t>
      </w:r>
    </w:p>
    <w:p w:rsidR="000965D5" w:rsidRPr="000965D5" w:rsidRDefault="000965D5" w:rsidP="000965D5">
      <w:pPr>
        <w:ind w:firstLine="567"/>
        <w:jc w:val="both"/>
        <w:outlineLvl w:val="0"/>
      </w:pPr>
      <w:r w:rsidRPr="000965D5">
        <w:t>Обращение с каждым видом отходов производства и потребления зависит от их происхождения, агрегатного состояния, физико-химических свойств субстрата, количественного соотношения компонентов и степени опасности для здоровья населения и среды обитания человека.</w:t>
      </w:r>
    </w:p>
    <w:p w:rsidR="000965D5" w:rsidRPr="000965D5" w:rsidRDefault="000965D5" w:rsidP="000965D5">
      <w:pPr>
        <w:ind w:firstLine="567"/>
        <w:jc w:val="both"/>
        <w:outlineLvl w:val="0"/>
      </w:pPr>
      <w:r w:rsidRPr="000965D5">
        <w:t>Все виды и типы образующихся отходов на предприятии в первую очередь зависят от осуществляемых технологических процессов и выполняемых производственных операций.</w:t>
      </w:r>
    </w:p>
    <w:p w:rsidR="000965D5" w:rsidRPr="000965D5" w:rsidRDefault="000965D5" w:rsidP="000965D5">
      <w:pPr>
        <w:ind w:firstLine="567"/>
        <w:jc w:val="both"/>
        <w:outlineLvl w:val="0"/>
      </w:pPr>
      <w:r w:rsidRPr="000965D5">
        <w:t>Виды образуемых отходов на предприятии:</w:t>
      </w:r>
    </w:p>
    <w:p w:rsidR="000965D5" w:rsidRPr="000965D5" w:rsidRDefault="000965D5" w:rsidP="000965D5">
      <w:pPr>
        <w:ind w:firstLine="567"/>
        <w:jc w:val="both"/>
        <w:outlineLvl w:val="0"/>
      </w:pPr>
      <w:r w:rsidRPr="000965D5">
        <w:t>-</w:t>
      </w:r>
      <w:r w:rsidRPr="000965D5">
        <w:tab/>
        <w:t>Твердо-бытовые отходы (ТБО);</w:t>
      </w:r>
    </w:p>
    <w:p w:rsidR="000965D5" w:rsidRPr="000965D5" w:rsidRDefault="000965D5" w:rsidP="000965D5">
      <w:pPr>
        <w:ind w:firstLine="567"/>
        <w:jc w:val="both"/>
        <w:outlineLvl w:val="0"/>
      </w:pPr>
      <w:r w:rsidRPr="000965D5">
        <w:t>-</w:t>
      </w:r>
      <w:r w:rsidRPr="000965D5">
        <w:tab/>
        <w:t>Смет территории;</w:t>
      </w:r>
    </w:p>
    <w:p w:rsidR="000965D5" w:rsidRPr="000965D5" w:rsidRDefault="000965D5" w:rsidP="000965D5">
      <w:pPr>
        <w:ind w:firstLine="567"/>
        <w:jc w:val="both"/>
        <w:outlineLvl w:val="0"/>
      </w:pPr>
      <w:r w:rsidRPr="000965D5">
        <w:t>-</w:t>
      </w:r>
      <w:r w:rsidRPr="000965D5">
        <w:tab/>
        <w:t xml:space="preserve">Отходы </w:t>
      </w:r>
      <w:proofErr w:type="spellStart"/>
      <w:r w:rsidRPr="000965D5">
        <w:t>жироуловителя</w:t>
      </w:r>
      <w:proofErr w:type="spellEnd"/>
      <w:r w:rsidRPr="000965D5">
        <w:t>;</w:t>
      </w:r>
    </w:p>
    <w:p w:rsidR="000965D5" w:rsidRPr="000965D5" w:rsidRDefault="000965D5" w:rsidP="000965D5">
      <w:pPr>
        <w:ind w:firstLine="567"/>
        <w:jc w:val="both"/>
        <w:outlineLvl w:val="0"/>
      </w:pPr>
      <w:r w:rsidRPr="000965D5">
        <w:t>-</w:t>
      </w:r>
      <w:r w:rsidRPr="000965D5">
        <w:tab/>
        <w:t>Отходы упаковки и тары;</w:t>
      </w:r>
    </w:p>
    <w:p w:rsidR="000965D5" w:rsidRPr="000965D5" w:rsidRDefault="000965D5" w:rsidP="000965D5">
      <w:pPr>
        <w:ind w:firstLine="567"/>
        <w:jc w:val="both"/>
        <w:outlineLvl w:val="0"/>
      </w:pPr>
      <w:r w:rsidRPr="000965D5">
        <w:t>-</w:t>
      </w:r>
      <w:r w:rsidRPr="000965D5">
        <w:tab/>
        <w:t>Пищевые отходы от столовой;</w:t>
      </w:r>
    </w:p>
    <w:p w:rsidR="000965D5" w:rsidRPr="000965D5" w:rsidRDefault="000965D5" w:rsidP="000965D5">
      <w:pPr>
        <w:ind w:firstLine="567"/>
        <w:jc w:val="both"/>
        <w:outlineLvl w:val="0"/>
      </w:pPr>
      <w:r w:rsidRPr="000965D5">
        <w:t>-</w:t>
      </w:r>
      <w:r w:rsidRPr="000965D5">
        <w:tab/>
        <w:t>Медицинские отходы;</w:t>
      </w:r>
    </w:p>
    <w:p w:rsidR="000965D5" w:rsidRPr="000965D5" w:rsidRDefault="000965D5" w:rsidP="000965D5">
      <w:pPr>
        <w:ind w:firstLine="567"/>
        <w:jc w:val="both"/>
        <w:outlineLvl w:val="0"/>
      </w:pPr>
      <w:r w:rsidRPr="000965D5">
        <w:t>-</w:t>
      </w:r>
      <w:r w:rsidRPr="000965D5">
        <w:tab/>
        <w:t>Осадок очистных сооружений;</w:t>
      </w:r>
    </w:p>
    <w:p w:rsidR="000965D5" w:rsidRPr="000965D5" w:rsidRDefault="000965D5" w:rsidP="000965D5">
      <w:pPr>
        <w:ind w:firstLine="567"/>
        <w:jc w:val="both"/>
        <w:outlineLvl w:val="0"/>
      </w:pPr>
      <w:r w:rsidRPr="000965D5">
        <w:t>-</w:t>
      </w:r>
      <w:r w:rsidRPr="000965D5">
        <w:tab/>
        <w:t>Производственные сточные воды;</w:t>
      </w:r>
    </w:p>
    <w:p w:rsidR="000965D5" w:rsidRPr="000965D5" w:rsidRDefault="000965D5" w:rsidP="000965D5">
      <w:pPr>
        <w:ind w:firstLine="567"/>
        <w:jc w:val="both"/>
        <w:outlineLvl w:val="0"/>
      </w:pPr>
      <w:r w:rsidRPr="000965D5">
        <w:t>-</w:t>
      </w:r>
      <w:r w:rsidRPr="000965D5">
        <w:tab/>
        <w:t>Ливневые сточные воды.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455"/>
        <w:gridCol w:w="4229"/>
      </w:tblGrid>
      <w:tr w:rsidR="000965D5" w:rsidRPr="00C47B8B" w:rsidTr="003071E9">
        <w:trPr>
          <w:jc w:val="center"/>
        </w:trPr>
        <w:tc>
          <w:tcPr>
            <w:tcW w:w="668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contextualSpacing/>
              <w:jc w:val="center"/>
              <w:rPr>
                <w:b/>
                <w:sz w:val="22"/>
              </w:rPr>
            </w:pPr>
            <w:r w:rsidRPr="00C47B8B">
              <w:rPr>
                <w:b/>
                <w:sz w:val="22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contextualSpacing/>
              <w:jc w:val="center"/>
              <w:rPr>
                <w:b/>
                <w:sz w:val="22"/>
              </w:rPr>
            </w:pPr>
            <w:r w:rsidRPr="00C47B8B">
              <w:rPr>
                <w:b/>
                <w:sz w:val="22"/>
              </w:rPr>
              <w:t>Наименование отхода</w:t>
            </w:r>
          </w:p>
        </w:tc>
        <w:tc>
          <w:tcPr>
            <w:tcW w:w="4310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contextualSpacing/>
              <w:jc w:val="center"/>
              <w:rPr>
                <w:b/>
                <w:sz w:val="22"/>
              </w:rPr>
            </w:pPr>
            <w:r w:rsidRPr="00C47B8B">
              <w:rPr>
                <w:b/>
                <w:sz w:val="22"/>
              </w:rPr>
              <w:t xml:space="preserve">Нормативный объем образования, т/год </w:t>
            </w:r>
          </w:p>
        </w:tc>
      </w:tr>
      <w:tr w:rsidR="000965D5" w:rsidRPr="00C47B8B" w:rsidTr="003071E9">
        <w:trPr>
          <w:jc w:val="center"/>
        </w:trPr>
        <w:tc>
          <w:tcPr>
            <w:tcW w:w="668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spacing w:line="360" w:lineRule="auto"/>
              <w:contextualSpacing/>
              <w:jc w:val="center"/>
              <w:rPr>
                <w:sz w:val="22"/>
              </w:rPr>
            </w:pPr>
            <w:r w:rsidRPr="00C47B8B">
              <w:rPr>
                <w:sz w:val="22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autoSpaceDE w:val="0"/>
              <w:autoSpaceDN w:val="0"/>
              <w:spacing w:line="240" w:lineRule="exact"/>
              <w:ind w:left="14"/>
              <w:rPr>
                <w:rFonts w:eastAsia="Calibri"/>
                <w:sz w:val="22"/>
                <w:szCs w:val="22"/>
                <w:lang w:eastAsia="en-US"/>
              </w:rPr>
            </w:pPr>
            <w:r w:rsidRPr="00C47B8B">
              <w:rPr>
                <w:rFonts w:eastAsia="Calibri"/>
                <w:sz w:val="22"/>
                <w:szCs w:val="22"/>
                <w:lang w:eastAsia="en-US"/>
              </w:rPr>
              <w:t xml:space="preserve">Медицинские </w:t>
            </w:r>
            <w:r w:rsidRPr="00C47B8B">
              <w:rPr>
                <w:rFonts w:eastAsia="Calibri"/>
                <w:spacing w:val="-2"/>
                <w:sz w:val="22"/>
                <w:szCs w:val="22"/>
                <w:lang w:eastAsia="en-US"/>
              </w:rPr>
              <w:t>отходы</w:t>
            </w:r>
          </w:p>
        </w:tc>
        <w:tc>
          <w:tcPr>
            <w:tcW w:w="4310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autoSpaceDE w:val="0"/>
              <w:autoSpaceDN w:val="0"/>
              <w:spacing w:line="258" w:lineRule="exact"/>
              <w:ind w:left="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B8B">
              <w:rPr>
                <w:rFonts w:eastAsia="Calibri"/>
                <w:spacing w:val="-2"/>
                <w:sz w:val="22"/>
                <w:szCs w:val="22"/>
                <w:lang w:eastAsia="en-US"/>
              </w:rPr>
              <w:t>0,073</w:t>
            </w:r>
          </w:p>
        </w:tc>
      </w:tr>
      <w:tr w:rsidR="000965D5" w:rsidRPr="00C47B8B" w:rsidTr="003071E9">
        <w:trPr>
          <w:jc w:val="center"/>
        </w:trPr>
        <w:tc>
          <w:tcPr>
            <w:tcW w:w="668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spacing w:line="360" w:lineRule="auto"/>
              <w:contextualSpacing/>
              <w:jc w:val="center"/>
              <w:rPr>
                <w:sz w:val="22"/>
              </w:rPr>
            </w:pPr>
            <w:r w:rsidRPr="00C47B8B">
              <w:rPr>
                <w:sz w:val="22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autoSpaceDE w:val="0"/>
              <w:autoSpaceDN w:val="0"/>
              <w:spacing w:before="9" w:line="208" w:lineRule="auto"/>
              <w:ind w:left="14"/>
              <w:rPr>
                <w:rFonts w:eastAsia="Calibri"/>
                <w:sz w:val="22"/>
                <w:szCs w:val="22"/>
                <w:lang w:eastAsia="en-US"/>
              </w:rPr>
            </w:pPr>
            <w:r w:rsidRPr="00C47B8B">
              <w:rPr>
                <w:rFonts w:eastAsia="Calibri"/>
                <w:sz w:val="22"/>
                <w:szCs w:val="22"/>
                <w:lang w:eastAsia="en-US"/>
              </w:rPr>
              <w:t>Осадок</w:t>
            </w:r>
            <w:r w:rsidRPr="00C47B8B">
              <w:rPr>
                <w:rFonts w:eastAsia="Calibri"/>
                <w:spacing w:val="-15"/>
                <w:sz w:val="22"/>
                <w:szCs w:val="22"/>
                <w:lang w:eastAsia="en-US"/>
              </w:rPr>
              <w:t xml:space="preserve"> </w:t>
            </w:r>
            <w:r w:rsidRPr="00C47B8B">
              <w:rPr>
                <w:rFonts w:eastAsia="Calibri"/>
                <w:sz w:val="22"/>
                <w:szCs w:val="22"/>
                <w:lang w:eastAsia="en-US"/>
              </w:rPr>
              <w:t>очистных</w:t>
            </w:r>
            <w:r w:rsidRPr="00C47B8B">
              <w:rPr>
                <w:rFonts w:eastAsia="Calibri"/>
                <w:spacing w:val="-15"/>
                <w:sz w:val="22"/>
                <w:szCs w:val="22"/>
                <w:lang w:eastAsia="en-US"/>
              </w:rPr>
              <w:t xml:space="preserve"> </w:t>
            </w:r>
            <w:r w:rsidRPr="00C47B8B">
              <w:rPr>
                <w:rFonts w:eastAsia="Calibri"/>
                <w:sz w:val="22"/>
                <w:szCs w:val="22"/>
                <w:lang w:eastAsia="en-US"/>
              </w:rPr>
              <w:t>сооружений (нефтепродукты)</w:t>
            </w:r>
            <w:r w:rsidRPr="00C47B8B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10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autoSpaceDE w:val="0"/>
              <w:autoSpaceDN w:val="0"/>
              <w:spacing w:line="256" w:lineRule="exact"/>
              <w:ind w:left="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B8B">
              <w:rPr>
                <w:rFonts w:eastAsia="Calibri"/>
                <w:spacing w:val="-4"/>
                <w:sz w:val="22"/>
                <w:szCs w:val="22"/>
                <w:lang w:eastAsia="en-US"/>
              </w:rPr>
              <w:t>0,41</w:t>
            </w:r>
          </w:p>
        </w:tc>
      </w:tr>
      <w:tr w:rsidR="000965D5" w:rsidRPr="00C47B8B" w:rsidTr="003071E9">
        <w:trPr>
          <w:jc w:val="center"/>
        </w:trPr>
        <w:tc>
          <w:tcPr>
            <w:tcW w:w="668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spacing w:line="360" w:lineRule="auto"/>
              <w:contextualSpacing/>
              <w:jc w:val="center"/>
              <w:rPr>
                <w:sz w:val="22"/>
              </w:rPr>
            </w:pPr>
            <w:r w:rsidRPr="00C47B8B">
              <w:rPr>
                <w:sz w:val="22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autoSpaceDE w:val="0"/>
              <w:autoSpaceDN w:val="0"/>
              <w:spacing w:line="251" w:lineRule="exact"/>
              <w:rPr>
                <w:rFonts w:eastAsia="Calibri"/>
                <w:sz w:val="22"/>
                <w:szCs w:val="22"/>
                <w:lang w:eastAsia="en-US"/>
              </w:rPr>
            </w:pPr>
            <w:r w:rsidRPr="00C47B8B">
              <w:rPr>
                <w:rFonts w:eastAsia="Calibri"/>
                <w:sz w:val="22"/>
                <w:szCs w:val="22"/>
                <w:lang w:eastAsia="en-US"/>
              </w:rPr>
              <w:t>ТБО</w:t>
            </w:r>
            <w:r w:rsidRPr="00C47B8B"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10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autoSpaceDE w:val="0"/>
              <w:autoSpaceDN w:val="0"/>
              <w:spacing w:line="251" w:lineRule="exact"/>
              <w:ind w:left="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B8B">
              <w:rPr>
                <w:rFonts w:eastAsia="Calibri"/>
                <w:spacing w:val="-2"/>
                <w:sz w:val="22"/>
                <w:szCs w:val="22"/>
                <w:lang w:eastAsia="en-US"/>
              </w:rPr>
              <w:t>54,75</w:t>
            </w:r>
          </w:p>
        </w:tc>
      </w:tr>
      <w:tr w:rsidR="000965D5" w:rsidRPr="00C47B8B" w:rsidTr="003071E9">
        <w:trPr>
          <w:jc w:val="center"/>
        </w:trPr>
        <w:tc>
          <w:tcPr>
            <w:tcW w:w="668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spacing w:line="360" w:lineRule="auto"/>
              <w:contextualSpacing/>
              <w:jc w:val="center"/>
              <w:rPr>
                <w:sz w:val="22"/>
              </w:rPr>
            </w:pPr>
            <w:r w:rsidRPr="00C47B8B">
              <w:rPr>
                <w:sz w:val="22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autoSpaceDE w:val="0"/>
              <w:autoSpaceDN w:val="0"/>
              <w:spacing w:line="238" w:lineRule="exact"/>
              <w:rPr>
                <w:rFonts w:eastAsia="Calibri"/>
                <w:sz w:val="22"/>
                <w:szCs w:val="22"/>
                <w:lang w:eastAsia="en-US"/>
              </w:rPr>
            </w:pPr>
            <w:r w:rsidRPr="00C47B8B">
              <w:rPr>
                <w:rFonts w:eastAsia="Calibri"/>
                <w:sz w:val="22"/>
                <w:szCs w:val="22"/>
                <w:lang w:eastAsia="en-US"/>
              </w:rPr>
              <w:t>Пищевые</w:t>
            </w:r>
            <w:r w:rsidRPr="00C47B8B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47B8B">
              <w:rPr>
                <w:rFonts w:eastAsia="Calibri"/>
                <w:spacing w:val="-2"/>
                <w:sz w:val="22"/>
                <w:szCs w:val="22"/>
                <w:lang w:eastAsia="en-US"/>
              </w:rPr>
              <w:t>отходы</w:t>
            </w:r>
          </w:p>
        </w:tc>
        <w:tc>
          <w:tcPr>
            <w:tcW w:w="4310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autoSpaceDE w:val="0"/>
              <w:autoSpaceDN w:val="0"/>
              <w:spacing w:line="256" w:lineRule="exact"/>
              <w:ind w:left="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B8B">
              <w:rPr>
                <w:rFonts w:eastAsia="Calibri"/>
                <w:spacing w:val="-2"/>
                <w:sz w:val="22"/>
                <w:szCs w:val="22"/>
                <w:lang w:eastAsia="en-US"/>
              </w:rPr>
              <w:t>15,987</w:t>
            </w:r>
          </w:p>
        </w:tc>
      </w:tr>
      <w:tr w:rsidR="000965D5" w:rsidRPr="00C47B8B" w:rsidTr="003071E9">
        <w:trPr>
          <w:jc w:val="center"/>
        </w:trPr>
        <w:tc>
          <w:tcPr>
            <w:tcW w:w="668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spacing w:line="360" w:lineRule="auto"/>
              <w:contextualSpacing/>
              <w:jc w:val="center"/>
              <w:rPr>
                <w:sz w:val="22"/>
              </w:rPr>
            </w:pPr>
            <w:r w:rsidRPr="00C47B8B">
              <w:rPr>
                <w:sz w:val="22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autoSpaceDE w:val="0"/>
              <w:autoSpaceDN w:val="0"/>
              <w:spacing w:line="248" w:lineRule="exact"/>
              <w:ind w:right="218"/>
              <w:rPr>
                <w:rFonts w:eastAsia="Calibri"/>
                <w:sz w:val="22"/>
                <w:szCs w:val="22"/>
                <w:lang w:eastAsia="en-US"/>
              </w:rPr>
            </w:pPr>
            <w:r w:rsidRPr="00C47B8B">
              <w:rPr>
                <w:rFonts w:eastAsia="Calibri"/>
                <w:sz w:val="22"/>
                <w:szCs w:val="22"/>
                <w:lang w:eastAsia="en-US"/>
              </w:rPr>
              <w:t>Смет</w:t>
            </w:r>
            <w:r w:rsidRPr="00C47B8B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47B8B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C47B8B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47B8B">
              <w:rPr>
                <w:rFonts w:eastAsia="Calibri"/>
                <w:sz w:val="22"/>
                <w:szCs w:val="22"/>
                <w:lang w:eastAsia="en-US"/>
              </w:rPr>
              <w:t xml:space="preserve">территории </w:t>
            </w:r>
          </w:p>
        </w:tc>
        <w:tc>
          <w:tcPr>
            <w:tcW w:w="4310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autoSpaceDE w:val="0"/>
              <w:autoSpaceDN w:val="0"/>
              <w:spacing w:line="248" w:lineRule="exact"/>
              <w:ind w:left="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B8B">
              <w:rPr>
                <w:rFonts w:eastAsia="Calibri"/>
                <w:spacing w:val="-4"/>
                <w:sz w:val="22"/>
                <w:szCs w:val="22"/>
                <w:lang w:eastAsia="en-US"/>
              </w:rPr>
              <w:t>42,5</w:t>
            </w:r>
          </w:p>
        </w:tc>
      </w:tr>
      <w:tr w:rsidR="000965D5" w:rsidRPr="00C47B8B" w:rsidTr="003071E9">
        <w:trPr>
          <w:jc w:val="center"/>
        </w:trPr>
        <w:tc>
          <w:tcPr>
            <w:tcW w:w="668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spacing w:line="360" w:lineRule="auto"/>
              <w:contextualSpacing/>
              <w:jc w:val="center"/>
              <w:rPr>
                <w:sz w:val="22"/>
              </w:rPr>
            </w:pPr>
            <w:r w:rsidRPr="00C47B8B">
              <w:rPr>
                <w:sz w:val="22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autoSpaceDE w:val="0"/>
              <w:autoSpaceDN w:val="0"/>
              <w:spacing w:line="240" w:lineRule="exact"/>
              <w:rPr>
                <w:rFonts w:eastAsia="Calibri"/>
                <w:sz w:val="22"/>
                <w:szCs w:val="22"/>
                <w:lang w:eastAsia="en-US"/>
              </w:rPr>
            </w:pPr>
            <w:r w:rsidRPr="00C47B8B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Отходы </w:t>
            </w:r>
            <w:proofErr w:type="spellStart"/>
            <w:r w:rsidRPr="00C47B8B">
              <w:rPr>
                <w:rFonts w:eastAsia="Calibri"/>
                <w:sz w:val="22"/>
                <w:szCs w:val="22"/>
                <w:lang w:eastAsia="en-US"/>
              </w:rPr>
              <w:t>жироуловителей</w:t>
            </w:r>
            <w:proofErr w:type="spellEnd"/>
            <w:r w:rsidRPr="00C47B8B"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10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autoSpaceDE w:val="0"/>
              <w:autoSpaceDN w:val="0"/>
              <w:spacing w:line="258" w:lineRule="exact"/>
              <w:ind w:left="6" w:right="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B8B">
              <w:rPr>
                <w:rFonts w:eastAsia="Calibri"/>
                <w:spacing w:val="-5"/>
                <w:sz w:val="22"/>
                <w:szCs w:val="22"/>
                <w:lang w:eastAsia="en-US"/>
              </w:rPr>
              <w:t>20</w:t>
            </w:r>
          </w:p>
        </w:tc>
      </w:tr>
      <w:tr w:rsidR="000965D5" w:rsidRPr="00C47B8B" w:rsidTr="003071E9">
        <w:trPr>
          <w:jc w:val="center"/>
        </w:trPr>
        <w:tc>
          <w:tcPr>
            <w:tcW w:w="668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spacing w:line="360" w:lineRule="auto"/>
              <w:contextualSpacing/>
              <w:jc w:val="center"/>
              <w:rPr>
                <w:sz w:val="22"/>
              </w:rPr>
            </w:pPr>
            <w:r w:rsidRPr="00C47B8B">
              <w:rPr>
                <w:sz w:val="22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autoSpaceDE w:val="0"/>
              <w:autoSpaceDN w:val="0"/>
              <w:spacing w:before="9" w:line="208" w:lineRule="auto"/>
              <w:ind w:right="231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47B8B">
              <w:rPr>
                <w:rFonts w:eastAsia="Calibri"/>
                <w:sz w:val="22"/>
                <w:szCs w:val="22"/>
                <w:lang w:eastAsia="en-US"/>
              </w:rPr>
              <w:t>Гофрокартон</w:t>
            </w:r>
            <w:proofErr w:type="spellEnd"/>
            <w:r w:rsidRPr="00C47B8B"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C47B8B">
              <w:rPr>
                <w:rFonts w:eastAsia="Calibri"/>
                <w:sz w:val="22"/>
                <w:szCs w:val="22"/>
                <w:lang w:eastAsia="en-US"/>
              </w:rPr>
              <w:t>др.бумажные</w:t>
            </w:r>
            <w:proofErr w:type="spellEnd"/>
            <w:r w:rsidRPr="00C47B8B">
              <w:rPr>
                <w:rFonts w:eastAsia="Calibri"/>
                <w:spacing w:val="-15"/>
                <w:sz w:val="22"/>
                <w:szCs w:val="22"/>
                <w:lang w:eastAsia="en-US"/>
              </w:rPr>
              <w:t xml:space="preserve"> о</w:t>
            </w:r>
            <w:r w:rsidRPr="00C47B8B">
              <w:rPr>
                <w:rFonts w:eastAsia="Calibri"/>
                <w:sz w:val="22"/>
                <w:szCs w:val="22"/>
                <w:lang w:eastAsia="en-US"/>
              </w:rPr>
              <w:t xml:space="preserve">тходы </w:t>
            </w:r>
          </w:p>
        </w:tc>
        <w:tc>
          <w:tcPr>
            <w:tcW w:w="4310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autoSpaceDE w:val="0"/>
              <w:autoSpaceDN w:val="0"/>
              <w:spacing w:line="256" w:lineRule="exact"/>
              <w:ind w:left="6" w:right="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B8B">
              <w:rPr>
                <w:rFonts w:eastAsia="Calibri"/>
                <w:spacing w:val="-5"/>
                <w:sz w:val="22"/>
                <w:szCs w:val="22"/>
                <w:lang w:eastAsia="en-US"/>
              </w:rPr>
              <w:t>10</w:t>
            </w:r>
          </w:p>
        </w:tc>
      </w:tr>
      <w:tr w:rsidR="000965D5" w:rsidRPr="00C47B8B" w:rsidTr="003071E9">
        <w:trPr>
          <w:jc w:val="center"/>
        </w:trPr>
        <w:tc>
          <w:tcPr>
            <w:tcW w:w="668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spacing w:line="360" w:lineRule="auto"/>
              <w:contextualSpacing/>
              <w:jc w:val="center"/>
              <w:rPr>
                <w:sz w:val="22"/>
              </w:rPr>
            </w:pPr>
            <w:r w:rsidRPr="00C47B8B">
              <w:rPr>
                <w:sz w:val="22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autoSpaceDE w:val="0"/>
              <w:autoSpaceDN w:val="0"/>
              <w:spacing w:line="248" w:lineRule="exact"/>
              <w:rPr>
                <w:rFonts w:eastAsia="Calibri"/>
                <w:sz w:val="22"/>
                <w:szCs w:val="22"/>
                <w:lang w:eastAsia="en-US"/>
              </w:rPr>
            </w:pPr>
            <w:r w:rsidRPr="00C47B8B">
              <w:rPr>
                <w:rFonts w:eastAsia="Calibri"/>
                <w:sz w:val="22"/>
                <w:szCs w:val="22"/>
                <w:lang w:eastAsia="en-US"/>
              </w:rPr>
              <w:t>Тканевые</w:t>
            </w:r>
            <w:r w:rsidRPr="00C47B8B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47B8B">
              <w:rPr>
                <w:rFonts w:eastAsia="Calibri"/>
                <w:sz w:val="22"/>
                <w:szCs w:val="22"/>
                <w:lang w:eastAsia="en-US"/>
              </w:rPr>
              <w:t>мешки</w:t>
            </w:r>
          </w:p>
        </w:tc>
        <w:tc>
          <w:tcPr>
            <w:tcW w:w="4310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autoSpaceDE w:val="0"/>
              <w:autoSpaceDN w:val="0"/>
              <w:spacing w:line="248" w:lineRule="exact"/>
              <w:ind w:left="6" w:right="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B8B">
              <w:rPr>
                <w:rFonts w:eastAsia="Calibri"/>
                <w:spacing w:val="-10"/>
                <w:sz w:val="22"/>
                <w:szCs w:val="22"/>
                <w:lang w:eastAsia="en-US"/>
              </w:rPr>
              <w:t>5</w:t>
            </w:r>
          </w:p>
        </w:tc>
      </w:tr>
      <w:tr w:rsidR="000965D5" w:rsidRPr="00C47B8B" w:rsidTr="003071E9">
        <w:trPr>
          <w:jc w:val="center"/>
        </w:trPr>
        <w:tc>
          <w:tcPr>
            <w:tcW w:w="668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spacing w:line="360" w:lineRule="auto"/>
              <w:contextualSpacing/>
              <w:jc w:val="center"/>
              <w:rPr>
                <w:sz w:val="22"/>
              </w:rPr>
            </w:pPr>
            <w:r w:rsidRPr="00C47B8B">
              <w:rPr>
                <w:sz w:val="22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autoSpaceDE w:val="0"/>
              <w:autoSpaceDN w:val="0"/>
              <w:spacing w:before="11" w:line="240" w:lineRule="exact"/>
              <w:ind w:right="426"/>
              <w:rPr>
                <w:rFonts w:eastAsia="Calibri"/>
                <w:sz w:val="22"/>
                <w:szCs w:val="22"/>
                <w:lang w:eastAsia="en-US"/>
              </w:rPr>
            </w:pPr>
            <w:r w:rsidRPr="00C47B8B">
              <w:rPr>
                <w:rFonts w:eastAsia="Calibri"/>
                <w:sz w:val="22"/>
                <w:szCs w:val="22"/>
                <w:lang w:eastAsia="en-US"/>
              </w:rPr>
              <w:t>Осадок очистных сооружений</w:t>
            </w:r>
            <w:r w:rsidRPr="00C47B8B">
              <w:rPr>
                <w:rFonts w:eastAsia="Calibri"/>
                <w:spacing w:val="-15"/>
                <w:sz w:val="22"/>
                <w:szCs w:val="22"/>
                <w:lang w:eastAsia="en-US"/>
              </w:rPr>
              <w:t xml:space="preserve"> </w:t>
            </w:r>
            <w:r w:rsidRPr="00C47B8B">
              <w:rPr>
                <w:rFonts w:eastAsia="Calibri"/>
                <w:sz w:val="22"/>
                <w:szCs w:val="22"/>
                <w:lang w:eastAsia="en-US"/>
              </w:rPr>
              <w:t>(взвешенные вещества)</w:t>
            </w:r>
            <w:r w:rsidRPr="00C47B8B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10" w:type="dxa"/>
            <w:shd w:val="clear" w:color="auto" w:fill="auto"/>
          </w:tcPr>
          <w:p w:rsidR="000965D5" w:rsidRPr="00C47B8B" w:rsidRDefault="000965D5" w:rsidP="003071E9">
            <w:pPr>
              <w:widowControl w:val="0"/>
              <w:autoSpaceDE w:val="0"/>
              <w:autoSpaceDN w:val="0"/>
              <w:spacing w:line="258" w:lineRule="exact"/>
              <w:ind w:left="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B8B">
              <w:rPr>
                <w:rFonts w:eastAsia="Calibri"/>
                <w:spacing w:val="-2"/>
                <w:sz w:val="22"/>
                <w:szCs w:val="22"/>
                <w:lang w:eastAsia="en-US"/>
              </w:rPr>
              <w:t>216,63</w:t>
            </w:r>
          </w:p>
        </w:tc>
      </w:tr>
    </w:tbl>
    <w:p w:rsidR="000B21F0" w:rsidRPr="00E843C3" w:rsidRDefault="000B21F0" w:rsidP="000B21F0">
      <w:pPr>
        <w:pStyle w:val="a7"/>
        <w:ind w:firstLine="709"/>
        <w:jc w:val="both"/>
        <w:rPr>
          <w:bCs/>
          <w:szCs w:val="24"/>
        </w:rPr>
      </w:pPr>
      <w:r w:rsidRPr="00E843C3">
        <w:rPr>
          <w:szCs w:val="24"/>
        </w:rPr>
        <w:t xml:space="preserve">Отходы по мере их накопления собирают в емкости и передаются на договорной основе </w:t>
      </w:r>
      <w:proofErr w:type="gramStart"/>
      <w:r w:rsidRPr="00E843C3">
        <w:rPr>
          <w:szCs w:val="24"/>
        </w:rPr>
        <w:t>сторонним организациям</w:t>
      </w:r>
      <w:proofErr w:type="gramEnd"/>
      <w:r w:rsidRPr="00E843C3">
        <w:rPr>
          <w:szCs w:val="24"/>
        </w:rPr>
        <w:t xml:space="preserve"> имеющим лицензию </w:t>
      </w:r>
      <w:r w:rsidRPr="00E843C3">
        <w:rPr>
          <w:color w:val="000000"/>
          <w:szCs w:val="24"/>
        </w:rPr>
        <w:t>по переработке, обезвреживанию, утилизации и (или) уничтожению опасных отходов.</w:t>
      </w:r>
      <w:r w:rsidRPr="00E843C3">
        <w:rPr>
          <w:szCs w:val="24"/>
        </w:rPr>
        <w:t xml:space="preserve"> Срок </w:t>
      </w:r>
      <w:r w:rsidRPr="00E843C3">
        <w:rPr>
          <w:bCs/>
          <w:szCs w:val="24"/>
        </w:rPr>
        <w:t xml:space="preserve">временного складирования </w:t>
      </w:r>
      <w:r w:rsidRPr="00E843C3">
        <w:rPr>
          <w:szCs w:val="24"/>
        </w:rPr>
        <w:t xml:space="preserve">отходов на </w:t>
      </w:r>
      <w:r w:rsidRPr="00E843C3">
        <w:rPr>
          <w:bCs/>
          <w:szCs w:val="24"/>
        </w:rPr>
        <w:t xml:space="preserve">месте образования </w:t>
      </w:r>
      <w:r w:rsidRPr="00E843C3">
        <w:rPr>
          <w:szCs w:val="24"/>
        </w:rPr>
        <w:t>до 6-ти месяцев.</w:t>
      </w:r>
    </w:p>
    <w:p w:rsidR="00320226" w:rsidRPr="00320226" w:rsidRDefault="000B21F0" w:rsidP="00320226">
      <w:pPr>
        <w:pStyle w:val="Default"/>
        <w:ind w:firstLine="567"/>
        <w:jc w:val="both"/>
        <w:rPr>
          <w:lang w:val="ru-RU"/>
        </w:rPr>
      </w:pPr>
      <w:r w:rsidRPr="00E843C3">
        <w:rPr>
          <w:b/>
          <w:u w:val="single"/>
          <w:lang w:val="ru-RU"/>
        </w:rPr>
        <w:t>Вероятность возникновения аварийных ситуаций</w:t>
      </w:r>
      <w:r w:rsidRPr="00E843C3">
        <w:rPr>
          <w:lang w:val="ru-RU"/>
        </w:rPr>
        <w:t xml:space="preserve"> </w:t>
      </w:r>
      <w:r w:rsidR="00320226" w:rsidRPr="00320226">
        <w:rPr>
          <w:lang w:val="ru-RU"/>
        </w:rPr>
        <w:t>под аварией понимают существенные отклонения от нормативно-проектных или допустимых эксплуатационных условий производственно-хозяйственной деятельности по причинам, связанным с действиями человека или техническими средствами, а также в результате любых природных явлений (наводнение, землетрясение, оползни, ураганы и другие стихийные бедствия).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 xml:space="preserve">Возникающие на производстве аварии и риск их возникновения могут быть определены разными методами. Один из самых распространенных – построение дерева </w:t>
      </w:r>
      <w:r w:rsidRPr="00320226">
        <w:rPr>
          <w:lang w:val="ru-RU"/>
        </w:rPr>
        <w:lastRenderedPageBreak/>
        <w:t>ошибок, т.е. логической структуры, описывающей причинно-следственную связь при взаимодействии основного технологического оборудования, человека и условий окружающей среды – всех элементов, способных вызвать и вызывающие отказы на производстве.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Причины отказов могут происходить по причине: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•</w:t>
      </w:r>
      <w:r w:rsidRPr="00320226">
        <w:rPr>
          <w:lang w:val="ru-RU"/>
        </w:rPr>
        <w:tab/>
        <w:t>природно-климатических условий, температуры окружающей среды;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•</w:t>
      </w:r>
      <w:r w:rsidRPr="00320226">
        <w:rPr>
          <w:lang w:val="ru-RU"/>
        </w:rPr>
        <w:tab/>
        <w:t>низкой квалификации обслуживающего персонала;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•</w:t>
      </w:r>
      <w:r w:rsidRPr="00320226">
        <w:rPr>
          <w:lang w:val="ru-RU"/>
        </w:rPr>
        <w:tab/>
        <w:t>нарушения трудовой и производственной дисциплины;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Степень риска производства зависит как от природных, так и техногенных факторов. Естественные факторы, представляющие угрозу проектируемым работам, характеризуются очень низкими вероятностями. При возникновении данных факторов строительные работы прекращаются.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Наибольшее число аварий возникает по субъективным причинам, т.е. по вине исполнителя трудового процесса. Поэтому при разработке мер профилактики и борьбы с авариями следует особо обращать внимание на строгое соблюдение требований и положений, излагаемых в производственных инструкциях.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Таким образом, при строгом соблюдении проектных решений и правил техники безопасности, применении современных технологий и трудовой дисциплины, при строительно-монтажных работах, позволяет судить о низкой степени возникновения аварийных ситуаций.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Оценки вероятного возникновения аварийной ситуации позволяют прогнозировать негативное воздействие аварий на компоненты окружающей среды. Такое воздействие может быть оказано на: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•</w:t>
      </w:r>
      <w:r w:rsidRPr="00320226">
        <w:rPr>
          <w:lang w:val="ru-RU"/>
        </w:rPr>
        <w:tab/>
        <w:t>атмосферный воздух;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•</w:t>
      </w:r>
      <w:r w:rsidRPr="00320226">
        <w:rPr>
          <w:lang w:val="ru-RU"/>
        </w:rPr>
        <w:tab/>
        <w:t>почвенно-растительные ресурсы.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 xml:space="preserve"> Строительство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Осуществление кратковременных строительно-монтажных работ по степени экологической опасности последствий является безопасным производственным процессом, и аварийные ситуации могут быть связаны только с неисправным технологическим оборудованием и техникой, что напрямую связано с человеческим фактором.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Рабочим проектом при строительстве проектируемых сооружений предусматриваются следующие решения по технике безопасности и охране труда персонала: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Обеспечение безопасных условий труда в процессе монтажа.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В соответствии с техническими условиями и стандартами, обеспечение надежности и безопасности эксплуатации трубопроводов.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Организация безопасных условий работы во время работ для землеройных машин, подъемных механизмов, электросварочного оборудования и других механизмов.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Все работники должны пройти подготовку и инструкции по безопасности труда в соответствии с ГОСТ 12.0.004-90 «Организация обучения безопасности. Общие положения».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Рабочие, занятые в строительстве, кроме общих требований безопасности должны быть ознакомлены с правилами техники безопасности, касающимися каждого осуществляемого рабочего процесса.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Персонал, обслуживающий подъемные механизмы, которые находятся под контролем Министерства по чрезвычайным ситуациям, должен быть обучен и сертифицирован в присутствии представителя местных органов Министерства по чрезвычайным ситуациям, для ознакомления с «правилами устройства и безопасной эксплуатации грузоподъемных кранов».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</w:t>
      </w:r>
      <w:r w:rsidRPr="00320226">
        <w:rPr>
          <w:lang w:val="ru-RU"/>
        </w:rPr>
        <w:tab/>
        <w:t xml:space="preserve">Монтажное оборудование (веревки, канаты, стропы, цепи) и подъемные механизмы (цепные блоки, лебедки, краны) должны быть проверены до начала работы, а бирки и уплотнения должны быть размещены с указанием даты, когда был проведен их </w:t>
      </w:r>
      <w:r w:rsidRPr="00320226">
        <w:rPr>
          <w:lang w:val="ru-RU"/>
        </w:rPr>
        <w:lastRenderedPageBreak/>
        <w:t>осмотр и с указанием допустимой нагрузки. Если нагрузка превышает нагрузку этого оборудования, то эксплуатация этого оборудования должна быть запрещена.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При производстве строительно-монтажных работ, руководителями строительных организаций должны быть обеспечены соблюдение действующих норм и правил по технике безопасности в соответствии с требованиями СНиП РК 1,03-05-2001 «Охрана</w:t>
      </w:r>
      <w:r>
        <w:rPr>
          <w:lang w:val="ru-RU"/>
        </w:rPr>
        <w:t xml:space="preserve"> </w:t>
      </w:r>
      <w:r w:rsidRPr="00320226">
        <w:rPr>
          <w:lang w:val="ru-RU"/>
        </w:rPr>
        <w:t>труда и техника безопасности в строительстве», а также санитарно-гигиенических норм и правил, правил техники безопасности, а также правил пожарной безопасности.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До начала строительно-монтажных работ Генеральный подрядчик обязан с участием заказчика разработать и утвердить мероприятия по технике безопасности и производственной санитарии. Строительная площадка оборудуется соответствующими указателями проходов, проездов, знаками и ограждениями монтажных зон, запрещающих нахождение посторонних в зоне строительства.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Основными мероприятиями, направленными на предотвращение аварийных ситуаций, при строительных работах являются: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•</w:t>
      </w:r>
      <w:r w:rsidRPr="00320226">
        <w:rPr>
          <w:lang w:val="ru-RU"/>
        </w:rPr>
        <w:tab/>
        <w:t>при нарастании неблагоприятных метеорологических условий – прекращение строительных работ на площадке.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Все технологическое оборудование, средства контроля, управления и сигнализации будут эксплуатироваться в соответствии с их паспортными данными, техническими характеристиками и утвержденными инструкциями по эксплуатации.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Проектными решениями обеспечивается рациональное использование природных ресурсов и исключается возможность необратимых техногенных изменений природной среды.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Эксплуатация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Согласно рабочим правилам техники безопасности, других актам и нормативно- технической документации, необходимо предусмотреть предупредительные меры безопасности, такие как наличие аварийных выходов, предотвращение травм, образование опасных и других чрезвычайных ситуаций, включая: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•</w:t>
      </w:r>
      <w:r w:rsidRPr="00320226">
        <w:rPr>
          <w:lang w:val="ru-RU"/>
        </w:rPr>
        <w:tab/>
        <w:t>Обучение операторов и техническое обслуживание установки.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•</w:t>
      </w:r>
      <w:r w:rsidRPr="00320226">
        <w:rPr>
          <w:lang w:val="ru-RU"/>
        </w:rPr>
        <w:tab/>
        <w:t>Обеспечение средствами личной и коллективной защиты.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•</w:t>
      </w:r>
      <w:r w:rsidRPr="00320226">
        <w:rPr>
          <w:lang w:val="ru-RU"/>
        </w:rPr>
        <w:tab/>
        <w:t>Безопасная эксплуатация и защита трубопроводного оборудования.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•</w:t>
      </w:r>
      <w:r w:rsidRPr="00320226">
        <w:rPr>
          <w:lang w:val="ru-RU"/>
        </w:rPr>
        <w:tab/>
        <w:t>Надлежащее оборудование для аварийной защиты.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•</w:t>
      </w:r>
      <w:r w:rsidRPr="00320226">
        <w:rPr>
          <w:lang w:val="ru-RU"/>
        </w:rPr>
        <w:tab/>
        <w:t>Пожарная безопасность.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•</w:t>
      </w:r>
      <w:r w:rsidRPr="00320226">
        <w:rPr>
          <w:lang w:val="ru-RU"/>
        </w:rPr>
        <w:tab/>
        <w:t>Ограничение вредного воздействия и опасностей для людей и мониторинг окружающей среды.</w:t>
      </w:r>
    </w:p>
    <w:p w:rsidR="00320226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План по предупреждению и ликвидации чрезвычайных ситуаций должен быть составлен в соответствии с инструкцией и предусматривать гарантии и действия для обеспечения безопасности оперативного персонала и населения.</w:t>
      </w:r>
    </w:p>
    <w:p w:rsidR="002D0F55" w:rsidRPr="00320226" w:rsidRDefault="00320226" w:rsidP="00320226">
      <w:pPr>
        <w:pStyle w:val="Default"/>
        <w:ind w:firstLine="567"/>
        <w:jc w:val="both"/>
        <w:rPr>
          <w:lang w:val="ru-RU"/>
        </w:rPr>
      </w:pPr>
      <w:r w:rsidRPr="00320226">
        <w:rPr>
          <w:lang w:val="ru-RU"/>
        </w:rPr>
        <w:t>Эксплуатационная документация должна указывать требования, которые устраняют создание опасных (в том числе опасности пожара и взрыва) ситуаций при</w:t>
      </w:r>
      <w:r>
        <w:rPr>
          <w:lang w:val="ru-RU"/>
        </w:rPr>
        <w:t xml:space="preserve"> </w:t>
      </w:r>
      <w:r w:rsidRPr="00320226">
        <w:rPr>
          <w:lang w:val="ru-RU"/>
        </w:rPr>
        <w:t>сборке (разборке), вводе в эксплуатацию и во время эксплуатации трубопроводов, а также должны содержать требования, определяющие необходимость использования мер и защитные действия в отношении персонала, не включенного в структуру.</w:t>
      </w:r>
    </w:p>
    <w:sectPr w:rsidR="002D0F55" w:rsidRPr="00320226" w:rsidSect="002D0F5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CA7" w:rsidRDefault="00E42CA7">
      <w:r>
        <w:separator/>
      </w:r>
    </w:p>
  </w:endnote>
  <w:endnote w:type="continuationSeparator" w:id="0">
    <w:p w:rsidR="00E42CA7" w:rsidRDefault="00E4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1D2" w:rsidRDefault="00FF590A">
    <w:pPr>
      <w:pStyle w:val="ac"/>
      <w:spacing w:line="14" w:lineRule="auto"/>
      <w:rPr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6933565</wp:posOffset>
              </wp:positionH>
              <wp:positionV relativeFrom="page">
                <wp:posOffset>10241915</wp:posOffset>
              </wp:positionV>
              <wp:extent cx="1016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B61D2" w:rsidRDefault="008B61D2">
                          <w:pPr>
                            <w:pStyle w:val="ac"/>
                            <w:spacing w:before="10"/>
                            <w:ind w:left="20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545.95pt;margin-top:806.45pt;width: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" filled="f" stroked="f">
              <v:textbox inset="0,0,0,0">
                <w:txbxContent>
                  <w:p w:rsidR="008B61D2" w:rsidRDefault="008B61D2">
                    <w:pPr>
                      <w:pStyle w:val="ac"/>
                      <w:spacing w:before="10"/>
                      <w:ind w:left="20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CA7" w:rsidRDefault="00E42CA7">
      <w:r>
        <w:separator/>
      </w:r>
    </w:p>
  </w:footnote>
  <w:footnote w:type="continuationSeparator" w:id="0">
    <w:p w:rsidR="00E42CA7" w:rsidRDefault="00E42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1D2" w:rsidRDefault="00FF590A">
    <w:pPr>
      <w:pStyle w:val="ac"/>
      <w:spacing w:line="14" w:lineRule="auto"/>
      <w:rPr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595630</wp:posOffset>
              </wp:positionV>
              <wp:extent cx="5977890" cy="635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789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9E145" id="Прямоугольник 3" o:spid="_x0000_s1026" style="position:absolute;margin-left:83.65pt;margin-top:46.9pt;width:470.7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" fillcolor="black" stroked="f">
              <w10:wrap anchorx="page" anchory="page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429260</wp:posOffset>
              </wp:positionV>
              <wp:extent cx="2169795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B61D2" w:rsidRDefault="008B61D2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Раздел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«Охрана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окружающей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среды»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84.1pt;margin-top:33.8pt;width:170.8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" filled="f" stroked="f">
              <v:textbox inset="0,0,0,0">
                <w:txbxContent>
                  <w:p w:rsidR="008B61D2" w:rsidRDefault="008B61D2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Раздел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«Охрана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окружающей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среды»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5538"/>
    <w:multiLevelType w:val="hybridMultilevel"/>
    <w:tmpl w:val="1DF6A9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93A056D"/>
    <w:multiLevelType w:val="hybridMultilevel"/>
    <w:tmpl w:val="A3CEAC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7EE57E77"/>
    <w:multiLevelType w:val="hybridMultilevel"/>
    <w:tmpl w:val="546E84AC"/>
    <w:lvl w:ilvl="0" w:tplc="0419000D">
      <w:start w:val="9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212" w:hanging="360"/>
      </w:pPr>
    </w:lvl>
    <w:lvl w:ilvl="2" w:tplc="04190005" w:tentative="1">
      <w:start w:val="1"/>
      <w:numFmt w:val="lowerRoman"/>
      <w:lvlText w:val="%3."/>
      <w:lvlJc w:val="right"/>
      <w:pPr>
        <w:ind w:left="1932" w:hanging="180"/>
      </w:pPr>
    </w:lvl>
    <w:lvl w:ilvl="3" w:tplc="04190001" w:tentative="1">
      <w:start w:val="1"/>
      <w:numFmt w:val="decimal"/>
      <w:lvlText w:val="%4."/>
      <w:lvlJc w:val="left"/>
      <w:pPr>
        <w:ind w:left="2652" w:hanging="360"/>
      </w:pPr>
    </w:lvl>
    <w:lvl w:ilvl="4" w:tplc="04190003" w:tentative="1">
      <w:start w:val="1"/>
      <w:numFmt w:val="lowerLetter"/>
      <w:lvlText w:val="%5."/>
      <w:lvlJc w:val="left"/>
      <w:pPr>
        <w:ind w:left="3372" w:hanging="360"/>
      </w:pPr>
    </w:lvl>
    <w:lvl w:ilvl="5" w:tplc="04190005" w:tentative="1">
      <w:start w:val="1"/>
      <w:numFmt w:val="lowerRoman"/>
      <w:lvlText w:val="%6."/>
      <w:lvlJc w:val="right"/>
      <w:pPr>
        <w:ind w:left="4092" w:hanging="180"/>
      </w:pPr>
    </w:lvl>
    <w:lvl w:ilvl="6" w:tplc="04190001" w:tentative="1">
      <w:start w:val="1"/>
      <w:numFmt w:val="decimal"/>
      <w:lvlText w:val="%7."/>
      <w:lvlJc w:val="left"/>
      <w:pPr>
        <w:ind w:left="4812" w:hanging="360"/>
      </w:pPr>
    </w:lvl>
    <w:lvl w:ilvl="7" w:tplc="04190003" w:tentative="1">
      <w:start w:val="1"/>
      <w:numFmt w:val="lowerLetter"/>
      <w:lvlText w:val="%8."/>
      <w:lvlJc w:val="left"/>
      <w:pPr>
        <w:ind w:left="5532" w:hanging="360"/>
      </w:pPr>
    </w:lvl>
    <w:lvl w:ilvl="8" w:tplc="04190005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EC"/>
    <w:rsid w:val="00031009"/>
    <w:rsid w:val="000965D5"/>
    <w:rsid w:val="000B21F0"/>
    <w:rsid w:val="0016401F"/>
    <w:rsid w:val="00265047"/>
    <w:rsid w:val="002D0F55"/>
    <w:rsid w:val="00320226"/>
    <w:rsid w:val="00472FF9"/>
    <w:rsid w:val="0048444F"/>
    <w:rsid w:val="00502CEC"/>
    <w:rsid w:val="0061389E"/>
    <w:rsid w:val="00675238"/>
    <w:rsid w:val="007E2BF4"/>
    <w:rsid w:val="008B61D2"/>
    <w:rsid w:val="008D7A71"/>
    <w:rsid w:val="009770E9"/>
    <w:rsid w:val="00B919D0"/>
    <w:rsid w:val="00BF6265"/>
    <w:rsid w:val="00C84C22"/>
    <w:rsid w:val="00C87756"/>
    <w:rsid w:val="00CB1A21"/>
    <w:rsid w:val="00D218BD"/>
    <w:rsid w:val="00D409B4"/>
    <w:rsid w:val="00E37BBC"/>
    <w:rsid w:val="00E42CA7"/>
    <w:rsid w:val="00F17000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29D0A"/>
  <w15:docId w15:val="{EB818FF5-A719-4352-9986-EC6754CD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09B4"/>
    <w:pPr>
      <w:keepNext/>
      <w:ind w:firstLine="720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D409B4"/>
    <w:pPr>
      <w:keepNext/>
      <w:ind w:firstLine="851"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B61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D409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D409B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9B4"/>
    <w:rPr>
      <w:sz w:val="28"/>
    </w:rPr>
  </w:style>
  <w:style w:type="character" w:customStyle="1" w:styleId="20">
    <w:name w:val="Заголовок 2 Знак"/>
    <w:basedOn w:val="a0"/>
    <w:link w:val="2"/>
    <w:rsid w:val="00D409B4"/>
    <w:rPr>
      <w:sz w:val="28"/>
    </w:rPr>
  </w:style>
  <w:style w:type="character" w:customStyle="1" w:styleId="50">
    <w:name w:val="Заголовок 5 Знак"/>
    <w:basedOn w:val="a0"/>
    <w:link w:val="5"/>
    <w:rsid w:val="00D409B4"/>
    <w:rPr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D409B4"/>
    <w:rPr>
      <w:i/>
      <w:iCs/>
      <w:sz w:val="24"/>
      <w:szCs w:val="24"/>
    </w:rPr>
  </w:style>
  <w:style w:type="paragraph" w:styleId="a3">
    <w:name w:val="Title"/>
    <w:basedOn w:val="a"/>
    <w:link w:val="a4"/>
    <w:qFormat/>
    <w:rsid w:val="00D409B4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D409B4"/>
    <w:rPr>
      <w:b/>
      <w:sz w:val="28"/>
    </w:rPr>
  </w:style>
  <w:style w:type="paragraph" w:styleId="a5">
    <w:name w:val="List Paragraph"/>
    <w:basedOn w:val="a"/>
    <w:link w:val="a6"/>
    <w:uiPriority w:val="34"/>
    <w:qFormat/>
    <w:rsid w:val="00502CEC"/>
    <w:pPr>
      <w:widowControl w:val="0"/>
      <w:autoSpaceDE w:val="0"/>
      <w:autoSpaceDN w:val="0"/>
      <w:ind w:left="165" w:firstLine="568"/>
    </w:pPr>
    <w:rPr>
      <w:sz w:val="22"/>
      <w:szCs w:val="22"/>
      <w:lang w:bidi="ru-RU"/>
    </w:rPr>
  </w:style>
  <w:style w:type="paragraph" w:customStyle="1" w:styleId="Default">
    <w:name w:val="Default"/>
    <w:link w:val="Default0"/>
    <w:qFormat/>
    <w:rsid w:val="00502CE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  <w:style w:type="character" w:customStyle="1" w:styleId="Default0">
    <w:name w:val="Default Знак"/>
    <w:basedOn w:val="a0"/>
    <w:link w:val="Default"/>
    <w:locked/>
    <w:rsid w:val="00502CEC"/>
    <w:rPr>
      <w:rFonts w:eastAsiaTheme="minorHAnsi"/>
      <w:color w:val="000000"/>
      <w:sz w:val="24"/>
      <w:szCs w:val="24"/>
      <w:lang w:val="en-US" w:eastAsia="en-US"/>
    </w:rPr>
  </w:style>
  <w:style w:type="paragraph" w:styleId="a7">
    <w:name w:val="No Spacing"/>
    <w:aliases w:val="Табличный,Без интервала6,таб_загол,табл_текст"/>
    <w:link w:val="a8"/>
    <w:uiPriority w:val="1"/>
    <w:qFormat/>
    <w:rsid w:val="00502CEC"/>
    <w:rPr>
      <w:rFonts w:eastAsiaTheme="minorHAnsi" w:cstheme="minorBidi"/>
      <w:sz w:val="24"/>
      <w:szCs w:val="22"/>
      <w:lang w:eastAsia="en-US"/>
    </w:rPr>
  </w:style>
  <w:style w:type="character" w:customStyle="1" w:styleId="a8">
    <w:name w:val="Без интервала Знак"/>
    <w:aliases w:val="Табличный Знак,Без интервала6 Знак,таб_загол Знак,табл_текст Знак"/>
    <w:link w:val="a7"/>
    <w:uiPriority w:val="1"/>
    <w:rsid w:val="00502CEC"/>
    <w:rPr>
      <w:rFonts w:eastAsiaTheme="minorHAnsi" w:cstheme="minorBidi"/>
      <w:sz w:val="24"/>
      <w:szCs w:val="22"/>
      <w:lang w:eastAsia="en-US"/>
    </w:rPr>
  </w:style>
  <w:style w:type="paragraph" w:styleId="a9">
    <w:name w:val="Body Text Indent"/>
    <w:basedOn w:val="a"/>
    <w:link w:val="aa"/>
    <w:uiPriority w:val="99"/>
    <w:rsid w:val="00502CEC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502CEC"/>
    <w:rPr>
      <w:rFonts w:ascii="Arial" w:hAnsi="Arial" w:cs="Arial"/>
    </w:rPr>
  </w:style>
  <w:style w:type="paragraph" w:customStyle="1" w:styleId="1136">
    <w:name w:val="Стиль Основной текст 1 + Синий Первая строка:  13 см Перед:  6 п..."/>
    <w:basedOn w:val="a"/>
    <w:qFormat/>
    <w:rsid w:val="00502CEC"/>
    <w:pPr>
      <w:spacing w:before="120"/>
      <w:jc w:val="both"/>
    </w:pPr>
    <w:rPr>
      <w:rFonts w:ascii="Arial" w:hAnsi="Arial"/>
      <w:color w:val="0000FF"/>
      <w:sz w:val="20"/>
      <w:szCs w:val="20"/>
    </w:rPr>
  </w:style>
  <w:style w:type="table" w:styleId="ab">
    <w:name w:val="Table Grid"/>
    <w:aliases w:val="Таблица для проекта"/>
    <w:basedOn w:val="a1"/>
    <w:uiPriority w:val="59"/>
    <w:rsid w:val="00502C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basedOn w:val="a0"/>
    <w:link w:val="a5"/>
    <w:uiPriority w:val="34"/>
    <w:rsid w:val="00502CEC"/>
    <w:rPr>
      <w:sz w:val="22"/>
      <w:szCs w:val="22"/>
      <w:lang w:bidi="ru-RU"/>
    </w:rPr>
  </w:style>
  <w:style w:type="paragraph" w:styleId="3">
    <w:name w:val="Body Text Indent 3"/>
    <w:basedOn w:val="a"/>
    <w:link w:val="30"/>
    <w:rsid w:val="00502C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02CEC"/>
    <w:rPr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F1700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17000"/>
    <w:rPr>
      <w:sz w:val="24"/>
      <w:szCs w:val="24"/>
    </w:rPr>
  </w:style>
  <w:style w:type="paragraph" w:customStyle="1" w:styleId="ae">
    <w:name w:val="основной текст Знак"/>
    <w:basedOn w:val="a"/>
    <w:link w:val="af"/>
    <w:rsid w:val="000B21F0"/>
    <w:pPr>
      <w:spacing w:line="360" w:lineRule="auto"/>
      <w:ind w:firstLine="737"/>
      <w:jc w:val="both"/>
    </w:pPr>
    <w:rPr>
      <w:szCs w:val="20"/>
    </w:rPr>
  </w:style>
  <w:style w:type="character" w:customStyle="1" w:styleId="af">
    <w:name w:val="основной текст Знак Знак"/>
    <w:link w:val="ae"/>
    <w:rsid w:val="000B21F0"/>
    <w:rPr>
      <w:sz w:val="24"/>
    </w:rPr>
  </w:style>
  <w:style w:type="paragraph" w:customStyle="1" w:styleId="af0">
    <w:name w:val="обычный"/>
    <w:link w:val="af1"/>
    <w:qFormat/>
    <w:rsid w:val="000B21F0"/>
    <w:pPr>
      <w:spacing w:line="360" w:lineRule="auto"/>
      <w:ind w:firstLine="737"/>
      <w:jc w:val="both"/>
    </w:pPr>
    <w:rPr>
      <w:sz w:val="24"/>
    </w:rPr>
  </w:style>
  <w:style w:type="character" w:customStyle="1" w:styleId="af1">
    <w:name w:val="обычный Знак"/>
    <w:link w:val="af0"/>
    <w:rsid w:val="000B21F0"/>
    <w:rPr>
      <w:sz w:val="24"/>
    </w:rPr>
  </w:style>
  <w:style w:type="character" w:customStyle="1" w:styleId="40">
    <w:name w:val="Заголовок 4 Знак"/>
    <w:basedOn w:val="a0"/>
    <w:link w:val="4"/>
    <w:semiHidden/>
    <w:rsid w:val="008B61D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2022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8</Pages>
  <Words>3101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4</cp:revision>
  <dcterms:created xsi:type="dcterms:W3CDTF">2024-07-16T12:05:00Z</dcterms:created>
  <dcterms:modified xsi:type="dcterms:W3CDTF">2024-12-11T10:44:00Z</dcterms:modified>
</cp:coreProperties>
</file>