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DD8A" w14:textId="34BF150C" w:rsidR="0006534D" w:rsidRPr="0034139C" w:rsidRDefault="00EA68B9" w:rsidP="003413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39C">
        <w:rPr>
          <w:rFonts w:ascii="Times New Roman" w:hAnsi="Times New Roman" w:cs="Times New Roman"/>
          <w:b/>
          <w:bCs/>
          <w:sz w:val="28"/>
          <w:szCs w:val="28"/>
        </w:rPr>
        <w:t>Нетехническое Резюме</w:t>
      </w:r>
    </w:p>
    <w:p w14:paraId="421E1079" w14:textId="647E07E8" w:rsidR="00EA68B9" w:rsidRPr="0034139C" w:rsidRDefault="00EA68B9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4139C">
        <w:rPr>
          <w:rFonts w:ascii="Times New Roman" w:hAnsi="Times New Roman" w:cs="Times New Roman"/>
          <w:bCs/>
          <w:sz w:val="24"/>
          <w:szCs w:val="24"/>
        </w:rPr>
        <w:t xml:space="preserve">Инициатор намечаемой деятельности – </w:t>
      </w:r>
      <w:r w:rsidR="008864F1" w:rsidRPr="008864F1">
        <w:rPr>
          <w:rFonts w:ascii="Times New Roman" w:hAnsi="Times New Roman" w:cs="Times New Roman"/>
          <w:bCs/>
          <w:sz w:val="24"/>
          <w:szCs w:val="24"/>
        </w:rPr>
        <w:t>К/Х «</w:t>
      </w:r>
      <w:proofErr w:type="spellStart"/>
      <w:r w:rsidR="008864F1" w:rsidRPr="008864F1">
        <w:rPr>
          <w:rFonts w:ascii="Times New Roman" w:hAnsi="Times New Roman" w:cs="Times New Roman"/>
          <w:bCs/>
          <w:sz w:val="24"/>
          <w:szCs w:val="24"/>
        </w:rPr>
        <w:t>Нұрсултан</w:t>
      </w:r>
      <w:proofErr w:type="spellEnd"/>
      <w:r w:rsidR="008864F1" w:rsidRPr="008864F1">
        <w:rPr>
          <w:rFonts w:ascii="Times New Roman" w:hAnsi="Times New Roman" w:cs="Times New Roman"/>
          <w:bCs/>
          <w:sz w:val="24"/>
          <w:szCs w:val="24"/>
        </w:rPr>
        <w:t>»</w:t>
      </w:r>
      <w:r w:rsidRPr="0034139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6AD4DE" w14:textId="02E71B96" w:rsidR="00EA68B9" w:rsidRPr="0034139C" w:rsidRDefault="008864F1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864F1">
        <w:rPr>
          <w:rFonts w:ascii="Times New Roman" w:hAnsi="Times New Roman" w:cs="Times New Roman"/>
          <w:bCs/>
          <w:sz w:val="24"/>
          <w:szCs w:val="24"/>
        </w:rPr>
        <w:t xml:space="preserve">Юридический адрес Республика Казахстан, Жамбылская область, Кордайский район, с. </w:t>
      </w:r>
      <w:proofErr w:type="spellStart"/>
      <w:r w:rsidRPr="008864F1">
        <w:rPr>
          <w:rFonts w:ascii="Times New Roman" w:hAnsi="Times New Roman" w:cs="Times New Roman"/>
          <w:bCs/>
          <w:sz w:val="24"/>
          <w:szCs w:val="24"/>
        </w:rPr>
        <w:t>Каракемер</w:t>
      </w:r>
      <w:proofErr w:type="spellEnd"/>
      <w:r w:rsidRPr="008864F1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spellStart"/>
      <w:r w:rsidRPr="008864F1">
        <w:rPr>
          <w:rFonts w:ascii="Times New Roman" w:hAnsi="Times New Roman" w:cs="Times New Roman"/>
          <w:bCs/>
          <w:sz w:val="24"/>
          <w:szCs w:val="24"/>
        </w:rPr>
        <w:t>Отеген</w:t>
      </w:r>
      <w:proofErr w:type="spellEnd"/>
      <w:r w:rsidRPr="008864F1">
        <w:rPr>
          <w:rFonts w:ascii="Times New Roman" w:hAnsi="Times New Roman" w:cs="Times New Roman"/>
          <w:bCs/>
          <w:sz w:val="24"/>
          <w:szCs w:val="24"/>
        </w:rPr>
        <w:t>, 27</w:t>
      </w:r>
    </w:p>
    <w:p w14:paraId="1B74F323" w14:textId="2145F07A" w:rsidR="00EA68B9" w:rsidRPr="0034139C" w:rsidRDefault="008864F1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spacing w:val="2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EA68B9" w:rsidRPr="0034139C">
        <w:rPr>
          <w:rFonts w:ascii="Times New Roman" w:hAnsi="Times New Roman" w:cs="Times New Roman"/>
          <w:bCs/>
          <w:sz w:val="24"/>
          <w:szCs w:val="24"/>
        </w:rPr>
        <w:t xml:space="preserve">ИН </w:t>
      </w:r>
      <w:r w:rsidRPr="008864F1">
        <w:rPr>
          <w:rFonts w:ascii="Times New Roman" w:hAnsi="Times New Roman" w:cs="Times New Roman"/>
          <w:spacing w:val="2"/>
          <w:sz w:val="24"/>
          <w:szCs w:val="24"/>
        </w:rPr>
        <w:t>750618302636</w:t>
      </w:r>
      <w:r w:rsidR="00EA68B9" w:rsidRPr="0034139C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0A038D0" w14:textId="50F64D87" w:rsidR="00EA68B9" w:rsidRPr="0034139C" w:rsidRDefault="00EA68B9" w:rsidP="00EA68B9">
      <w:pPr>
        <w:widowControl w:val="0"/>
        <w:tabs>
          <w:tab w:val="num" w:pos="1260"/>
        </w:tabs>
        <w:suppressAutoHyphens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4139C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="008864F1" w:rsidRPr="008864F1">
        <w:rPr>
          <w:rFonts w:ascii="Times New Roman" w:hAnsi="Times New Roman" w:cs="Times New Roman"/>
          <w:spacing w:val="2"/>
          <w:sz w:val="24"/>
          <w:szCs w:val="24"/>
        </w:rPr>
        <w:t xml:space="preserve">Бакаев </w:t>
      </w:r>
      <w:proofErr w:type="spellStart"/>
      <w:r w:rsidR="008864F1" w:rsidRPr="008864F1">
        <w:rPr>
          <w:rFonts w:ascii="Times New Roman" w:hAnsi="Times New Roman" w:cs="Times New Roman"/>
          <w:spacing w:val="2"/>
          <w:sz w:val="24"/>
          <w:szCs w:val="24"/>
        </w:rPr>
        <w:t>Салауат</w:t>
      </w:r>
      <w:proofErr w:type="spellEnd"/>
      <w:r w:rsidR="008864F1" w:rsidRPr="008864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8864F1" w:rsidRPr="008864F1">
        <w:rPr>
          <w:rFonts w:ascii="Times New Roman" w:hAnsi="Times New Roman" w:cs="Times New Roman"/>
          <w:spacing w:val="2"/>
          <w:sz w:val="24"/>
          <w:szCs w:val="24"/>
        </w:rPr>
        <w:t>Туленович</w:t>
      </w:r>
      <w:proofErr w:type="spellEnd"/>
    </w:p>
    <w:p w14:paraId="4DB07F1E" w14:textId="78F38CB2" w:rsidR="00EA68B9" w:rsidRPr="0034139C" w:rsidRDefault="00EA68B9" w:rsidP="00EA68B9">
      <w:pPr>
        <w:ind w:firstLine="567"/>
        <w:rPr>
          <w:rFonts w:ascii="Times New Roman" w:hAnsi="Times New Roman" w:cs="Times New Roman"/>
          <w:spacing w:val="2"/>
          <w:sz w:val="24"/>
          <w:szCs w:val="24"/>
        </w:rPr>
      </w:pPr>
      <w:hyperlink r:id="rId5" w:history="1">
        <w:r w:rsidRPr="0034139C">
          <w:rPr>
            <w:rStyle w:val="a4"/>
            <w:rFonts w:ascii="Times New Roman" w:hAnsi="Times New Roman" w:cs="Times New Roman"/>
            <w:sz w:val="24"/>
            <w:szCs w:val="24"/>
          </w:rPr>
          <w:t>Контакты</w:t>
        </w:r>
      </w:hyperlink>
      <w:r w:rsidRPr="0034139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4139C">
        <w:rPr>
          <w:rFonts w:ascii="Times New Roman" w:hAnsi="Times New Roman" w:cs="Times New Roman"/>
          <w:spacing w:val="2"/>
          <w:sz w:val="24"/>
          <w:szCs w:val="24"/>
        </w:rPr>
        <w:t>8</w:t>
      </w:r>
      <w:r w:rsidR="008864F1" w:rsidRPr="008864F1">
        <w:rPr>
          <w:rFonts w:ascii="Times New Roman" w:hAnsi="Times New Roman" w:cs="Times New Roman"/>
          <w:spacing w:val="2"/>
          <w:sz w:val="24"/>
          <w:szCs w:val="24"/>
        </w:rPr>
        <w:t>7756917835</w:t>
      </w:r>
    </w:p>
    <w:p w14:paraId="07098FF9" w14:textId="1B0E2972" w:rsidR="00EA68B9" w:rsidRPr="0034139C" w:rsidRDefault="00EA68B9" w:rsidP="00EA68B9">
      <w:pPr>
        <w:pStyle w:val="a5"/>
        <w:rPr>
          <w:bCs/>
          <w:szCs w:val="24"/>
        </w:rPr>
      </w:pPr>
      <w:r w:rsidRPr="0034139C">
        <w:rPr>
          <w:szCs w:val="24"/>
          <w:lang w:val="en-US"/>
        </w:rPr>
        <w:t>E</w:t>
      </w:r>
      <w:r w:rsidRPr="0034139C">
        <w:rPr>
          <w:szCs w:val="24"/>
        </w:rPr>
        <w:t>_</w:t>
      </w:r>
      <w:r w:rsidRPr="0034139C">
        <w:rPr>
          <w:szCs w:val="24"/>
          <w:lang w:val="en-US"/>
        </w:rPr>
        <w:t>mail</w:t>
      </w:r>
      <w:r w:rsidRPr="0034139C">
        <w:rPr>
          <w:szCs w:val="24"/>
        </w:rPr>
        <w:t xml:space="preserve">: </w:t>
      </w:r>
    </w:p>
    <w:p w14:paraId="14E4F06B" w14:textId="3F54B29A" w:rsidR="00EA68B9" w:rsidRPr="0034139C" w:rsidRDefault="008864F1" w:rsidP="00EA68B9">
      <w:pPr>
        <w:pStyle w:val="Default"/>
      </w:pPr>
      <w:r w:rsidRPr="008864F1">
        <w:t>К/Х «</w:t>
      </w:r>
      <w:proofErr w:type="spellStart"/>
      <w:r w:rsidRPr="008864F1">
        <w:t>Нұрсултан</w:t>
      </w:r>
      <w:proofErr w:type="spellEnd"/>
      <w:r w:rsidRPr="008864F1">
        <w:t>»</w:t>
      </w:r>
      <w:r w:rsidR="00EA68B9" w:rsidRPr="0034139C">
        <w:t xml:space="preserve"> имеет 1 промышленную площадку. </w:t>
      </w:r>
    </w:p>
    <w:p w14:paraId="2DE7EBC0" w14:textId="412C1DFC" w:rsidR="00EA68B9" w:rsidRPr="0034139C" w:rsidRDefault="008864F1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64F1">
        <w:rPr>
          <w:rFonts w:ascii="Times New Roman" w:hAnsi="Times New Roman" w:cs="Times New Roman"/>
          <w:sz w:val="24"/>
          <w:szCs w:val="24"/>
        </w:rPr>
        <w:t xml:space="preserve">Административно месторождение песчано-гравийной смеси </w:t>
      </w:r>
      <w:proofErr w:type="spellStart"/>
      <w:r w:rsidRPr="008864F1">
        <w:rPr>
          <w:rFonts w:ascii="Times New Roman" w:hAnsi="Times New Roman" w:cs="Times New Roman"/>
          <w:sz w:val="24"/>
          <w:szCs w:val="24"/>
        </w:rPr>
        <w:t>Қосуақ</w:t>
      </w:r>
      <w:proofErr w:type="spellEnd"/>
      <w:r w:rsidRPr="008864F1">
        <w:rPr>
          <w:rFonts w:ascii="Times New Roman" w:hAnsi="Times New Roman" w:cs="Times New Roman"/>
          <w:sz w:val="24"/>
          <w:szCs w:val="24"/>
        </w:rPr>
        <w:t xml:space="preserve"> расположено в Кордайском районе Жамбылской области Республики Казахстана, в пределах геологической съемки листа К-43.</w:t>
      </w:r>
      <w:r w:rsidR="00EA68B9" w:rsidRPr="0034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40B3" w14:textId="77777777" w:rsidR="008864F1" w:rsidRPr="006D2FF6" w:rsidRDefault="008864F1" w:rsidP="008864F1">
      <w:pPr>
        <w:pStyle w:val="11"/>
        <w:rPr>
          <w:szCs w:val="24"/>
        </w:rPr>
      </w:pPr>
      <w:r w:rsidRPr="006D2FF6">
        <w:rPr>
          <w:szCs w:val="24"/>
        </w:rPr>
        <w:t xml:space="preserve">     Транспортные условия района участка хорошие. Населённые пункты связаны между собой автомобильными дорогами. Ближайшей железнодорожной станцией является ст. Шу.</w:t>
      </w:r>
    </w:p>
    <w:p w14:paraId="386301ED" w14:textId="77777777" w:rsidR="008864F1" w:rsidRPr="006D2FF6" w:rsidRDefault="008864F1" w:rsidP="008864F1">
      <w:pPr>
        <w:pStyle w:val="11"/>
        <w:rPr>
          <w:szCs w:val="24"/>
        </w:rPr>
      </w:pPr>
      <w:r w:rsidRPr="006D2FF6">
        <w:rPr>
          <w:szCs w:val="24"/>
        </w:rPr>
        <w:t xml:space="preserve">     Район экономически освоен. Населенные пункты соединены асфальтированной трассой.</w:t>
      </w:r>
    </w:p>
    <w:p w14:paraId="494DA4FC" w14:textId="77777777" w:rsidR="008864F1" w:rsidRDefault="008864F1" w:rsidP="008864F1">
      <w:pPr>
        <w:pStyle w:val="11"/>
        <w:rPr>
          <w:szCs w:val="24"/>
        </w:rPr>
      </w:pPr>
      <w:r w:rsidRPr="006D2FF6">
        <w:rPr>
          <w:szCs w:val="24"/>
        </w:rPr>
        <w:t xml:space="preserve">     Топливная база в районе отсутствует, местное население, в качестве топлива используют привозной уголь. Промышленные предприятия и население больших населенных пунктов (</w:t>
      </w:r>
      <w:proofErr w:type="spellStart"/>
      <w:r w:rsidRPr="006D2FF6">
        <w:rPr>
          <w:szCs w:val="24"/>
        </w:rPr>
        <w:t>Кордай</w:t>
      </w:r>
      <w:proofErr w:type="spellEnd"/>
      <w:r w:rsidRPr="006D2FF6">
        <w:rPr>
          <w:szCs w:val="24"/>
        </w:rPr>
        <w:t xml:space="preserve">, </w:t>
      </w:r>
      <w:proofErr w:type="spellStart"/>
      <w:r w:rsidRPr="006D2FF6">
        <w:rPr>
          <w:szCs w:val="24"/>
        </w:rPr>
        <w:t>Масанчи</w:t>
      </w:r>
      <w:proofErr w:type="spellEnd"/>
      <w:r w:rsidRPr="006D2FF6">
        <w:rPr>
          <w:szCs w:val="24"/>
        </w:rPr>
        <w:t xml:space="preserve">, </w:t>
      </w:r>
      <w:proofErr w:type="spellStart"/>
      <w:r w:rsidRPr="006D2FF6">
        <w:rPr>
          <w:szCs w:val="24"/>
        </w:rPr>
        <w:t>Сортобе</w:t>
      </w:r>
      <w:proofErr w:type="spellEnd"/>
      <w:r w:rsidRPr="006D2FF6">
        <w:rPr>
          <w:szCs w:val="24"/>
        </w:rPr>
        <w:t>) топят привозным каменным углем из г. Караганды. Часть населенных пунктов района газифицировано.</w:t>
      </w:r>
    </w:p>
    <w:p w14:paraId="7D002B4C" w14:textId="77777777" w:rsidR="008864F1" w:rsidRDefault="008864F1" w:rsidP="00EA68B9">
      <w:pPr>
        <w:pStyle w:val="Default"/>
      </w:pPr>
    </w:p>
    <w:p w14:paraId="787EF5AD" w14:textId="56E3D21B" w:rsidR="008864F1" w:rsidRDefault="008864F1" w:rsidP="00EA68B9">
      <w:pPr>
        <w:pStyle w:val="Default"/>
      </w:pPr>
      <w:r w:rsidRPr="008864F1">
        <w:t>Площадь горного отвода составляет – 22,18 га.</w:t>
      </w:r>
    </w:p>
    <w:p w14:paraId="4B52DFB7" w14:textId="3ADAD736" w:rsidR="00EA68B9" w:rsidRPr="0034139C" w:rsidRDefault="00EA68B9" w:rsidP="00EA68B9">
      <w:pPr>
        <w:pStyle w:val="Default"/>
      </w:pPr>
      <w:r w:rsidRPr="0034139C">
        <w:t xml:space="preserve">В рамках намечаемой деятельности изменение параметров использования земельных ресурсов в сравнении с существующим положением не прогнозируется, дополнительный земельный отвод не требуется. </w:t>
      </w:r>
    </w:p>
    <w:p w14:paraId="455D5768" w14:textId="77777777" w:rsidR="00EA68B9" w:rsidRPr="0034139C" w:rsidRDefault="00EA68B9" w:rsidP="00EA68B9">
      <w:pPr>
        <w:pStyle w:val="Default"/>
        <w:rPr>
          <w:rFonts w:eastAsia="Calibri"/>
        </w:rPr>
      </w:pPr>
      <w:r w:rsidRPr="0034139C">
        <w:t>Предполагаемые сроков использования: с 2025 по 2034 года.</w:t>
      </w:r>
      <w:r w:rsidRPr="0034139C">
        <w:rPr>
          <w:rFonts w:eastAsia="Calibri"/>
        </w:rPr>
        <w:t xml:space="preserve">  </w:t>
      </w:r>
    </w:p>
    <w:p w14:paraId="28EF0826" w14:textId="77777777" w:rsidR="00EA68B9" w:rsidRPr="0034139C" w:rsidRDefault="00EA68B9" w:rsidP="00EA68B9">
      <w:pPr>
        <w:pStyle w:val="Default"/>
      </w:pPr>
      <w:r w:rsidRPr="0034139C">
        <w:t>Предоставленное право: временное возмездное долгосрочное землепользование</w:t>
      </w:r>
    </w:p>
    <w:p w14:paraId="75186BB3" w14:textId="03B5D116" w:rsidR="00EA68B9" w:rsidRPr="0034139C" w:rsidRDefault="00EA68B9" w:rsidP="00EA68B9">
      <w:pPr>
        <w:pStyle w:val="Default"/>
      </w:pPr>
      <w:r w:rsidRPr="0034139C">
        <w:t xml:space="preserve">Местоположение: </w:t>
      </w:r>
      <w:r w:rsidR="008864F1" w:rsidRPr="008864F1">
        <w:t xml:space="preserve">песчано-гравийной смеси </w:t>
      </w:r>
      <w:proofErr w:type="spellStart"/>
      <w:r w:rsidR="008864F1" w:rsidRPr="008864F1">
        <w:t>Қосуақ</w:t>
      </w:r>
      <w:proofErr w:type="spellEnd"/>
      <w:r w:rsidR="008864F1" w:rsidRPr="008864F1">
        <w:t xml:space="preserve"> расположено в Кордайском районе Жамбылской области Республики Казахстана</w:t>
      </w:r>
      <w:r w:rsidRPr="0034139C">
        <w:t>.</w:t>
      </w:r>
    </w:p>
    <w:p w14:paraId="44E8A052" w14:textId="77777777" w:rsidR="00EA68B9" w:rsidRPr="0034139C" w:rsidRDefault="00EA68B9" w:rsidP="00EA68B9">
      <w:pPr>
        <w:pStyle w:val="Default"/>
        <w:rPr>
          <w:b/>
          <w:bCs/>
        </w:rPr>
      </w:pPr>
      <w:r w:rsidRPr="0034139C">
        <w:rPr>
          <w:b/>
          <w:bCs/>
        </w:rPr>
        <w:t>Координаты участка, на котором осуществляется намечаемая деятельность:</w:t>
      </w:r>
    </w:p>
    <w:p w14:paraId="2B5B5204" w14:textId="77777777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4139C">
        <w:rPr>
          <w:rFonts w:ascii="Times New Roman" w:hAnsi="Times New Roman" w:cs="Times New Roman"/>
          <w:sz w:val="24"/>
          <w:szCs w:val="24"/>
        </w:rPr>
        <w:t>Географические координаты месторождения: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4318"/>
        <w:gridCol w:w="15"/>
        <w:gridCol w:w="4239"/>
      </w:tblGrid>
      <w:tr w:rsidR="008864F1" w:rsidRPr="006D2FF6" w14:paraId="41EFB75A" w14:textId="77777777" w:rsidTr="000448C7">
        <w:trPr>
          <w:cantSplit/>
          <w:jc w:val="center"/>
        </w:trPr>
        <w:tc>
          <w:tcPr>
            <w:tcW w:w="901" w:type="pct"/>
            <w:vMerge w:val="restart"/>
          </w:tcPr>
          <w:p w14:paraId="72327C97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6D2FF6">
              <w:rPr>
                <w:b/>
                <w:bCs/>
              </w:rPr>
              <w:t>№№</w:t>
            </w:r>
          </w:p>
          <w:p w14:paraId="15E2A9D7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/>
                <w:bCs/>
              </w:rPr>
            </w:pPr>
            <w:r w:rsidRPr="006D2FF6">
              <w:rPr>
                <w:b/>
                <w:bCs/>
              </w:rPr>
              <w:t>угловых точек</w:t>
            </w:r>
          </w:p>
        </w:tc>
        <w:tc>
          <w:tcPr>
            <w:tcW w:w="4099" w:type="pct"/>
            <w:gridSpan w:val="3"/>
            <w:vAlign w:val="center"/>
          </w:tcPr>
          <w:p w14:paraId="339A4FAF" w14:textId="77777777" w:rsidR="008864F1" w:rsidRPr="006D2FF6" w:rsidRDefault="008864F1" w:rsidP="000448C7">
            <w:pPr>
              <w:pStyle w:val="11"/>
              <w:jc w:val="center"/>
              <w:rPr>
                <w:b/>
                <w:bCs/>
              </w:rPr>
            </w:pPr>
            <w:r w:rsidRPr="006D2FF6">
              <w:rPr>
                <w:b/>
                <w:bCs/>
              </w:rPr>
              <w:t>Географические координаты</w:t>
            </w:r>
          </w:p>
        </w:tc>
      </w:tr>
      <w:tr w:rsidR="008864F1" w:rsidRPr="006D2FF6" w14:paraId="2BE0D812" w14:textId="77777777" w:rsidTr="000448C7">
        <w:trPr>
          <w:cantSplit/>
          <w:jc w:val="center"/>
        </w:trPr>
        <w:tc>
          <w:tcPr>
            <w:tcW w:w="901" w:type="pct"/>
            <w:vMerge/>
            <w:vAlign w:val="center"/>
          </w:tcPr>
          <w:p w14:paraId="2459DC2D" w14:textId="77777777" w:rsidR="008864F1" w:rsidRPr="006D2FF6" w:rsidRDefault="008864F1" w:rsidP="000448C7">
            <w:pPr>
              <w:pStyle w:val="11"/>
              <w:rPr>
                <w:b/>
                <w:bCs/>
              </w:rPr>
            </w:pPr>
          </w:p>
        </w:tc>
        <w:tc>
          <w:tcPr>
            <w:tcW w:w="2065" w:type="pct"/>
            <w:vAlign w:val="center"/>
          </w:tcPr>
          <w:p w14:paraId="26607414" w14:textId="77777777" w:rsidR="008864F1" w:rsidRPr="006D2FF6" w:rsidRDefault="008864F1" w:rsidP="000448C7">
            <w:pPr>
              <w:pStyle w:val="11"/>
              <w:jc w:val="center"/>
              <w:rPr>
                <w:b/>
                <w:bCs/>
              </w:rPr>
            </w:pPr>
            <w:r w:rsidRPr="006D2FF6">
              <w:rPr>
                <w:b/>
                <w:bCs/>
              </w:rPr>
              <w:t>сев. широта</w:t>
            </w:r>
          </w:p>
        </w:tc>
        <w:tc>
          <w:tcPr>
            <w:tcW w:w="2034" w:type="pct"/>
            <w:gridSpan w:val="2"/>
            <w:vAlign w:val="center"/>
          </w:tcPr>
          <w:p w14:paraId="5D51F2EA" w14:textId="77777777" w:rsidR="008864F1" w:rsidRPr="006D2FF6" w:rsidRDefault="008864F1" w:rsidP="000448C7">
            <w:pPr>
              <w:pStyle w:val="11"/>
              <w:jc w:val="center"/>
              <w:rPr>
                <w:b/>
                <w:bCs/>
              </w:rPr>
            </w:pPr>
            <w:r w:rsidRPr="006D2FF6">
              <w:rPr>
                <w:b/>
                <w:bCs/>
              </w:rPr>
              <w:t>вост. долгота</w:t>
            </w:r>
          </w:p>
        </w:tc>
      </w:tr>
      <w:tr w:rsidR="008864F1" w:rsidRPr="006D2FF6" w14:paraId="65298FB9" w14:textId="77777777" w:rsidTr="000448C7">
        <w:trPr>
          <w:trHeight w:val="274"/>
          <w:jc w:val="center"/>
        </w:trPr>
        <w:tc>
          <w:tcPr>
            <w:tcW w:w="901" w:type="pct"/>
          </w:tcPr>
          <w:p w14:paraId="6BCDF4F1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Cs/>
              </w:rPr>
            </w:pPr>
            <w:r w:rsidRPr="006D2FF6">
              <w:rPr>
                <w:bCs/>
              </w:rPr>
              <w:t>1</w:t>
            </w:r>
          </w:p>
        </w:tc>
        <w:tc>
          <w:tcPr>
            <w:tcW w:w="2072" w:type="pct"/>
            <w:gridSpan w:val="2"/>
          </w:tcPr>
          <w:p w14:paraId="573AA98D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42°53'25,96000"</w:t>
            </w:r>
          </w:p>
        </w:tc>
        <w:tc>
          <w:tcPr>
            <w:tcW w:w="2027" w:type="pct"/>
          </w:tcPr>
          <w:p w14:paraId="00876490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75°18'25,42000"</w:t>
            </w:r>
          </w:p>
        </w:tc>
      </w:tr>
      <w:tr w:rsidR="008864F1" w:rsidRPr="006D2FF6" w14:paraId="00289B7B" w14:textId="77777777" w:rsidTr="000448C7">
        <w:trPr>
          <w:trHeight w:val="274"/>
          <w:jc w:val="center"/>
        </w:trPr>
        <w:tc>
          <w:tcPr>
            <w:tcW w:w="901" w:type="pct"/>
          </w:tcPr>
          <w:p w14:paraId="067B9AE2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Cs/>
              </w:rPr>
            </w:pPr>
            <w:r w:rsidRPr="006D2FF6">
              <w:rPr>
                <w:bCs/>
              </w:rPr>
              <w:t>2</w:t>
            </w:r>
          </w:p>
        </w:tc>
        <w:tc>
          <w:tcPr>
            <w:tcW w:w="2072" w:type="pct"/>
            <w:gridSpan w:val="2"/>
          </w:tcPr>
          <w:p w14:paraId="4EF1738B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42°53'20,04000"</w:t>
            </w:r>
          </w:p>
        </w:tc>
        <w:tc>
          <w:tcPr>
            <w:tcW w:w="2027" w:type="pct"/>
          </w:tcPr>
          <w:p w14:paraId="1FEA721E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75°18'41,85000"</w:t>
            </w:r>
          </w:p>
        </w:tc>
      </w:tr>
      <w:tr w:rsidR="008864F1" w:rsidRPr="006D2FF6" w14:paraId="070467D1" w14:textId="77777777" w:rsidTr="000448C7">
        <w:trPr>
          <w:trHeight w:val="274"/>
          <w:jc w:val="center"/>
        </w:trPr>
        <w:tc>
          <w:tcPr>
            <w:tcW w:w="901" w:type="pct"/>
          </w:tcPr>
          <w:p w14:paraId="30E1621A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Cs/>
              </w:rPr>
            </w:pPr>
            <w:r w:rsidRPr="006D2FF6">
              <w:rPr>
                <w:bCs/>
              </w:rPr>
              <w:t>3</w:t>
            </w:r>
          </w:p>
        </w:tc>
        <w:tc>
          <w:tcPr>
            <w:tcW w:w="2072" w:type="pct"/>
            <w:gridSpan w:val="2"/>
          </w:tcPr>
          <w:p w14:paraId="517D3D90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42°53'03,80000"</w:t>
            </w:r>
          </w:p>
        </w:tc>
        <w:tc>
          <w:tcPr>
            <w:tcW w:w="2027" w:type="pct"/>
          </w:tcPr>
          <w:p w14:paraId="4CAF956D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75°18'36,77000"</w:t>
            </w:r>
          </w:p>
        </w:tc>
      </w:tr>
      <w:tr w:rsidR="008864F1" w:rsidRPr="006D2FF6" w14:paraId="713D8542" w14:textId="77777777" w:rsidTr="000448C7">
        <w:trPr>
          <w:trHeight w:val="274"/>
          <w:jc w:val="center"/>
        </w:trPr>
        <w:tc>
          <w:tcPr>
            <w:tcW w:w="901" w:type="pct"/>
          </w:tcPr>
          <w:p w14:paraId="4F0F8202" w14:textId="77777777" w:rsidR="008864F1" w:rsidRPr="006D2FF6" w:rsidRDefault="008864F1" w:rsidP="000448C7">
            <w:pPr>
              <w:pStyle w:val="11"/>
              <w:ind w:firstLine="0"/>
              <w:jc w:val="center"/>
              <w:rPr>
                <w:bCs/>
              </w:rPr>
            </w:pPr>
            <w:r w:rsidRPr="006D2FF6">
              <w:rPr>
                <w:bCs/>
              </w:rPr>
              <w:t>4</w:t>
            </w:r>
          </w:p>
        </w:tc>
        <w:tc>
          <w:tcPr>
            <w:tcW w:w="2072" w:type="pct"/>
            <w:gridSpan w:val="2"/>
          </w:tcPr>
          <w:p w14:paraId="20FB72B3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42°53'08,97000"</w:t>
            </w:r>
          </w:p>
        </w:tc>
        <w:tc>
          <w:tcPr>
            <w:tcW w:w="2027" w:type="pct"/>
          </w:tcPr>
          <w:p w14:paraId="696C0D0C" w14:textId="77777777" w:rsidR="008864F1" w:rsidRPr="006D2FF6" w:rsidRDefault="008864F1" w:rsidP="000448C7">
            <w:pPr>
              <w:pStyle w:val="11"/>
              <w:jc w:val="center"/>
            </w:pPr>
            <w:r w:rsidRPr="006D2FF6">
              <w:t>75°18'18,46000"</w:t>
            </w:r>
          </w:p>
        </w:tc>
      </w:tr>
      <w:tr w:rsidR="008864F1" w:rsidRPr="006D2FF6" w14:paraId="68141385" w14:textId="77777777" w:rsidTr="000448C7">
        <w:trPr>
          <w:trHeight w:val="274"/>
          <w:jc w:val="center"/>
        </w:trPr>
        <w:tc>
          <w:tcPr>
            <w:tcW w:w="5000" w:type="pct"/>
            <w:gridSpan w:val="4"/>
          </w:tcPr>
          <w:p w14:paraId="602E3780" w14:textId="77777777" w:rsidR="008864F1" w:rsidRPr="006D2FF6" w:rsidRDefault="008864F1" w:rsidP="000448C7">
            <w:pPr>
              <w:pStyle w:val="11"/>
              <w:jc w:val="center"/>
              <w:rPr>
                <w:bCs/>
              </w:rPr>
            </w:pPr>
            <w:r w:rsidRPr="006D2FF6">
              <w:t>Площадь месторождения – 22,18га</w:t>
            </w:r>
          </w:p>
        </w:tc>
      </w:tr>
    </w:tbl>
    <w:p w14:paraId="426E34B0" w14:textId="77777777" w:rsidR="00EA68B9" w:rsidRPr="0034139C" w:rsidRDefault="00EA68B9" w:rsidP="00EA68B9">
      <w:pPr>
        <w:pStyle w:val="21"/>
      </w:pPr>
    </w:p>
    <w:p w14:paraId="18E80CFF" w14:textId="77777777" w:rsidR="00EA68B9" w:rsidRPr="0034139C" w:rsidRDefault="00EA68B9" w:rsidP="00EA68B9">
      <w:pPr>
        <w:pStyle w:val="a7"/>
        <w:jc w:val="center"/>
        <w:rPr>
          <w:b/>
          <w:bCs/>
          <w:i/>
          <w:iCs/>
          <w:color w:val="002060"/>
        </w:rPr>
      </w:pPr>
      <w:r w:rsidRPr="0034139C">
        <w:rPr>
          <w:b/>
          <w:bCs/>
          <w:i/>
          <w:iCs/>
          <w:color w:val="002060"/>
        </w:rPr>
        <w:t>Категория и класс опасности объекта</w:t>
      </w:r>
    </w:p>
    <w:p w14:paraId="194749F0" w14:textId="77777777" w:rsidR="00EA68B9" w:rsidRPr="0034139C" w:rsidRDefault="00EA68B9" w:rsidP="00EA68B9">
      <w:pPr>
        <w:pStyle w:val="12"/>
        <w:rPr>
          <w:rStyle w:val="ListParagraphChar2"/>
          <w:rFonts w:eastAsia="Batang"/>
          <w:b/>
          <w:i/>
          <w:iCs/>
          <w:szCs w:val="24"/>
        </w:rPr>
      </w:pPr>
      <w:r w:rsidRPr="0034139C">
        <w:rPr>
          <w:color w:val="000000" w:themeColor="text1"/>
          <w:szCs w:val="24"/>
        </w:rPr>
        <w:t xml:space="preserve">Согласно </w:t>
      </w:r>
      <w:proofErr w:type="spellStart"/>
      <w:r w:rsidRPr="0034139C">
        <w:rPr>
          <w:color w:val="000000" w:themeColor="text1"/>
          <w:szCs w:val="24"/>
        </w:rPr>
        <w:t>пп</w:t>
      </w:r>
      <w:proofErr w:type="spellEnd"/>
      <w:r w:rsidRPr="0034139C">
        <w:rPr>
          <w:color w:val="000000" w:themeColor="text1"/>
          <w:szCs w:val="24"/>
        </w:rPr>
        <w:t xml:space="preserve">. </w:t>
      </w:r>
      <w:r w:rsidRPr="0034139C">
        <w:rPr>
          <w:color w:val="000000" w:themeColor="text1"/>
          <w:szCs w:val="24"/>
          <w:lang w:val="kk-KZ"/>
        </w:rPr>
        <w:t>2</w:t>
      </w:r>
      <w:r w:rsidRPr="0034139C">
        <w:rPr>
          <w:color w:val="000000" w:themeColor="text1"/>
          <w:szCs w:val="24"/>
        </w:rPr>
        <w:t xml:space="preserve">.5 </w:t>
      </w:r>
      <w:r w:rsidRPr="0034139C">
        <w:rPr>
          <w:color w:val="000000" w:themeColor="text1"/>
          <w:szCs w:val="24"/>
          <w:lang w:val="kk-KZ"/>
        </w:rPr>
        <w:t>п</w:t>
      </w:r>
      <w:r w:rsidRPr="0034139C">
        <w:rPr>
          <w:color w:val="000000" w:themeColor="text1"/>
          <w:szCs w:val="24"/>
        </w:rPr>
        <w:t xml:space="preserve">. 2 раздела 2 приложения 1 Экологического кодекса объект, относится к видам намечаемой деятельности и объектов, для которых проведение процедуры скрининга воздействий намечаемой деятельности является обязательным: </w:t>
      </w:r>
      <w:r w:rsidRPr="0034139C">
        <w:rPr>
          <w:color w:val="000000"/>
          <w:spacing w:val="2"/>
          <w:szCs w:val="24"/>
          <w:shd w:val="clear" w:color="auto" w:fill="FFFFFF"/>
        </w:rPr>
        <w:t>добыча и переработка общераспространенных полезных ископаемых свыше 10 тыс. тонн в год</w:t>
      </w:r>
      <w:r w:rsidRPr="0034139C">
        <w:rPr>
          <w:rStyle w:val="ListParagraphChar2"/>
          <w:rFonts w:eastAsia="Batang"/>
          <w:b/>
          <w:i/>
          <w:iCs/>
          <w:szCs w:val="24"/>
        </w:rPr>
        <w:t>.</w:t>
      </w:r>
    </w:p>
    <w:p w14:paraId="5EEC319C" w14:textId="77777777" w:rsidR="00EA68B9" w:rsidRPr="0034139C" w:rsidRDefault="00EA68B9" w:rsidP="00EA68B9">
      <w:pPr>
        <w:pStyle w:val="13"/>
        <w:suppressAutoHyphens/>
        <w:outlineLvl w:val="9"/>
        <w:rPr>
          <w:rStyle w:val="ListParagraphChar2"/>
          <w:b/>
          <w:bCs/>
          <w:i/>
          <w:iCs/>
          <w:szCs w:val="24"/>
        </w:rPr>
      </w:pPr>
      <w:r w:rsidRPr="0034139C">
        <w:rPr>
          <w:sz w:val="24"/>
          <w:szCs w:val="24"/>
        </w:rPr>
        <w:t xml:space="preserve">Согласно </w:t>
      </w:r>
      <w:proofErr w:type="spellStart"/>
      <w:r w:rsidRPr="0034139C">
        <w:rPr>
          <w:sz w:val="24"/>
          <w:szCs w:val="24"/>
        </w:rPr>
        <w:t>пп</w:t>
      </w:r>
      <w:proofErr w:type="spellEnd"/>
      <w:r w:rsidRPr="0034139C">
        <w:rPr>
          <w:sz w:val="24"/>
          <w:szCs w:val="24"/>
        </w:rPr>
        <w:t>. 7.11 п. 7 раздела 2 приложения 2 Экологического Кодекса РК вид намечаемой деятельности относится к объектам I</w:t>
      </w:r>
      <w:r w:rsidRPr="0034139C">
        <w:rPr>
          <w:sz w:val="24"/>
          <w:szCs w:val="24"/>
          <w:lang w:val="en-US"/>
        </w:rPr>
        <w:t>I</w:t>
      </w:r>
      <w:r w:rsidRPr="0034139C">
        <w:rPr>
          <w:sz w:val="24"/>
          <w:szCs w:val="24"/>
        </w:rPr>
        <w:t xml:space="preserve"> категории: </w:t>
      </w:r>
      <w:r w:rsidRPr="0034139C">
        <w:rPr>
          <w:color w:val="000000"/>
          <w:spacing w:val="2"/>
          <w:sz w:val="24"/>
          <w:szCs w:val="24"/>
          <w:shd w:val="clear" w:color="auto" w:fill="FFFFFF"/>
        </w:rPr>
        <w:t>добыча и переработка общераспространенных полезных ископаемых свыше 10 тыс. тонн в год</w:t>
      </w:r>
      <w:r w:rsidRPr="0034139C">
        <w:rPr>
          <w:rStyle w:val="ListParagraphChar2"/>
          <w:b/>
          <w:i/>
          <w:iCs/>
          <w:szCs w:val="24"/>
        </w:rPr>
        <w:t>.</w:t>
      </w:r>
    </w:p>
    <w:p w14:paraId="70D0B6B3" w14:textId="77777777" w:rsidR="0034139C" w:rsidRDefault="0034139C" w:rsidP="00EA68B9">
      <w:pPr>
        <w:ind w:firstLine="567"/>
        <w:rPr>
          <w:rFonts w:ascii="Times New Roman" w:hAnsi="Times New Roman" w:cs="Times New Roman"/>
          <w:sz w:val="24"/>
          <w:szCs w:val="24"/>
        </w:rPr>
        <w:sectPr w:rsidR="0034139C" w:rsidSect="0034139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6381B12" w14:textId="42271801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33CEFFF" w14:textId="1B5B5F4A" w:rsidR="00EA68B9" w:rsidRPr="0034139C" w:rsidRDefault="00EA68B9" w:rsidP="00EA68B9">
      <w:pPr>
        <w:pStyle w:val="a9"/>
        <w:rPr>
          <w:rFonts w:ascii="Times New Roman" w:hAnsi="Times New Roman"/>
          <w:szCs w:val="24"/>
        </w:rPr>
      </w:pPr>
      <w:bookmarkStart w:id="0" w:name="_Toc187789195"/>
      <w:r w:rsidRPr="0034139C">
        <w:rPr>
          <w:rFonts w:ascii="Times New Roman" w:hAnsi="Times New Roman"/>
          <w:szCs w:val="24"/>
        </w:rPr>
        <w:t xml:space="preserve">Рисунок 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STYLEREF 1 \s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>.</w:t>
      </w:r>
      <w:r w:rsidRPr="0034139C">
        <w:rPr>
          <w:rFonts w:ascii="Times New Roman" w:hAnsi="Times New Roman"/>
          <w:szCs w:val="24"/>
        </w:rPr>
        <w:fldChar w:fldCharType="begin"/>
      </w:r>
      <w:r w:rsidRPr="0034139C">
        <w:rPr>
          <w:rFonts w:ascii="Times New Roman" w:hAnsi="Times New Roman"/>
          <w:szCs w:val="24"/>
        </w:rPr>
        <w:instrText xml:space="preserve"> SEQ Рисунок \* ARABIC \s 1 </w:instrText>
      </w:r>
      <w:r w:rsidRPr="0034139C">
        <w:rPr>
          <w:rFonts w:ascii="Times New Roman" w:hAnsi="Times New Roman"/>
          <w:szCs w:val="24"/>
        </w:rPr>
        <w:fldChar w:fldCharType="separate"/>
      </w:r>
      <w:r w:rsidR="009716C4">
        <w:rPr>
          <w:rFonts w:ascii="Times New Roman" w:hAnsi="Times New Roman"/>
          <w:noProof/>
          <w:szCs w:val="24"/>
        </w:rPr>
        <w:t>1</w:t>
      </w:r>
      <w:r w:rsidRPr="0034139C">
        <w:rPr>
          <w:rFonts w:ascii="Times New Roman" w:hAnsi="Times New Roman"/>
          <w:noProof/>
          <w:szCs w:val="24"/>
        </w:rPr>
        <w:fldChar w:fldCharType="end"/>
      </w:r>
      <w:r w:rsidRPr="0034139C">
        <w:rPr>
          <w:rFonts w:ascii="Times New Roman" w:hAnsi="Times New Roman"/>
          <w:szCs w:val="24"/>
        </w:rPr>
        <w:t xml:space="preserve"> Карта месторасположения предприятия</w:t>
      </w:r>
      <w:bookmarkEnd w:id="0"/>
    </w:p>
    <w:p w14:paraId="73CFDA42" w14:textId="77777777" w:rsidR="00EA68B9" w:rsidRPr="0034139C" w:rsidRDefault="00EA68B9" w:rsidP="00EA68B9">
      <w:pPr>
        <w:pStyle w:val="21"/>
      </w:pPr>
    </w:p>
    <w:p w14:paraId="22DA53EA" w14:textId="351DF38E" w:rsidR="00EA68B9" w:rsidRPr="00225808" w:rsidRDefault="00225808" w:rsidP="00225808">
      <w:pPr>
        <w:pStyle w:val="21"/>
        <w:ind w:firstLine="0"/>
        <w:rPr>
          <w:b/>
          <w:iCs/>
          <w:color w:val="000000" w:themeColor="text1"/>
        </w:rPr>
      </w:pPr>
      <w:r>
        <w:rPr>
          <w:noProof/>
        </w:rPr>
        <w:drawing>
          <wp:inline distT="0" distB="0" distL="0" distR="0" wp14:anchorId="31CCC3BF" wp14:editId="49EF3AD5">
            <wp:extent cx="9777730" cy="5688965"/>
            <wp:effectExtent l="0" t="0" r="0" b="6985"/>
            <wp:docPr id="790831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68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8B9" w:rsidRPr="0034139C">
        <w:br w:type="page"/>
      </w:r>
    </w:p>
    <w:p w14:paraId="10F54FAA" w14:textId="77777777" w:rsidR="00EA68B9" w:rsidRPr="0034139C" w:rsidRDefault="00EA68B9" w:rsidP="00225808">
      <w:pPr>
        <w:pStyle w:val="1"/>
        <w:rPr>
          <w:rFonts w:ascii="Times New Roman" w:hAnsi="Times New Roman" w:cs="Times New Roman"/>
          <w:sz w:val="24"/>
          <w:szCs w:val="24"/>
        </w:rPr>
        <w:sectPr w:rsidR="00EA68B9" w:rsidRPr="0034139C" w:rsidSect="00AB3A14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B0021D5" w14:textId="77777777" w:rsidR="00EA68B9" w:rsidRPr="0034139C" w:rsidRDefault="00EA68B9" w:rsidP="00EA68B9">
      <w:pPr>
        <w:pStyle w:val="2"/>
        <w:rPr>
          <w:rFonts w:ascii="Times New Roman" w:hAnsi="Times New Roman" w:cs="Times New Roman"/>
          <w:szCs w:val="24"/>
          <w:shd w:val="clear" w:color="auto" w:fill="FFFFFF"/>
        </w:rPr>
      </w:pPr>
      <w:bookmarkStart w:id="1" w:name="_Toc187789106"/>
      <w:r w:rsidRPr="0034139C">
        <w:rPr>
          <w:rFonts w:ascii="Times New Roman" w:hAnsi="Times New Roman" w:cs="Times New Roman"/>
          <w:szCs w:val="24"/>
          <w:shd w:val="clear" w:color="auto" w:fill="FFFFFF"/>
        </w:rPr>
        <w:lastRenderedPageBreak/>
        <w:t>1.3. Источники и масштабы расчетного химического загрязнения.</w:t>
      </w:r>
      <w:bookmarkEnd w:id="1"/>
    </w:p>
    <w:p w14:paraId="4F1EEBBA" w14:textId="77777777" w:rsidR="00EA68B9" w:rsidRPr="0034139C" w:rsidRDefault="00EA68B9" w:rsidP="00EA68B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4139C">
        <w:rPr>
          <w:rFonts w:ascii="Times New Roman" w:hAnsi="Times New Roman" w:cs="Times New Roman"/>
          <w:sz w:val="24"/>
          <w:szCs w:val="24"/>
        </w:rPr>
        <w:t xml:space="preserve">Расчет выбросов загрязняющих веществ был посчитан с помощью программного комплекса ЭРА </w:t>
      </w:r>
      <w:r w:rsidRPr="0034139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139C">
        <w:rPr>
          <w:rFonts w:ascii="Times New Roman" w:hAnsi="Times New Roman" w:cs="Times New Roman"/>
          <w:sz w:val="24"/>
          <w:szCs w:val="24"/>
        </w:rPr>
        <w:t>3.0 (сборка 351) ООО НЛП «Логос-Плюс».</w:t>
      </w:r>
    </w:p>
    <w:p w14:paraId="70462871" w14:textId="245F6BCA" w:rsidR="00EA68B9" w:rsidRDefault="00EA68B9" w:rsidP="00EA68B9">
      <w:pPr>
        <w:pStyle w:val="Default"/>
      </w:pPr>
      <w:r w:rsidRPr="0034139C">
        <w:t xml:space="preserve">На основании плана горных работ при проведении горных работ на объекте будут задействованы </w:t>
      </w:r>
      <w:r w:rsidR="001E6194">
        <w:t>20</w:t>
      </w:r>
      <w:r w:rsidRPr="0034139C">
        <w:t xml:space="preserve"> неорганизованных источников загрязнения воздушного бассейна, которые выбрасывают </w:t>
      </w:r>
      <w:r w:rsidR="001E6194">
        <w:t>13</w:t>
      </w:r>
      <w:r w:rsidRPr="0034139C">
        <w:t xml:space="preserve"> наименований загрязняющих веществ (с учетом выбросов от автотранспорта) в объеме</w:t>
      </w:r>
      <w:r w:rsidR="001E6194">
        <w:t>;</w:t>
      </w:r>
    </w:p>
    <w:p w14:paraId="444CD1F4" w14:textId="77777777" w:rsidR="001E6194" w:rsidRDefault="001E6194" w:rsidP="001E6194">
      <w:pPr>
        <w:pStyle w:val="Default"/>
      </w:pPr>
      <w:r>
        <w:t xml:space="preserve">на 2025 год - </w:t>
      </w:r>
      <w:r w:rsidRPr="00BB7D24">
        <w:t>15,86078787</w:t>
      </w:r>
      <w:r>
        <w:t xml:space="preserve"> тонн/год.</w:t>
      </w:r>
    </w:p>
    <w:p w14:paraId="521F480B" w14:textId="77777777" w:rsidR="001E6194" w:rsidRDefault="001E6194" w:rsidP="001E6194">
      <w:pPr>
        <w:pStyle w:val="Default"/>
      </w:pPr>
      <w:r>
        <w:t xml:space="preserve">на 2026-2029 года - </w:t>
      </w:r>
      <w:r w:rsidRPr="00BB7D24">
        <w:t>15,94620355</w:t>
      </w:r>
      <w:r>
        <w:t xml:space="preserve"> тонн/год.</w:t>
      </w:r>
    </w:p>
    <w:p w14:paraId="151BB600" w14:textId="77777777" w:rsidR="001E6194" w:rsidRDefault="001E6194" w:rsidP="001E6194">
      <w:pPr>
        <w:pStyle w:val="Default"/>
      </w:pPr>
      <w:r>
        <w:t xml:space="preserve">на 2030-2033 года - </w:t>
      </w:r>
      <w:r w:rsidRPr="00BB7D24">
        <w:t>16,05286915</w:t>
      </w:r>
      <w:r>
        <w:t xml:space="preserve"> тонн/год.</w:t>
      </w:r>
    </w:p>
    <w:p w14:paraId="59023234" w14:textId="6321D5F8" w:rsidR="001E6194" w:rsidRPr="0034139C" w:rsidRDefault="001E6194" w:rsidP="001E6194">
      <w:pPr>
        <w:pStyle w:val="Default"/>
      </w:pPr>
      <w:r>
        <w:t xml:space="preserve">на 2034 год - </w:t>
      </w:r>
      <w:r w:rsidRPr="00BB7D24">
        <w:t>16,31195809</w:t>
      </w:r>
      <w:r>
        <w:t xml:space="preserve"> тонн/год.</w:t>
      </w:r>
    </w:p>
    <w:p w14:paraId="4E8A6A24" w14:textId="77777777" w:rsidR="00EA68B9" w:rsidRPr="0034139C" w:rsidRDefault="00EA68B9" w:rsidP="00EA68B9">
      <w:pPr>
        <w:pStyle w:val="Default"/>
      </w:pPr>
      <w:r w:rsidRPr="0034139C">
        <w:t>Статья 199 пункта 5. ЭК РК от 2 января 2021 года «Передвижным источником признается транспортное средство или иное передвижное средство, техника или установка, оснащенные двигателями внутреннего сгорания, работающими на различных видах топлива, и способные осуществлять выброс как в стационарном положении, так и в процессе передвижения».</w:t>
      </w:r>
    </w:p>
    <w:p w14:paraId="2F16C0EB" w14:textId="77777777" w:rsidR="00EA68B9" w:rsidRPr="0034139C" w:rsidRDefault="00EA68B9" w:rsidP="00EA68B9">
      <w:pPr>
        <w:pStyle w:val="Default"/>
      </w:pPr>
      <w:r w:rsidRPr="0034139C">
        <w:t>Нормативы выбросов загрязняющих веществ устанавливаются без учета выбросов от передвижных источников, так как согласно статьи 202 пункта 17 ЭК РК от 2 января 2021 года «Нормативы допустимых выбросов для передвижных источников не устанавливаются». Плата за выбросы загрязняющих веществ от передвижных источников, производится по фактическому расходу топлива.</w:t>
      </w:r>
    </w:p>
    <w:p w14:paraId="16F3C90C" w14:textId="57AB63F1" w:rsidR="00EA68B9" w:rsidRPr="0034139C" w:rsidRDefault="00EA68B9" w:rsidP="001E619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139C">
        <w:rPr>
          <w:rFonts w:ascii="Times New Roman" w:hAnsi="Times New Roman" w:cs="Times New Roman"/>
          <w:sz w:val="24"/>
          <w:szCs w:val="24"/>
        </w:rPr>
        <w:t>Расчёт максимальных приземных концентраций произведен</w:t>
      </w:r>
      <w:r w:rsidRPr="0034139C">
        <w:rPr>
          <w:rFonts w:ascii="Times New Roman" w:eastAsia="TimesNewRoman" w:hAnsi="Times New Roman" w:cs="Times New Roman"/>
          <w:sz w:val="24"/>
          <w:szCs w:val="24"/>
        </w:rPr>
        <w:t xml:space="preserve"> для </w:t>
      </w:r>
      <w:r w:rsidR="001E6194">
        <w:rPr>
          <w:rFonts w:ascii="Times New Roman" w:eastAsia="TimesNewRoman" w:hAnsi="Times New Roman" w:cs="Times New Roman"/>
          <w:sz w:val="24"/>
          <w:szCs w:val="24"/>
        </w:rPr>
        <w:t>1</w:t>
      </w:r>
      <w:r w:rsidRPr="0034139C">
        <w:rPr>
          <w:rFonts w:ascii="Times New Roman" w:eastAsia="TimesNewRoman" w:hAnsi="Times New Roman" w:cs="Times New Roman"/>
          <w:sz w:val="24"/>
          <w:szCs w:val="24"/>
        </w:rPr>
        <w:t xml:space="preserve"> веществ из </w:t>
      </w:r>
      <w:r w:rsidR="001E6194">
        <w:rPr>
          <w:rFonts w:ascii="Times New Roman" w:eastAsia="TimesNewRoman" w:hAnsi="Times New Roman" w:cs="Times New Roman"/>
          <w:sz w:val="24"/>
          <w:szCs w:val="24"/>
        </w:rPr>
        <w:t>13</w:t>
      </w:r>
      <w:r w:rsidRPr="0034139C">
        <w:rPr>
          <w:rFonts w:ascii="Times New Roman" w:eastAsia="TimesNewRoman" w:hAnsi="Times New Roman" w:cs="Times New Roman"/>
          <w:sz w:val="24"/>
          <w:szCs w:val="24"/>
        </w:rPr>
        <w:t xml:space="preserve"> выбрасываемых, в то числе по фоновым концентрациям загрязняющих веществ</w:t>
      </w:r>
      <w:r w:rsidRPr="0034139C">
        <w:rPr>
          <w:rFonts w:ascii="Times New Roman" w:hAnsi="Times New Roman" w:cs="Times New Roman"/>
          <w:sz w:val="24"/>
          <w:szCs w:val="24"/>
        </w:rPr>
        <w:t>.</w:t>
      </w:r>
    </w:p>
    <w:p w14:paraId="21748463" w14:textId="77777777" w:rsidR="00EA68B9" w:rsidRPr="0034139C" w:rsidRDefault="00EA68B9" w:rsidP="00EA68B9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139C">
        <w:rPr>
          <w:rFonts w:ascii="Times New Roman" w:hAnsi="Times New Roman" w:cs="Times New Roman"/>
          <w:sz w:val="24"/>
          <w:szCs w:val="24"/>
        </w:rPr>
        <w:t>Определение необходимости расчетов приземных концентраций в таблице 1.2.</w:t>
      </w:r>
    </w:p>
    <w:p w14:paraId="0E079831" w14:textId="77777777" w:rsidR="00EA68B9" w:rsidRPr="0034139C" w:rsidRDefault="00EA68B9" w:rsidP="00EA68B9">
      <w:pPr>
        <w:pStyle w:val="Default"/>
      </w:pPr>
      <w:r w:rsidRPr="0034139C">
        <w:t>Расчет величин приземных концентраций загрязняющих веществ в атмосферном воздухе (ПДК) проведен в соответствии с РНД 211.2.01.01-97 «Методика расчета концентраций в атмосферном воздухе вредных веществ, содержащихся в выбросах предприятий». Алматы, 1997 г.</w:t>
      </w:r>
    </w:p>
    <w:p w14:paraId="54665B8D" w14:textId="77777777" w:rsidR="00EA68B9" w:rsidRPr="0034139C" w:rsidRDefault="00EA68B9" w:rsidP="001E619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8254068"/>
      <w:bookmarkStart w:id="3" w:name="_Hlk82437294"/>
      <w:r w:rsidRPr="0034139C">
        <w:rPr>
          <w:rFonts w:ascii="Times New Roman" w:hAnsi="Times New Roman" w:cs="Times New Roman"/>
          <w:sz w:val="24"/>
          <w:szCs w:val="24"/>
        </w:rPr>
        <w:t>Посты наблюдения за состоянием атмосферного воздуха в районе расположения предприятия отсутствуют.</w:t>
      </w:r>
    </w:p>
    <w:bookmarkEnd w:id="2"/>
    <w:p w14:paraId="75D3228F" w14:textId="77777777" w:rsidR="00EA68B9" w:rsidRPr="0034139C" w:rsidRDefault="00EA68B9" w:rsidP="00EA68B9">
      <w:pPr>
        <w:pStyle w:val="Default"/>
      </w:pPr>
      <w:r w:rsidRPr="0034139C">
        <w:t xml:space="preserve">Расчет величин концентраций загрязняющих веществ в приземном слое атмосферы, проводился на расчетном прямоугольнике, санитарно-защитной зоне 300 м, на границе области воздействия и на контрольных точках на границе СЗЗ по направлениям сторон света. </w:t>
      </w:r>
    </w:p>
    <w:p w14:paraId="3FE1CF32" w14:textId="0ED0ECA1" w:rsidR="00EA68B9" w:rsidRPr="0034139C" w:rsidRDefault="00EA68B9" w:rsidP="00EA68B9">
      <w:pPr>
        <w:pStyle w:val="Default"/>
      </w:pPr>
      <w:r w:rsidRPr="0034139C">
        <w:t>На жилой зоне расчет загрязнения атмосферы не проводился, так как ближайшая жилая зона расположена на расстоянии 2</w:t>
      </w:r>
      <w:r w:rsidR="001E6194">
        <w:t>320</w:t>
      </w:r>
      <w:r w:rsidRPr="0034139C">
        <w:t xml:space="preserve"> м от территории месторождения.</w:t>
      </w:r>
    </w:p>
    <w:bookmarkEnd w:id="3"/>
    <w:p w14:paraId="54D685C2" w14:textId="77777777" w:rsidR="00EA68B9" w:rsidRPr="0034139C" w:rsidRDefault="00EA68B9" w:rsidP="00EA68B9">
      <w:pPr>
        <w:pStyle w:val="Default"/>
      </w:pPr>
      <w:r w:rsidRPr="0034139C">
        <w:t>Расчеты загрязнения атмосферы проводились по максимально возможным выбросам вредных веществ, при максимальной загрузке технологического оборудования с учетом коэффициента одновременности работы оборудования. В качестве исходного периода рассматривается 2025 год (существующее положение); также выполнен расчет загрязнения с учетом всех планируемых мероприятий в период с 2025-2034 гг.</w:t>
      </w:r>
    </w:p>
    <w:p w14:paraId="44D64017" w14:textId="77777777" w:rsidR="00EA68B9" w:rsidRPr="0034139C" w:rsidRDefault="00EA68B9" w:rsidP="00EA68B9">
      <w:pPr>
        <w:pStyle w:val="Default"/>
      </w:pPr>
      <w:r w:rsidRPr="0034139C">
        <w:t>Расчеты концентраций ЗВ были проведены для основного технологического оборудования на максимальный период режима работы предприятия, когда наблюдается наибольшая его нагрузка.</w:t>
      </w:r>
    </w:p>
    <w:p w14:paraId="6A65794F" w14:textId="77777777" w:rsidR="00EA68B9" w:rsidRPr="0034139C" w:rsidRDefault="00EA68B9" w:rsidP="00EA68B9">
      <w:pPr>
        <w:pStyle w:val="Default"/>
      </w:pPr>
      <w:r w:rsidRPr="0034139C">
        <w:t>Расчеты рассеивания выбросов загрязняющих веществ произведены на период максимальных выбросов и от двигателей передвижных источников.</w:t>
      </w:r>
    </w:p>
    <w:p w14:paraId="51EBCC6D" w14:textId="77777777" w:rsidR="00EA68B9" w:rsidRPr="0034139C" w:rsidRDefault="00EA68B9" w:rsidP="00EA68B9">
      <w:pPr>
        <w:pStyle w:val="Default"/>
      </w:pPr>
      <w:r w:rsidRPr="0034139C">
        <w:t xml:space="preserve">Результаты расчетов рассеивания загрязняющих веществ в атмосферный воздух на период горных работ показывают, что выбросы от всех источников загрязняющих веществ не превышают критериев качества атмосферного воздуха, тем самым соблюдаются </w:t>
      </w:r>
      <w:r w:rsidRPr="0034139C">
        <w:lastRenderedPageBreak/>
        <w:t>нормативы ПДК, согласно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от 11 января 2022 года № ҚР ДСМ-2 (далее – СП № ҚР ДСМ-2).</w:t>
      </w:r>
    </w:p>
    <w:p w14:paraId="5E0E4DAF" w14:textId="77777777" w:rsidR="00EA68B9" w:rsidRPr="0034139C" w:rsidRDefault="00EA68B9" w:rsidP="00EA68B9">
      <w:pPr>
        <w:pStyle w:val="Default"/>
      </w:pPr>
      <w:r w:rsidRPr="0034139C">
        <w:t>Результаты расчета величин приземных концентраций представлены в сводной таблице результатов расчётов рассеивания загрязняющих веществ.</w:t>
      </w:r>
    </w:p>
    <w:p w14:paraId="65C7157A" w14:textId="77777777" w:rsidR="00EA68B9" w:rsidRPr="0034139C" w:rsidRDefault="00EA68B9" w:rsidP="00EA68B9">
      <w:pPr>
        <w:pStyle w:val="Default"/>
      </w:pPr>
      <w:r w:rsidRPr="0034139C">
        <w:t>Анализ результатов расчетов рассеивания в атмосфере загрязняющих веществ показывает, что выбросы всех источников площадки не превышают критериев качества атмосферного воздуха и их значения предлагаются в качестве нормативов предельно-допустимых выбросов (ПДВ).</w:t>
      </w:r>
    </w:p>
    <w:p w14:paraId="21974DCB" w14:textId="77777777" w:rsidR="00EA68B9" w:rsidRPr="0034139C" w:rsidRDefault="00EA68B9">
      <w:pPr>
        <w:rPr>
          <w:rFonts w:ascii="Times New Roman" w:hAnsi="Times New Roman" w:cs="Times New Roman"/>
          <w:sz w:val="24"/>
          <w:szCs w:val="24"/>
        </w:rPr>
      </w:pPr>
    </w:p>
    <w:sectPr w:rsidR="00EA68B9" w:rsidRPr="0034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32B"/>
    <w:multiLevelType w:val="hybridMultilevel"/>
    <w:tmpl w:val="7F0081C2"/>
    <w:lvl w:ilvl="0" w:tplc="8EA26CB4">
      <w:start w:val="1"/>
      <w:numFmt w:val="decimal"/>
      <w:lvlText w:val="Раздел %1."/>
      <w:lvlJc w:val="left"/>
      <w:pPr>
        <w:ind w:left="1287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59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DA"/>
    <w:rsid w:val="000521DA"/>
    <w:rsid w:val="0006534D"/>
    <w:rsid w:val="001E6194"/>
    <w:rsid w:val="00225808"/>
    <w:rsid w:val="0034139C"/>
    <w:rsid w:val="00390CEB"/>
    <w:rsid w:val="004E3505"/>
    <w:rsid w:val="0066119F"/>
    <w:rsid w:val="00773C24"/>
    <w:rsid w:val="008864F1"/>
    <w:rsid w:val="009716C4"/>
    <w:rsid w:val="00EA68B9"/>
    <w:rsid w:val="00F70A71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34BD"/>
  <w15:chartTrackingRefBased/>
  <w15:docId w15:val="{C3BBD13C-856B-4F35-9721-CF72C64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68B9"/>
    <w:pPr>
      <w:keepNext/>
      <w:spacing w:after="0" w:line="240" w:lineRule="auto"/>
      <w:jc w:val="center"/>
      <w:outlineLvl w:val="1"/>
    </w:pPr>
    <w:rPr>
      <w:rFonts w:ascii="Garamond" w:hAnsi="Garamond" w:cs="ArialMT"/>
      <w:b/>
      <w:bCs/>
      <w:i/>
      <w:iCs/>
      <w:color w:val="00206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A68B9"/>
    <w:rPr>
      <w:color w:val="0000FF"/>
      <w:u w:val="single"/>
    </w:rPr>
  </w:style>
  <w:style w:type="paragraph" w:styleId="a5">
    <w:name w:val="List Paragraph"/>
    <w:aliases w:val="Заголовок первого уровня,Citation List,Resume Title,List Paragraph Char Char,Bullet 1,List Paragraph1,b1,Number_1,SGLText List Paragraph,new,lp1,Normal Sentence,Colorful List - Accent 11,ListPar1,List Paragraph2,List Paragraph11,罗"/>
    <w:basedOn w:val="a"/>
    <w:link w:val="a6"/>
    <w:qFormat/>
    <w:rsid w:val="00EA68B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">
    <w:name w:val="Абзац списка1"/>
    <w:basedOn w:val="a"/>
    <w:link w:val="ListParagraphChar2"/>
    <w:qFormat/>
    <w:rsid w:val="00EA68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qFormat/>
    <w:rsid w:val="00EA68B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Обычный КГНТ"/>
    <w:basedOn w:val="a"/>
    <w:link w:val="a8"/>
    <w:qFormat/>
    <w:rsid w:val="00EA68B9"/>
    <w:pPr>
      <w:spacing w:after="0" w:line="240" w:lineRule="auto"/>
      <w:ind w:right="170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КГНТ Знак"/>
    <w:link w:val="a7"/>
    <w:rsid w:val="00EA6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Абзац списка2"/>
    <w:basedOn w:val="a"/>
    <w:qFormat/>
    <w:rsid w:val="00EA68B9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Заголовок первого уровня Знак,Citation List Знак,Resume Title Знак,List Paragraph Char Char Знак,Bullet 1 Знак,List Paragraph1 Знак,b1 Знак,Number_1 Знак,SGLText List Paragraph Знак,new Знак,lp1 Знак,Normal Sentence Знак,ListPar1 Знак"/>
    <w:link w:val="a5"/>
    <w:qFormat/>
    <w:locked/>
    <w:rsid w:val="00EA68B9"/>
    <w:rPr>
      <w:rFonts w:ascii="Times New Roman" w:eastAsia="Calibri" w:hAnsi="Times New Roman" w:cs="Times New Roman"/>
      <w:sz w:val="24"/>
    </w:rPr>
  </w:style>
  <w:style w:type="character" w:customStyle="1" w:styleId="ListParagraphChar2">
    <w:name w:val="List Paragraph Char2"/>
    <w:link w:val="11"/>
    <w:locked/>
    <w:rsid w:val="00EA68B9"/>
    <w:rPr>
      <w:rFonts w:ascii="Times New Roman" w:eastAsia="Times New Roman" w:hAnsi="Times New Roman" w:cs="Times New Roman"/>
      <w:sz w:val="24"/>
    </w:rPr>
  </w:style>
  <w:style w:type="paragraph" w:customStyle="1" w:styleId="12">
    <w:name w:val="Без интервала1"/>
    <w:link w:val="NoSpacingChar"/>
    <w:qFormat/>
    <w:rsid w:val="00EA68B9"/>
    <w:pPr>
      <w:spacing w:after="0" w:line="240" w:lineRule="auto"/>
      <w:ind w:firstLine="567"/>
      <w:jc w:val="both"/>
    </w:pPr>
    <w:rPr>
      <w:rFonts w:ascii="Times New Roman" w:eastAsia="Batang" w:hAnsi="Times New Roman" w:cs="Times New Roman"/>
      <w:sz w:val="24"/>
    </w:rPr>
  </w:style>
  <w:style w:type="character" w:customStyle="1" w:styleId="NoSpacingChar">
    <w:name w:val="No Spacing Char"/>
    <w:link w:val="12"/>
    <w:locked/>
    <w:rsid w:val="00EA68B9"/>
    <w:rPr>
      <w:rFonts w:ascii="Times New Roman" w:eastAsia="Batang" w:hAnsi="Times New Roman" w:cs="Times New Roman"/>
      <w:sz w:val="24"/>
    </w:rPr>
  </w:style>
  <w:style w:type="paragraph" w:customStyle="1" w:styleId="13">
    <w:name w:val="Заголовок1"/>
    <w:basedOn w:val="1"/>
    <w:qFormat/>
    <w:rsid w:val="00EA68B9"/>
    <w:pPr>
      <w:keepLines w:val="0"/>
      <w:spacing w:before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10">
    <w:name w:val="Заголовок 1 Знак"/>
    <w:basedOn w:val="a0"/>
    <w:link w:val="1"/>
    <w:rsid w:val="00EA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caption"/>
    <w:aliases w:val="Шапка таблицы,CPR Caption,headings,Table Caption"/>
    <w:basedOn w:val="a"/>
    <w:next w:val="a"/>
    <w:link w:val="aa"/>
    <w:unhideWhenUsed/>
    <w:qFormat/>
    <w:rsid w:val="00EA68B9"/>
    <w:pPr>
      <w:spacing w:after="0" w:line="240" w:lineRule="auto"/>
      <w:jc w:val="center"/>
    </w:pPr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aa">
    <w:name w:val="Название объекта Знак"/>
    <w:aliases w:val="Шапка таблицы Знак,CPR Caption Знак,headings Знак,Table Caption Знак"/>
    <w:link w:val="a9"/>
    <w:rsid w:val="00EA68B9"/>
    <w:rPr>
      <w:rFonts w:ascii="Garamond" w:eastAsia="Times New Roman" w:hAnsi="Garamond" w:cs="Times New Roman"/>
      <w:b/>
      <w:iCs/>
      <w:color w:val="000000" w:themeColor="text1"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A68B9"/>
    <w:rPr>
      <w:rFonts w:ascii="Garamond" w:hAnsi="Garamond" w:cs="ArialMT"/>
      <w:b/>
      <w:bCs/>
      <w:i/>
      <w:iCs/>
      <w:color w:val="002060"/>
      <w:sz w:val="24"/>
      <w:szCs w:val="28"/>
    </w:rPr>
  </w:style>
  <w:style w:type="paragraph" w:styleId="22">
    <w:name w:val="Body Text 2"/>
    <w:basedOn w:val="a"/>
    <w:link w:val="23"/>
    <w:rsid w:val="001E61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E6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tynalmas.kz/conta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Бексұлтан Төлеубеков</dc:creator>
  <cp:keywords/>
  <dc:description/>
  <cp:lastModifiedBy>Кайсар Турсунбаев</cp:lastModifiedBy>
  <cp:revision>8</cp:revision>
  <cp:lastPrinted>2025-02-06T10:50:00Z</cp:lastPrinted>
  <dcterms:created xsi:type="dcterms:W3CDTF">2025-02-06T10:48:00Z</dcterms:created>
  <dcterms:modified xsi:type="dcterms:W3CDTF">2025-07-02T10:55:00Z</dcterms:modified>
</cp:coreProperties>
</file>