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801DE" w14:textId="62F409CF" w:rsidR="009A143E" w:rsidRDefault="002E5FA8" w:rsidP="002E5F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5FA8">
        <w:rPr>
          <w:rFonts w:ascii="Times New Roman" w:hAnsi="Times New Roman" w:cs="Times New Roman"/>
          <w:b/>
          <w:bCs/>
          <w:sz w:val="24"/>
          <w:szCs w:val="24"/>
        </w:rPr>
        <w:t>КРАТКОЕ НЕТЕХНИЧЕСКОЕ РЕЗЮМЕ</w:t>
      </w:r>
    </w:p>
    <w:p w14:paraId="47292AC8" w14:textId="5345984D" w:rsidR="002E5FA8" w:rsidRDefault="002E5FA8" w:rsidP="002E5F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Описание предполагаемого места осуществления намечаемой деятельности</w:t>
      </w:r>
    </w:p>
    <w:p w14:paraId="3AC4AC91" w14:textId="77777777" w:rsidR="002E5FA8" w:rsidRDefault="002E5FA8" w:rsidP="003120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A8">
        <w:rPr>
          <w:rFonts w:ascii="Times New Roman" w:hAnsi="Times New Roman" w:cs="Times New Roman"/>
          <w:sz w:val="24"/>
          <w:szCs w:val="24"/>
        </w:rPr>
        <w:t>Намечаемая деятельность «Реконструкция Акжаикского водохранилища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FA8">
        <w:rPr>
          <w:rFonts w:ascii="Times New Roman" w:hAnsi="Times New Roman" w:cs="Times New Roman"/>
          <w:sz w:val="24"/>
          <w:szCs w:val="24"/>
        </w:rPr>
        <w:t>р.Солянка</w:t>
      </w:r>
      <w:proofErr w:type="spellEnd"/>
      <w:r w:rsidRPr="002E5FA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E5FA8">
        <w:rPr>
          <w:rFonts w:ascii="Times New Roman" w:hAnsi="Times New Roman" w:cs="Times New Roman"/>
          <w:sz w:val="24"/>
          <w:szCs w:val="24"/>
        </w:rPr>
        <w:t>с.Конеккеткен</w:t>
      </w:r>
      <w:proofErr w:type="spellEnd"/>
      <w:r w:rsidRPr="002E5FA8">
        <w:rPr>
          <w:rFonts w:ascii="Times New Roman" w:hAnsi="Times New Roman" w:cs="Times New Roman"/>
          <w:sz w:val="24"/>
          <w:szCs w:val="24"/>
        </w:rPr>
        <w:t xml:space="preserve"> Акжаикского района ЗКО» расположен на северо-востоке в 14 км от с. </w:t>
      </w:r>
      <w:proofErr w:type="spellStart"/>
      <w:r w:rsidRPr="002E5FA8">
        <w:rPr>
          <w:rFonts w:ascii="Times New Roman" w:hAnsi="Times New Roman" w:cs="Times New Roman"/>
          <w:sz w:val="24"/>
          <w:szCs w:val="24"/>
        </w:rPr>
        <w:t>Конеккеткен</w:t>
      </w:r>
      <w:proofErr w:type="spellEnd"/>
      <w:r w:rsidRPr="002E5F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F11C09" w14:textId="73BD1A53" w:rsidR="002E5FA8" w:rsidRDefault="002E5FA8" w:rsidP="003120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A8">
        <w:rPr>
          <w:rFonts w:ascii="Times New Roman" w:hAnsi="Times New Roman" w:cs="Times New Roman"/>
          <w:sz w:val="24"/>
          <w:szCs w:val="24"/>
        </w:rPr>
        <w:t>Расстояние от областного центра г. Уральска составляет 1</w:t>
      </w:r>
      <w:r w:rsidR="003120DB">
        <w:rPr>
          <w:rFonts w:ascii="Times New Roman" w:hAnsi="Times New Roman" w:cs="Times New Roman"/>
          <w:sz w:val="24"/>
          <w:szCs w:val="24"/>
        </w:rPr>
        <w:t>4</w:t>
      </w:r>
      <w:r w:rsidRPr="002E5FA8">
        <w:rPr>
          <w:rFonts w:ascii="Times New Roman" w:hAnsi="Times New Roman" w:cs="Times New Roman"/>
          <w:sz w:val="24"/>
          <w:szCs w:val="24"/>
        </w:rPr>
        <w:t xml:space="preserve">0 км. Водохранилище расположено у села </w:t>
      </w:r>
      <w:proofErr w:type="spellStart"/>
      <w:r w:rsidRPr="002E5FA8">
        <w:rPr>
          <w:rFonts w:ascii="Times New Roman" w:hAnsi="Times New Roman" w:cs="Times New Roman"/>
          <w:sz w:val="24"/>
          <w:szCs w:val="24"/>
        </w:rPr>
        <w:t>Камыстыколь</w:t>
      </w:r>
      <w:proofErr w:type="spellEnd"/>
      <w:r w:rsidRPr="002E5F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5FA8">
        <w:rPr>
          <w:rFonts w:ascii="Times New Roman" w:hAnsi="Times New Roman" w:cs="Times New Roman"/>
          <w:sz w:val="24"/>
          <w:szCs w:val="24"/>
        </w:rPr>
        <w:t>Конеккеткенского</w:t>
      </w:r>
      <w:proofErr w:type="spellEnd"/>
      <w:r w:rsidRPr="002E5FA8">
        <w:rPr>
          <w:rFonts w:ascii="Times New Roman" w:hAnsi="Times New Roman" w:cs="Times New Roman"/>
          <w:sz w:val="24"/>
          <w:szCs w:val="24"/>
        </w:rPr>
        <w:t xml:space="preserve"> аульного округа, Акжаикского района, Западно-Казахстанской области. </w:t>
      </w:r>
    </w:p>
    <w:p w14:paraId="0E1254E4" w14:textId="77777777" w:rsidR="00D35257" w:rsidRDefault="00D3525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36"/>
          <w:lang w:val="kk-KZ"/>
        </w:rPr>
      </w:pPr>
      <w:r>
        <w:rPr>
          <w:rFonts w:ascii="Times New Roman" w:hAnsi="Times New Roman" w:cs="Times New Roman"/>
          <w:sz w:val="24"/>
          <w:szCs w:val="36"/>
          <w:lang w:val="kk-KZ"/>
        </w:rPr>
        <w:t>Водохранилище расположено у села Камыстыколь, Конеккеткенского аульного округа, Акжаикского района, Западно-Казахстанской области.</w:t>
      </w:r>
    </w:p>
    <w:p w14:paraId="2607A359" w14:textId="262DB7B3" w:rsidR="00D35257" w:rsidRDefault="00D35257" w:rsidP="003120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36"/>
          <w:lang w:val="kk-KZ"/>
        </w:rPr>
      </w:pPr>
      <w:r w:rsidRPr="006B0917">
        <w:rPr>
          <w:rFonts w:ascii="Times New Roman" w:hAnsi="Times New Roman" w:cs="Times New Roman"/>
          <w:sz w:val="24"/>
          <w:szCs w:val="36"/>
          <w:lang w:val="kk-KZ"/>
        </w:rPr>
        <w:t>Водосбросное сооружение запроектировано и построено в 1984 году и произведены ремонтно-восстановительные работы в 2023 году.</w:t>
      </w:r>
    </w:p>
    <w:p w14:paraId="0FB799BC" w14:textId="15DF71CA" w:rsidR="003120DB" w:rsidRPr="003120DB" w:rsidRDefault="003120DB" w:rsidP="003120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36"/>
          <w:lang w:val="kk-KZ"/>
        </w:rPr>
      </w:pPr>
      <w:r w:rsidRPr="003120DB">
        <w:rPr>
          <w:rFonts w:ascii="Times New Roman" w:hAnsi="Times New Roman" w:cs="Times New Roman"/>
          <w:sz w:val="24"/>
          <w:szCs w:val="36"/>
          <w:lang w:val="kk-KZ"/>
        </w:rPr>
        <w:t>На плотине имеется донный водовыпуск на ПК3+25, который находится в рабочем состоянии, восстановление не требуется. Пропускная способность – 1,5м3/с. Конструкция донного водовыпуска принята по типовому проекту 820-188. «Сооружения при земляных плотинах» выпуск 2 без внесения изменений и дополнений.</w:t>
      </w:r>
    </w:p>
    <w:p w14:paraId="11918962" w14:textId="77777777" w:rsidR="003120DB" w:rsidRPr="003120DB" w:rsidRDefault="003120DB" w:rsidP="003120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36"/>
          <w:lang w:val="kk-KZ"/>
        </w:rPr>
      </w:pPr>
      <w:r w:rsidRPr="003120DB">
        <w:rPr>
          <w:rFonts w:ascii="Times New Roman" w:hAnsi="Times New Roman" w:cs="Times New Roman"/>
          <w:sz w:val="24"/>
          <w:szCs w:val="36"/>
          <w:lang w:val="kk-KZ"/>
        </w:rPr>
        <w:t>Водосбросное сооружение состоит из входного оголовка, переезда, водоската и концевой части сооружения, состоящей из водобойного колодца и рисбермы. Оно имеет пропускную способность – 32 м3/с, открытого типа, автоматического действия с ковшовым оголовком и переездом 9,5м</w:t>
      </w:r>
    </w:p>
    <w:p w14:paraId="17501E0A" w14:textId="77777777" w:rsidR="003120DB" w:rsidRPr="003120DB" w:rsidRDefault="003120DB" w:rsidP="003120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36"/>
          <w:lang w:val="kk-KZ"/>
        </w:rPr>
      </w:pPr>
      <w:r w:rsidRPr="003120DB">
        <w:rPr>
          <w:rFonts w:ascii="Times New Roman" w:hAnsi="Times New Roman" w:cs="Times New Roman"/>
          <w:sz w:val="24"/>
          <w:szCs w:val="36"/>
          <w:lang w:val="kk-KZ"/>
        </w:rPr>
        <w:t xml:space="preserve"> Также в состав водосбросного сооружения входят:</w:t>
      </w:r>
    </w:p>
    <w:p w14:paraId="779D2A44" w14:textId="77777777" w:rsidR="003120DB" w:rsidRPr="003120DB" w:rsidRDefault="003120DB" w:rsidP="003120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36"/>
          <w:lang w:val="kk-KZ"/>
        </w:rPr>
      </w:pPr>
      <w:r w:rsidRPr="003120DB">
        <w:rPr>
          <w:rFonts w:ascii="Times New Roman" w:hAnsi="Times New Roman" w:cs="Times New Roman"/>
          <w:sz w:val="24"/>
          <w:szCs w:val="36"/>
          <w:lang w:val="kk-KZ"/>
        </w:rPr>
        <w:t>- подводящий канал длиной – 890м, шириной 40м, откосы m1;2=2,0.</w:t>
      </w:r>
    </w:p>
    <w:p w14:paraId="636B5B3A" w14:textId="77777777" w:rsidR="003120DB" w:rsidRPr="003120DB" w:rsidRDefault="003120DB" w:rsidP="003120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36"/>
          <w:lang w:val="kk-KZ"/>
        </w:rPr>
      </w:pPr>
      <w:r w:rsidRPr="003120DB">
        <w:rPr>
          <w:rFonts w:ascii="Times New Roman" w:hAnsi="Times New Roman" w:cs="Times New Roman"/>
          <w:sz w:val="24"/>
          <w:szCs w:val="36"/>
          <w:lang w:val="kk-KZ"/>
        </w:rPr>
        <w:t>- отводящий канал длиной – 310м, шириной по дну 40м, с бермой на отметке 12,0.</w:t>
      </w:r>
    </w:p>
    <w:p w14:paraId="42ED1C7A" w14:textId="434AA7C0" w:rsidR="003120DB" w:rsidRPr="00D35257" w:rsidRDefault="003120DB" w:rsidP="003120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36"/>
          <w:lang w:val="kk-KZ"/>
        </w:rPr>
      </w:pPr>
      <w:r w:rsidRPr="003120DB">
        <w:rPr>
          <w:rFonts w:ascii="Times New Roman" w:hAnsi="Times New Roman" w:cs="Times New Roman"/>
          <w:sz w:val="24"/>
          <w:szCs w:val="36"/>
          <w:lang w:val="kk-KZ"/>
        </w:rPr>
        <w:t>Для предупреждения образования мелководий по акватории водохранилища, а также затопления сельскохозяйственных угодий предусмотрены дамбы обвалования. Всего по проек-ту было возведено 10 дамб обвалования.</w:t>
      </w:r>
    </w:p>
    <w:p w14:paraId="36E6256C" w14:textId="77777777" w:rsidR="002E5FA8" w:rsidRDefault="002E5FA8" w:rsidP="003120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A8">
        <w:rPr>
          <w:rFonts w:ascii="Times New Roman" w:hAnsi="Times New Roman" w:cs="Times New Roman"/>
          <w:sz w:val="24"/>
          <w:szCs w:val="24"/>
        </w:rPr>
        <w:t xml:space="preserve">На сегодняшний день в 2023 году произведены ремонтно-восстановительные работы по водосбросному сооружению. Остальные гидротехнические сооружения, водовыпуск и дамбы обвалования в удовлетворительном состоянии. </w:t>
      </w:r>
    </w:p>
    <w:p w14:paraId="2FF0A900" w14:textId="363672A8" w:rsidR="002E5FA8" w:rsidRDefault="002E5FA8" w:rsidP="003120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A8">
        <w:rPr>
          <w:rFonts w:ascii="Times New Roman" w:hAnsi="Times New Roman" w:cs="Times New Roman"/>
          <w:sz w:val="24"/>
          <w:szCs w:val="24"/>
        </w:rPr>
        <w:t xml:space="preserve">В настоящее время ведется строительство подачи воды из </w:t>
      </w:r>
      <w:proofErr w:type="spellStart"/>
      <w:r w:rsidRPr="002E5FA8">
        <w:rPr>
          <w:rFonts w:ascii="Times New Roman" w:hAnsi="Times New Roman" w:cs="Times New Roman"/>
          <w:sz w:val="24"/>
          <w:szCs w:val="24"/>
        </w:rPr>
        <w:t>р.Урал</w:t>
      </w:r>
      <w:proofErr w:type="spellEnd"/>
      <w:r w:rsidRPr="002E5FA8">
        <w:rPr>
          <w:rFonts w:ascii="Times New Roman" w:hAnsi="Times New Roman" w:cs="Times New Roman"/>
          <w:sz w:val="24"/>
          <w:szCs w:val="24"/>
        </w:rPr>
        <w:t xml:space="preserve"> в районе села </w:t>
      </w:r>
      <w:proofErr w:type="spellStart"/>
      <w:r w:rsidRPr="002E5FA8">
        <w:rPr>
          <w:rFonts w:ascii="Times New Roman" w:hAnsi="Times New Roman" w:cs="Times New Roman"/>
          <w:sz w:val="24"/>
          <w:szCs w:val="24"/>
        </w:rPr>
        <w:t>Акжайык</w:t>
      </w:r>
      <w:proofErr w:type="spellEnd"/>
      <w:r w:rsidRPr="002E5FA8">
        <w:rPr>
          <w:rFonts w:ascii="Times New Roman" w:hAnsi="Times New Roman" w:cs="Times New Roman"/>
          <w:sz w:val="24"/>
          <w:szCs w:val="24"/>
        </w:rPr>
        <w:t xml:space="preserve"> в водохранилище на </w:t>
      </w:r>
      <w:proofErr w:type="spellStart"/>
      <w:r w:rsidRPr="002E5FA8">
        <w:rPr>
          <w:rFonts w:ascii="Times New Roman" w:hAnsi="Times New Roman" w:cs="Times New Roman"/>
          <w:sz w:val="24"/>
          <w:szCs w:val="24"/>
        </w:rPr>
        <w:t>р.Солянка</w:t>
      </w:r>
      <w:proofErr w:type="spellEnd"/>
      <w:r w:rsidRPr="002E5FA8">
        <w:rPr>
          <w:rFonts w:ascii="Times New Roman" w:hAnsi="Times New Roman" w:cs="Times New Roman"/>
          <w:sz w:val="24"/>
          <w:szCs w:val="24"/>
        </w:rPr>
        <w:t xml:space="preserve"> и тем самым обеспечив дефицита воды в маловодные годы.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5723F3" w14:textId="77777777" w:rsidR="003120DB" w:rsidRDefault="003120DB" w:rsidP="002E5FA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A4DF6B7" w14:textId="77777777" w:rsidR="003120DB" w:rsidRDefault="003120DB" w:rsidP="002E5FA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9F45ED7" w14:textId="77777777" w:rsidR="003120DB" w:rsidRDefault="003120DB" w:rsidP="002E5FA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1D96960" w14:textId="1BFED314" w:rsidR="002E5FA8" w:rsidRDefault="002E5FA8" w:rsidP="002E5FA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Ситуационная схема</w:t>
      </w:r>
    </w:p>
    <w:p w14:paraId="1F5ACAE7" w14:textId="65283736" w:rsidR="002E5FA8" w:rsidRDefault="002E7D78" w:rsidP="002E7D78">
      <w:pPr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BE4326B" wp14:editId="32D9970E">
            <wp:extent cx="5940425" cy="41986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D31C6" w14:textId="4EE716E7" w:rsidR="005B4E03" w:rsidRDefault="002E7D78" w:rsidP="003120D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7D78">
        <w:rPr>
          <w:rFonts w:ascii="Times New Roman" w:hAnsi="Times New Roman" w:cs="Times New Roman"/>
          <w:sz w:val="24"/>
          <w:szCs w:val="24"/>
        </w:rPr>
        <w:t>Географические координаты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E7D7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E7D78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2E7D78">
        <w:rPr>
          <w:rFonts w:ascii="Times New Roman" w:hAnsi="Times New Roman" w:cs="Times New Roman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2E7D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2E7D78">
        <w:rPr>
          <w:rFonts w:ascii="Times New Roman" w:hAnsi="Times New Roman" w:cs="Times New Roman"/>
          <w:sz w:val="24"/>
          <w:szCs w:val="24"/>
        </w:rPr>
        <w:t>"</w:t>
      </w:r>
      <w:proofErr w:type="gramStart"/>
      <w:r w:rsidRPr="002E7D78">
        <w:rPr>
          <w:rFonts w:ascii="Times New Roman" w:hAnsi="Times New Roman" w:cs="Times New Roman"/>
          <w:sz w:val="24"/>
          <w:szCs w:val="24"/>
        </w:rPr>
        <w:t xml:space="preserve">С, </w:t>
      </w:r>
      <w:r w:rsidR="005B4E03">
        <w:rPr>
          <w:rFonts w:ascii="Times New Roman" w:hAnsi="Times New Roman" w:cs="Times New Roman"/>
          <w:sz w:val="24"/>
          <w:szCs w:val="24"/>
        </w:rPr>
        <w:t xml:space="preserve"> </w:t>
      </w:r>
      <w:r w:rsidRPr="002E7D7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2E7D78">
        <w:rPr>
          <w:rFonts w:ascii="Times New Roman" w:hAnsi="Times New Roman" w:cs="Times New Roman"/>
          <w:sz w:val="24"/>
          <w:szCs w:val="24"/>
        </w:rPr>
        <w:t>°1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E7D78">
        <w:rPr>
          <w:rFonts w:ascii="Times New Roman" w:hAnsi="Times New Roman" w:cs="Times New Roman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>52</w:t>
      </w:r>
      <w:r w:rsidRPr="002E7D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95</w:t>
      </w:r>
      <w:r w:rsidRPr="002E7D78">
        <w:rPr>
          <w:rFonts w:ascii="Times New Roman" w:hAnsi="Times New Roman" w:cs="Times New Roman"/>
          <w:sz w:val="24"/>
          <w:szCs w:val="24"/>
        </w:rPr>
        <w:t>"В</w:t>
      </w:r>
    </w:p>
    <w:p w14:paraId="3777D185" w14:textId="52859A52" w:rsidR="005B4E03" w:rsidRDefault="005B4E03" w:rsidP="00D352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5B4E03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ИНФОРМАЦИЯ О КАТЕГОРИИ ЗЕМЕЛЬ И ЦЕЛЯХ ИСПОЛЬЗОВАНИЯ ЗЕМЕЛЬ В ХОДЕ СТРОИТЕЛЬСТВА И ЭКСПЛУАТАЦИИ ОБЪЕКТОВ, НЕОБХОДИМЫХ ДЛЯ ОСУЩЕСТВЛЕНИЯ НАМЕЧАЕМОЙ ДЕЯТЕЛЬНОСТИ</w:t>
      </w:r>
    </w:p>
    <w:p w14:paraId="61CDFD14" w14:textId="4C5DA85B" w:rsidR="00D35257" w:rsidRDefault="00D35257" w:rsidP="00D35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2361">
        <w:rPr>
          <w:rFonts w:ascii="Times New Roman" w:hAnsi="Times New Roman" w:cs="Times New Roman"/>
          <w:sz w:val="24"/>
          <w:szCs w:val="24"/>
          <w:lang w:eastAsia="ru-RU"/>
        </w:rPr>
        <w:t>Участок работ в региональном плане расположен в пределах Северной части Прикаспийской низменности, в пределах морской аккумулятивной равнины, соответствующей периоду распространения раннехвалынской трансгрессии до отметок ~20м.     Поверхность равнины относительно ровная, с общим уклоном на юг и к руслу реки Урал на запад, осложнена протоками и ложбинами, замкнутыми понижениями.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0107B02" w14:textId="1BB8D5E8" w:rsidR="00D35257" w:rsidRDefault="00D35257" w:rsidP="00D35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Согласно земельному акту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</w:t>
      </w:r>
      <w:r w:rsidRPr="00D35257">
        <w:rPr>
          <w:rFonts w:ascii="Times New Roman" w:hAnsi="Times New Roman" w:cs="Times New Roman"/>
          <w:sz w:val="24"/>
          <w:szCs w:val="24"/>
          <w:lang w:eastAsia="ru-RU"/>
        </w:rPr>
        <w:t xml:space="preserve">бщая площадь – 152.5106 га; предполагаемые сроки использования – постоянное пользование, целевое назначение земель–для обслуживания водохранилище </w:t>
      </w:r>
      <w:proofErr w:type="spellStart"/>
      <w:r w:rsidRPr="00D35257">
        <w:rPr>
          <w:rFonts w:ascii="Times New Roman" w:hAnsi="Times New Roman" w:cs="Times New Roman"/>
          <w:sz w:val="24"/>
          <w:szCs w:val="24"/>
          <w:lang w:eastAsia="ru-RU"/>
        </w:rPr>
        <w:t>Акжайык</w:t>
      </w:r>
      <w:proofErr w:type="spellEnd"/>
      <w:r w:rsidRPr="00D35257">
        <w:rPr>
          <w:rFonts w:ascii="Times New Roman" w:hAnsi="Times New Roman" w:cs="Times New Roman"/>
          <w:sz w:val="24"/>
          <w:szCs w:val="24"/>
          <w:lang w:eastAsia="ru-RU"/>
        </w:rPr>
        <w:t xml:space="preserve"> река Солянка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14:paraId="3144E10B" w14:textId="77777777" w:rsidR="00D35257" w:rsidRPr="00D35257" w:rsidRDefault="00D35257" w:rsidP="00D35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5257">
        <w:rPr>
          <w:rFonts w:ascii="Times New Roman" w:hAnsi="Times New Roman" w:cs="Times New Roman"/>
          <w:sz w:val="24"/>
          <w:szCs w:val="24"/>
          <w:lang w:eastAsia="ru-RU"/>
        </w:rPr>
        <w:t xml:space="preserve">Потенциальное проявление данного воздействия может происходить в результате несанкционированного распространения твердых отходов, образующихся в процессе работ, а также бытовые отходы от жизнедеятельности рабочего персонала. Распространение производственных и бытовых отходов потенциально может происходить по всему </w:t>
      </w:r>
      <w:r w:rsidRPr="00D3525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рассматриваемому участку. Однако строгое соблюдение правил и норм сбора, хранения и утилизации мусора позволяет свести к минимуму данное неблагоприятное явление.</w:t>
      </w:r>
    </w:p>
    <w:p w14:paraId="3A7A37AA" w14:textId="77777777" w:rsidR="00D35257" w:rsidRPr="00D35257" w:rsidRDefault="00D35257" w:rsidP="00D35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5257">
        <w:rPr>
          <w:rFonts w:ascii="Times New Roman" w:hAnsi="Times New Roman" w:cs="Times New Roman"/>
          <w:sz w:val="24"/>
          <w:szCs w:val="24"/>
          <w:lang w:eastAsia="ru-RU"/>
        </w:rPr>
        <w:t xml:space="preserve">Основное негативное воздействие на почвы при проведении берегоукрепительных работ осуществляется в виде механических нарушений. </w:t>
      </w:r>
    </w:p>
    <w:p w14:paraId="7DB65856" w14:textId="77777777" w:rsidR="00D35257" w:rsidRPr="00D35257" w:rsidRDefault="00D35257" w:rsidP="00D35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5257">
        <w:rPr>
          <w:rFonts w:ascii="Times New Roman" w:hAnsi="Times New Roman" w:cs="Times New Roman"/>
          <w:sz w:val="24"/>
          <w:szCs w:val="24"/>
          <w:lang w:eastAsia="ru-RU"/>
        </w:rPr>
        <w:t>Воздействие на почвенный покров может проявляться при эксплуатации строительной техники и автотранспорта и выражаться в их химическом загрязнении веществами органической и неорганической природы. Воздействие будет заключаться в непосредственном поступлении в почву техногенных загрязняющих веществ – проливы на поверхность почвы топлива и горюче-смазочных материалов (ГСМ).</w:t>
      </w:r>
    </w:p>
    <w:p w14:paraId="5767C471" w14:textId="77777777" w:rsidR="00D35257" w:rsidRPr="00D35257" w:rsidRDefault="00D35257" w:rsidP="00D35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5257">
        <w:rPr>
          <w:rFonts w:ascii="Times New Roman" w:hAnsi="Times New Roman" w:cs="Times New Roman"/>
          <w:sz w:val="24"/>
          <w:szCs w:val="24"/>
          <w:lang w:eastAsia="ru-RU"/>
        </w:rPr>
        <w:t>Проявление данного процесса может происходить при нарушении правил эксплуатации строительной техники и автотранспорта. Потенциальное развитие процесса ожидается на всем рассматриваемом участке. Однако указанные прямые воздействия на почвы малы по объему и носят локальный характер.</w:t>
      </w:r>
    </w:p>
    <w:p w14:paraId="1CF2F708" w14:textId="69C5A879" w:rsidR="00D35257" w:rsidRDefault="00D35257" w:rsidP="00D35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5257">
        <w:rPr>
          <w:rFonts w:ascii="Times New Roman" w:hAnsi="Times New Roman" w:cs="Times New Roman"/>
          <w:sz w:val="24"/>
          <w:szCs w:val="24"/>
          <w:lang w:eastAsia="ru-RU"/>
        </w:rPr>
        <w:t>Альтернативного выбора других мест нет.</w:t>
      </w:r>
    </w:p>
    <w:p w14:paraId="5EDD140E" w14:textId="5522DAE5" w:rsidR="003120DB" w:rsidRDefault="003120DB" w:rsidP="003120DB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120D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НАИМЕНОВАНИЕ ИНИЦИАТОРА НАМЕЧАЕМОЙ ДЕЯТЕЛЬНОСТИ, ЕГО КОНТАКТНЫЕ ДАННЫЕ</w:t>
      </w:r>
    </w:p>
    <w:p w14:paraId="35346AAB" w14:textId="121EFD2E" w:rsidR="003120DB" w:rsidRPr="003120DB" w:rsidRDefault="003120DB" w:rsidP="003120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20DB">
        <w:rPr>
          <w:rFonts w:ascii="Times New Roman" w:hAnsi="Times New Roman" w:cs="Times New Roman"/>
          <w:sz w:val="24"/>
          <w:szCs w:val="24"/>
          <w:lang w:eastAsia="ru-RU"/>
        </w:rPr>
        <w:t xml:space="preserve">ГУ «Управление природных ресурсов и регулирования природопользования Западно-Казахстанской области», </w:t>
      </w:r>
      <w:proofErr w:type="spellStart"/>
      <w:r w:rsidRPr="003120DB">
        <w:rPr>
          <w:rFonts w:ascii="Times New Roman" w:hAnsi="Times New Roman" w:cs="Times New Roman"/>
          <w:sz w:val="24"/>
          <w:szCs w:val="24"/>
          <w:lang w:eastAsia="ru-RU"/>
        </w:rPr>
        <w:t>г.Уральск</w:t>
      </w:r>
      <w:proofErr w:type="spellEnd"/>
      <w:r w:rsidRPr="003120DB">
        <w:rPr>
          <w:rFonts w:ascii="Times New Roman" w:hAnsi="Times New Roman" w:cs="Times New Roman"/>
          <w:sz w:val="24"/>
          <w:szCs w:val="24"/>
          <w:lang w:eastAsia="ru-RU"/>
        </w:rPr>
        <w:t xml:space="preserve">, ул. </w:t>
      </w:r>
      <w:proofErr w:type="spellStart"/>
      <w:r w:rsidRPr="003120DB">
        <w:rPr>
          <w:rFonts w:ascii="Times New Roman" w:hAnsi="Times New Roman" w:cs="Times New Roman"/>
          <w:sz w:val="24"/>
          <w:szCs w:val="24"/>
          <w:lang w:eastAsia="ru-RU"/>
        </w:rPr>
        <w:t>Сарайшык</w:t>
      </w:r>
      <w:proofErr w:type="spellEnd"/>
      <w:r w:rsidRPr="003120DB">
        <w:rPr>
          <w:rFonts w:ascii="Times New Roman" w:hAnsi="Times New Roman" w:cs="Times New Roman"/>
          <w:sz w:val="24"/>
          <w:szCs w:val="24"/>
          <w:lang w:eastAsia="ru-RU"/>
        </w:rPr>
        <w:t xml:space="preserve">, д.47, тел.: 8(7112) 24-09-76, zko_forest@bko.gov.kz.    </w:t>
      </w:r>
    </w:p>
    <w:p w14:paraId="19E03915" w14:textId="62D73B0B" w:rsidR="00D35257" w:rsidRPr="00D35257" w:rsidRDefault="00D35257" w:rsidP="00D35257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3525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ИНФОРМАЦИЯ О ПОКАЗАТЕЛЯХ ОБЪЕКТОВ, НЕОБХОДИМЫХ ДЛЯ ОСУЩЕСТВЛЕНИЯ НАМЕЧАЕМОЙ ДЕЯТЕЛЬНОСТИ</w:t>
      </w:r>
    </w:p>
    <w:p w14:paraId="09BAE650" w14:textId="381C080D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В рамках реконструкции водохранилища по укреплению откоса плотины применяется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C77D7">
        <w:rPr>
          <w:rFonts w:ascii="Times New Roman" w:hAnsi="Times New Roman" w:cs="Times New Roman"/>
          <w:sz w:val="24"/>
          <w:szCs w:val="24"/>
          <w:lang w:val="kk-KZ"/>
        </w:rPr>
        <w:t>комплексный подход, предусматривающий многоступенчатое крепление откоса с использованием плит ПВ40-20-1,5, а также организацию качественной бетонной подготовки и обратного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C77D7">
        <w:rPr>
          <w:rFonts w:ascii="Times New Roman" w:hAnsi="Times New Roman" w:cs="Times New Roman"/>
          <w:sz w:val="24"/>
          <w:szCs w:val="24"/>
          <w:lang w:val="kk-KZ"/>
        </w:rPr>
        <w:t>фильтра. Предусмотрены следующие мероприятия:</w:t>
      </w:r>
    </w:p>
    <w:p w14:paraId="62224774" w14:textId="1CBC3645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b/>
          <w:bCs/>
          <w:sz w:val="24"/>
          <w:szCs w:val="24"/>
          <w:lang w:val="kk-KZ"/>
        </w:rPr>
        <w:t>Крепление откоса плитами ПВ40-20-1,5</w:t>
      </w:r>
    </w:p>
    <w:p w14:paraId="0DEB8C6E" w14:textId="45D522A1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Крепление откоса осуществляется посредством укладки плит ПВ40-20-1,5 в три ряда, что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C77D7">
        <w:rPr>
          <w:rFonts w:ascii="Times New Roman" w:hAnsi="Times New Roman" w:cs="Times New Roman"/>
          <w:sz w:val="24"/>
          <w:szCs w:val="24"/>
          <w:lang w:val="kk-KZ"/>
        </w:rPr>
        <w:t>позволяет равномерно распределить нагрузки и обеспечить дополнительную защиту от эрозии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C77D7">
        <w:rPr>
          <w:rFonts w:ascii="Times New Roman" w:hAnsi="Times New Roman" w:cs="Times New Roman"/>
          <w:sz w:val="24"/>
          <w:szCs w:val="24"/>
          <w:lang w:val="kk-KZ"/>
        </w:rPr>
        <w:t>и размывания. Расчётные параметры по рядам следующие:</w:t>
      </w:r>
    </w:p>
    <w:p w14:paraId="20770046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• Первый ряд:</w:t>
      </w:r>
    </w:p>
    <w:p w14:paraId="7761E97A" w14:textId="1C9E4B0A" w:rsidR="003120DB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- Длина ряда составляет 182,5 м, что соответствует укладке 10 плит;</w:t>
      </w:r>
    </w:p>
    <w:p w14:paraId="2E8378C4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- Рабочий участок охватывается от отметки ПК0+73,5 до отметки ПК5+48;</w:t>
      </w:r>
    </w:p>
    <w:p w14:paraId="04BCB76C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- Монтаж производится на отметке ▼13.20.</w:t>
      </w:r>
    </w:p>
    <w:p w14:paraId="56D550E5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• Второй ряд:</w:t>
      </w:r>
    </w:p>
    <w:p w14:paraId="508D56E7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lastRenderedPageBreak/>
        <w:t>- Общая длина ряда – 310,25 м, состоящего из 17 плит;</w:t>
      </w:r>
    </w:p>
    <w:p w14:paraId="594BC378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- Рабочий участок простирается от отметки ПК1+80 до ПК4+90,5;</w:t>
      </w:r>
    </w:p>
    <w:p w14:paraId="4A96AD7B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- Монтаж производится на отметке ▼14.55.</w:t>
      </w:r>
    </w:p>
    <w:p w14:paraId="118A2E30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• Третий ряд:</w:t>
      </w:r>
    </w:p>
    <w:p w14:paraId="7D1AAD7E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- Длина ряда составляет 474,5 м, что соответствует укладке 26 плит;</w:t>
      </w:r>
    </w:p>
    <w:p w14:paraId="037EB49C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- Рабочий участок задан от отметки ПК2+35 до отметки ПК4+17,5;</w:t>
      </w:r>
    </w:p>
    <w:p w14:paraId="2EE385A3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- Монтаж выполняется на отметке ▼15.90.</w:t>
      </w:r>
    </w:p>
    <w:p w14:paraId="01FE6509" w14:textId="2CBAC6BC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Такая ступенчатая укладка обеспечивает надежное армирование откоса и устойчивость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C77D7">
        <w:rPr>
          <w:rFonts w:ascii="Times New Roman" w:hAnsi="Times New Roman" w:cs="Times New Roman"/>
          <w:sz w:val="24"/>
          <w:szCs w:val="24"/>
          <w:lang w:val="kk-KZ"/>
        </w:rPr>
        <w:t>плотины в условиях переменных гидравлических нагрузок.</w:t>
      </w:r>
    </w:p>
    <w:p w14:paraId="3E381E25" w14:textId="4BA5606A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Защитное покрытие гребня плотины и верхового откоса выполняется из песка средней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C77D7">
        <w:rPr>
          <w:rFonts w:ascii="Times New Roman" w:hAnsi="Times New Roman" w:cs="Times New Roman"/>
          <w:sz w:val="24"/>
          <w:szCs w:val="24"/>
          <w:lang w:val="kk-KZ"/>
        </w:rPr>
        <w:t>крупности.</w:t>
      </w:r>
    </w:p>
    <w:p w14:paraId="09E93A5A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Водомерные посты</w:t>
      </w:r>
    </w:p>
    <w:p w14:paraId="1323551E" w14:textId="550B356D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Водомерные посты: назначаются для наблюдения за уровнем воды для определения объема воды в зависимости от площади зеркала в водохранилище</w:t>
      </w:r>
    </w:p>
    <w:p w14:paraId="08169B17" w14:textId="61995F1B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В нашем случае конструкция водомерного поста принята реечного типа. Все реечные посты (верх рейки) нивелируются по Балтийской системе высот и регистрируются в журнале.</w:t>
      </w:r>
    </w:p>
    <w:p w14:paraId="04DC3F60" w14:textId="33872F6E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Желательно чтобы верх рейки соответствовал на целое число доли. (например ▼16,0; ▼15,0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C77D7">
        <w:rPr>
          <w:rFonts w:ascii="Times New Roman" w:hAnsi="Times New Roman" w:cs="Times New Roman"/>
          <w:sz w:val="24"/>
          <w:szCs w:val="24"/>
          <w:lang w:val="kk-KZ"/>
        </w:rPr>
        <w:t>и т.д.)</w:t>
      </w:r>
    </w:p>
    <w:p w14:paraId="634CFE65" w14:textId="2140098E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Расчетный тип водомерного поста состоит из спаренных металлических уголков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C77D7">
        <w:rPr>
          <w:rFonts w:ascii="Times New Roman" w:hAnsi="Times New Roman" w:cs="Times New Roman"/>
          <w:sz w:val="24"/>
          <w:szCs w:val="24"/>
          <w:lang w:val="kk-KZ"/>
        </w:rPr>
        <w:t>(100х6,5мм) сваренных между собой по всей длине стыков</w:t>
      </w:r>
    </w:p>
    <w:p w14:paraId="368A430E" w14:textId="79F338B9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А. На существующем водосбросном сооружении устанавливается один водомерный пост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C77D7">
        <w:rPr>
          <w:rFonts w:ascii="Times New Roman" w:hAnsi="Times New Roman" w:cs="Times New Roman"/>
          <w:sz w:val="24"/>
          <w:szCs w:val="24"/>
          <w:lang w:val="kk-KZ"/>
        </w:rPr>
        <w:t>за прослеживанием напора воды над верхом водоприемного ковша соответственно за расходом.</w:t>
      </w:r>
    </w:p>
    <w:p w14:paraId="09FA6180" w14:textId="18E9C625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Б. Для наблюдения за уровнем воды в водохранилище на р. Солянка предусматривается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C77D7">
        <w:rPr>
          <w:rFonts w:ascii="Times New Roman" w:hAnsi="Times New Roman" w:cs="Times New Roman"/>
          <w:sz w:val="24"/>
          <w:szCs w:val="24"/>
          <w:lang w:val="kk-KZ"/>
        </w:rPr>
        <w:t>водомерный створ (пост) на ПК3+24 (поперечник №3)</w:t>
      </w:r>
    </w:p>
    <w:p w14:paraId="3CF34A6D" w14:textId="0699BDBB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Водомерный пост состоит из спаренных прямоугольных равнобоких уголков номер 10,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C77D7">
        <w:rPr>
          <w:rFonts w:ascii="Times New Roman" w:hAnsi="Times New Roman" w:cs="Times New Roman"/>
          <w:sz w:val="24"/>
          <w:szCs w:val="24"/>
          <w:lang w:val="kk-KZ"/>
        </w:rPr>
        <w:t>сваренных между собой по всей длине швов.</w:t>
      </w:r>
    </w:p>
    <w:p w14:paraId="7FB17C38" w14:textId="5C97C601" w:rsid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Водомерные рейки в количестве 5 штук, монтируются до бетонирования конструктивных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C77D7">
        <w:rPr>
          <w:rFonts w:ascii="Times New Roman" w:hAnsi="Times New Roman" w:cs="Times New Roman"/>
          <w:sz w:val="24"/>
          <w:szCs w:val="24"/>
          <w:lang w:val="kk-KZ"/>
        </w:rPr>
        <w:t>швов расположенных по вертикали к урезу воды.</w:t>
      </w:r>
    </w:p>
    <w:p w14:paraId="081159E8" w14:textId="461302D0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b/>
          <w:bCs/>
          <w:sz w:val="24"/>
          <w:szCs w:val="24"/>
          <w:lang w:val="kk-KZ"/>
        </w:rPr>
        <w:t>Подготовка откоса и добетонировка</w:t>
      </w:r>
    </w:p>
    <w:p w14:paraId="55A19A5E" w14:textId="1C7CD4E5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Перед укладкой плит на откос производится устройство железобетонного упорного блока,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C77D7">
        <w:rPr>
          <w:rFonts w:ascii="Times New Roman" w:hAnsi="Times New Roman" w:cs="Times New Roman"/>
          <w:sz w:val="24"/>
          <w:szCs w:val="24"/>
          <w:lang w:val="kk-KZ"/>
        </w:rPr>
        <w:t>обеспечивающего устойчивость и ровность основания. Далее выполняется укладка бетонной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C77D7">
        <w:rPr>
          <w:rFonts w:ascii="Times New Roman" w:hAnsi="Times New Roman" w:cs="Times New Roman"/>
          <w:sz w:val="24"/>
          <w:szCs w:val="24"/>
          <w:lang w:val="kk-KZ"/>
        </w:rPr>
        <w:t>подложки толщиной 7 см, которая служит базой для последующей установки плит. После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C77D7">
        <w:rPr>
          <w:rFonts w:ascii="Times New Roman" w:hAnsi="Times New Roman" w:cs="Times New Roman"/>
          <w:sz w:val="24"/>
          <w:szCs w:val="24"/>
          <w:lang w:val="kk-KZ"/>
        </w:rPr>
        <w:t xml:space="preserve">установки плит на откосе производится добетонировка дополнительным слоем </w:t>
      </w:r>
      <w:r w:rsidRPr="003C77D7">
        <w:rPr>
          <w:rFonts w:ascii="Times New Roman" w:hAnsi="Times New Roman" w:cs="Times New Roman"/>
          <w:sz w:val="24"/>
          <w:szCs w:val="24"/>
          <w:lang w:val="kk-KZ"/>
        </w:rPr>
        <w:lastRenderedPageBreak/>
        <w:t>бетона толщиной 15 см. Для изготовления данного слоя применяется бетон марки С20/25, с характеристикой прочности F150 и водостойкостью W6. Такая конструкция обеспечивает достаточную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C77D7">
        <w:rPr>
          <w:rFonts w:ascii="Times New Roman" w:hAnsi="Times New Roman" w:cs="Times New Roman"/>
          <w:sz w:val="24"/>
          <w:szCs w:val="24"/>
          <w:lang w:val="kk-KZ"/>
        </w:rPr>
        <w:t>прочность и долговечность элементов конструкции.</w:t>
      </w:r>
    </w:p>
    <w:p w14:paraId="2D4F07E0" w14:textId="020CE3E6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После добетонировки на откос наносится обратный фильтр толщиной 12 см, выполненный из щебеночной подготовки М600. Это позволяет уменьшить инфильтрацию и обеспечить эффективный отвод воды с поверхности откоса.</w:t>
      </w:r>
    </w:p>
    <w:p w14:paraId="4BEDE6A1" w14:textId="3C261B32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b/>
          <w:bCs/>
          <w:sz w:val="24"/>
          <w:szCs w:val="24"/>
          <w:lang w:val="kk-KZ"/>
        </w:rPr>
        <w:t>Дополнительное укрепление</w:t>
      </w:r>
    </w:p>
    <w:p w14:paraId="00B5888E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Для повышения устойчивости откосов предусмотрено крепление георешеткой в начале и в</w:t>
      </w:r>
    </w:p>
    <w:p w14:paraId="4F446FCD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конце плотины:</w:t>
      </w:r>
    </w:p>
    <w:p w14:paraId="0F81D881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- с ПК0+00 по ПК0+73,5;</w:t>
      </w:r>
    </w:p>
    <w:p w14:paraId="035B8151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- с ПК5+48 по ПК6+55.</w:t>
      </w:r>
    </w:p>
    <w:p w14:paraId="13E8ECC4" w14:textId="0A7FF4FC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Применение георешетки способствует улучшению распределения нагрузок и минимизации риска разрушения грунта под действием гидравлических сил.</w:t>
      </w:r>
    </w:p>
    <w:p w14:paraId="69CFC7EF" w14:textId="17821850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b/>
          <w:bCs/>
          <w:sz w:val="24"/>
          <w:szCs w:val="24"/>
          <w:lang w:val="kk-KZ"/>
        </w:rPr>
        <w:t>Организация проезжей части</w:t>
      </w:r>
    </w:p>
    <w:p w14:paraId="7A410899" w14:textId="7932CFA5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Проезжая часть по гребню плотины на длине 675м – необходима для проезда только эксплуатирующей техники. Данная проезжая часть относится к внутрихозяйственным дорогам,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C77D7">
        <w:rPr>
          <w:rFonts w:ascii="Times New Roman" w:hAnsi="Times New Roman" w:cs="Times New Roman"/>
          <w:sz w:val="24"/>
          <w:szCs w:val="24"/>
          <w:lang w:val="kk-KZ"/>
        </w:rPr>
        <w:t>для которых предусматривается переходной тип покрытия из щебня прочных пород, устроенного по способу заклинки без применения вяжущих материалов шириной 4,5 м, и обочины, общей шириной 3,5 м, из песчано-гравийно-щебеночной смеси. На всей длине проезжих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C77D7">
        <w:rPr>
          <w:rFonts w:ascii="Times New Roman" w:hAnsi="Times New Roman" w:cs="Times New Roman"/>
          <w:sz w:val="24"/>
          <w:szCs w:val="24"/>
          <w:lang w:val="kk-KZ"/>
        </w:rPr>
        <w:t>частей, для обозначения границы, устанавливаются сигнальные столбики с шагом 10 м, которые так же служат ориентиром и предупреждают людей и технику об опасности.</w:t>
      </w:r>
    </w:p>
    <w:p w14:paraId="2BF3C60D" w14:textId="522B9094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b/>
          <w:bCs/>
          <w:sz w:val="24"/>
          <w:szCs w:val="24"/>
          <w:lang w:val="kk-KZ"/>
        </w:rPr>
        <w:t>Водохозяйственный расчет</w:t>
      </w:r>
    </w:p>
    <w:p w14:paraId="5553CF85" w14:textId="0CBC1BD0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Водохранилище запроектировано сезонного регулирования, ежегодное наполнение которого предусматривается за счет воды, подаваемой по водопроводящему тракту.</w:t>
      </w:r>
    </w:p>
    <w:p w14:paraId="26655B83" w14:textId="6A6E38C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Объем водохранилища определен по поперечникам, топографическая характеристика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C77D7">
        <w:rPr>
          <w:rFonts w:ascii="Times New Roman" w:hAnsi="Times New Roman" w:cs="Times New Roman"/>
          <w:sz w:val="24"/>
          <w:szCs w:val="24"/>
          <w:lang w:val="kk-KZ"/>
        </w:rPr>
        <w:t>прилагается</w:t>
      </w:r>
    </w:p>
    <w:p w14:paraId="2323DB59" w14:textId="608F39C8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Водохозяйственный расчет водохранилища произведен при условии, что к моменту эксплуатации оно наполнено до нормального подпертого горизонта (отм.15,00)</w:t>
      </w:r>
    </w:p>
    <w:p w14:paraId="4593FF10" w14:textId="625FAF11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b/>
          <w:bCs/>
          <w:sz w:val="24"/>
          <w:szCs w:val="24"/>
          <w:lang w:val="kk-KZ"/>
        </w:rPr>
        <w:t>Расчетные горизонты воды</w:t>
      </w:r>
    </w:p>
    <w:p w14:paraId="5F6E6CF9" w14:textId="00CEE830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Исходя из топографических условий ложа водохранилища и возможности максимальной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C77D7">
        <w:rPr>
          <w:rFonts w:ascii="Times New Roman" w:hAnsi="Times New Roman" w:cs="Times New Roman"/>
          <w:sz w:val="24"/>
          <w:szCs w:val="24"/>
          <w:lang w:val="kk-KZ"/>
        </w:rPr>
        <w:t>подачи воды, а также из условий командирования над орошаемыми землями, нормальный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C77D7">
        <w:rPr>
          <w:rFonts w:ascii="Times New Roman" w:hAnsi="Times New Roman" w:cs="Times New Roman"/>
          <w:sz w:val="24"/>
          <w:szCs w:val="24"/>
          <w:lang w:val="kk-KZ"/>
        </w:rPr>
        <w:t>подпертый уровень назначен на отметке 15.0м.</w:t>
      </w:r>
    </w:p>
    <w:p w14:paraId="7812EB39" w14:textId="62EAD880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lastRenderedPageBreak/>
        <w:t>Отметка возможного максимального уровня воды при расходах 1% обеспеченности –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C77D7">
        <w:rPr>
          <w:rFonts w:ascii="Times New Roman" w:hAnsi="Times New Roman" w:cs="Times New Roman"/>
          <w:sz w:val="24"/>
          <w:szCs w:val="24"/>
          <w:lang w:val="kk-KZ"/>
        </w:rPr>
        <w:t>15,5м.</w:t>
      </w:r>
    </w:p>
    <w:p w14:paraId="37E3E0E0" w14:textId="6CE1E31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Отметка горизонта мертвого объема назначена из условия заиления его за период более 50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C77D7">
        <w:rPr>
          <w:rFonts w:ascii="Times New Roman" w:hAnsi="Times New Roman" w:cs="Times New Roman"/>
          <w:sz w:val="24"/>
          <w:szCs w:val="24"/>
          <w:lang w:val="kk-KZ"/>
        </w:rPr>
        <w:t>лет при максимальной величине твердого стока 0,4кг/м3 и составляет 10,0м.</w:t>
      </w:r>
    </w:p>
    <w:p w14:paraId="1BA07FDB" w14:textId="7F674B3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При отметках расчетных горизонтов по топографической характеристике водохранилища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C77D7">
        <w:rPr>
          <w:rFonts w:ascii="Times New Roman" w:hAnsi="Times New Roman" w:cs="Times New Roman"/>
          <w:sz w:val="24"/>
          <w:szCs w:val="24"/>
          <w:lang w:val="kk-KZ"/>
        </w:rPr>
        <w:t>определены соответствующие объемы:</w:t>
      </w:r>
    </w:p>
    <w:p w14:paraId="7755B299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- общий объем при НПУ – 21,76 млн.м3</w:t>
      </w:r>
    </w:p>
    <w:p w14:paraId="2DB180B5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- объем при МПУ 1% обеспеченности – 25,9 млн.м3</w:t>
      </w:r>
    </w:p>
    <w:p w14:paraId="0DA3739A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- мертвый объем при ГМО – 2,71 млн.м3</w:t>
      </w:r>
    </w:p>
    <w:p w14:paraId="5296983C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Площадь зеркала водохранилища при НПУ - 799га, при ГМО - 113га.</w:t>
      </w:r>
    </w:p>
    <w:p w14:paraId="765B25F6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Потери воды из водохранилища</w:t>
      </w:r>
    </w:p>
    <w:p w14:paraId="35736E46" w14:textId="55678933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Потери на испарение. Потери на испарение исчислялись по слою испарения за период апрель-октябрь, среднемноголетнее значение которого составляет hи=1061м.</w:t>
      </w:r>
    </w:p>
    <w:p w14:paraId="285A3E36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Объем потерь на испарение составляет</w:t>
      </w:r>
    </w:p>
    <w:p w14:paraId="29115BBC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Wи=hи – ω=1,061х4560000=4,83млн.м3</w:t>
      </w:r>
    </w:p>
    <w:p w14:paraId="0142AD32" w14:textId="3595B1F2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Потери на фильтрацию. Объем потерь на фильтрацию определился как сумма объемов потерь на фильтрацию в течение года:</w:t>
      </w:r>
    </w:p>
    <w:p w14:paraId="75FB0DDC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Wф=Wф.л.+Wф.о.+Wф.л.</w:t>
      </w:r>
    </w:p>
    <w:p w14:paraId="3B4FA1B1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Wф.л – потери воды на насыщение ложа водохранилища</w:t>
      </w:r>
    </w:p>
    <w:p w14:paraId="78FAD08C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Wф.л.=2,365млн.м3</w:t>
      </w:r>
    </w:p>
    <w:p w14:paraId="491F957A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Wф.о.=47тыс.м3</w:t>
      </w:r>
    </w:p>
    <w:p w14:paraId="7A74CAFA" w14:textId="69DDC06E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Wф.п. – потери воды на фильтрацию в теле плотины Wф.п. = 37м3 которыми можно пренебречь.</w:t>
      </w:r>
    </w:p>
    <w:p w14:paraId="6D9BD2E0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Тогда суммарные годовые потери на фильтрацию составят:</w:t>
      </w:r>
    </w:p>
    <w:p w14:paraId="0DF5D789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Wф = 2,365+0,047=2,412млн.м3</w:t>
      </w:r>
    </w:p>
    <w:p w14:paraId="438EC1DA" w14:textId="6A1E53A9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Расчеты потерь воды на фильтрацию и насыщение ложа водохранилища выполнены аналитически и хранятся в архиве.</w:t>
      </w:r>
    </w:p>
    <w:p w14:paraId="56AFA46E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Суммарный полезный объем водохранилища равен</w:t>
      </w:r>
    </w:p>
    <w:p w14:paraId="2B4400CE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Wпол = Wнпг – (Wгмо + Wи+Wф) = 21,76-(2,71+4,83+2,41)=21,76-9,95=11,81млн.м3</w:t>
      </w:r>
    </w:p>
    <w:p w14:paraId="6ADFA770" w14:textId="77777777" w:rsidR="003C77D7" w:rsidRPr="003C77D7" w:rsidRDefault="003C77D7" w:rsidP="003C7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Для восполнения суммарных потерь нужен живой ток за счет сброса воды из канала</w:t>
      </w:r>
    </w:p>
    <w:p w14:paraId="0BCC0049" w14:textId="21277444" w:rsidR="003C77D7" w:rsidRPr="00067A2E" w:rsidRDefault="003C77D7" w:rsidP="003C77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77D7">
        <w:rPr>
          <w:rFonts w:ascii="Times New Roman" w:hAnsi="Times New Roman" w:cs="Times New Roman"/>
          <w:sz w:val="24"/>
          <w:szCs w:val="24"/>
          <w:lang w:val="kk-KZ"/>
        </w:rPr>
        <w:t>водопроводящего тракта порядка 0,2м3/сек.</w:t>
      </w:r>
    </w:p>
    <w:sectPr w:rsidR="003C77D7" w:rsidRPr="00067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6F1000"/>
    <w:multiLevelType w:val="multilevel"/>
    <w:tmpl w:val="E17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65D"/>
    <w:rsid w:val="00067A2E"/>
    <w:rsid w:val="000C665D"/>
    <w:rsid w:val="002E5FA8"/>
    <w:rsid w:val="002E7D78"/>
    <w:rsid w:val="003120DB"/>
    <w:rsid w:val="003C77D7"/>
    <w:rsid w:val="005B4E03"/>
    <w:rsid w:val="009A143E"/>
    <w:rsid w:val="00D3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C4A1D"/>
  <w15:chartTrackingRefBased/>
  <w15:docId w15:val="{B3525724-00EE-496A-B11A-B87B3A636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1626</Words>
  <Characters>9270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2025-06-25T10:31:00Z</dcterms:created>
  <dcterms:modified xsi:type="dcterms:W3CDTF">2025-06-25T12:02:00Z</dcterms:modified>
</cp:coreProperties>
</file>