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A1885" w14:textId="77777777" w:rsidR="006F7556" w:rsidRDefault="006F7556" w:rsidP="006F7556">
      <w:pPr>
        <w:spacing w:after="0" w:line="240" w:lineRule="auto"/>
        <w:ind w:firstLine="709"/>
        <w:contextualSpacing/>
        <w:jc w:val="both"/>
        <w:rPr>
          <w:rFonts w:ascii="Arial" w:hAnsi="Arial" w:cs="Arial"/>
        </w:rPr>
      </w:pPr>
      <w:r>
        <w:rPr>
          <w:rFonts w:ascii="Arial" w:hAnsi="Arial" w:cs="Arial"/>
          <w:lang w:bidi="ru-RU"/>
        </w:rPr>
        <w:t xml:space="preserve">Отчет о возможных воздействиях на окружающую среду в составе рабочего проекта </w:t>
      </w:r>
      <w:r>
        <w:rPr>
          <w:rFonts w:ascii="Arial" w:hAnsi="Arial" w:cs="Arial"/>
        </w:rPr>
        <w:t>«Мультибрендовый завод по производству автомобилей: CHANGAN, CHERY, HAVAL, расположенный по адресу:г. Алматы, Алатауский район, мкр. Алгабас, Индустриальная зона Алматы</w:t>
      </w:r>
      <w:r>
        <w:rPr>
          <w:rFonts w:ascii="Arial" w:hAnsi="Arial" w:cs="Arial"/>
          <w:bCs/>
          <w:kern w:val="0"/>
          <w14:ligatures w14:val="none"/>
        </w:rPr>
        <w:t>».</w:t>
      </w:r>
    </w:p>
    <w:p w14:paraId="5B4B64BB" w14:textId="77777777" w:rsidR="006F7556" w:rsidRDefault="006F7556" w:rsidP="006F7556">
      <w:pPr>
        <w:spacing w:after="0"/>
        <w:ind w:firstLine="720"/>
        <w:jc w:val="both"/>
        <w:rPr>
          <w:rFonts w:ascii="Arial" w:hAnsi="Arial" w:cs="Arial"/>
          <w:bCs/>
        </w:rPr>
      </w:pPr>
      <w:r>
        <w:rPr>
          <w:rFonts w:ascii="Arial" w:hAnsi="Arial" w:cs="Arial"/>
        </w:rPr>
        <w:t xml:space="preserve">Разрабатываемый проект выполнен </w:t>
      </w:r>
      <w:r>
        <w:rPr>
          <w:rFonts w:ascii="Arial" w:hAnsi="Arial" w:cs="Arial"/>
          <w:bCs/>
        </w:rPr>
        <w:t>с целью оценки влияния объекта на окружающую среду на период проведения строительных работ и на период эксплуатации.</w:t>
      </w:r>
      <w:r>
        <w:rPr>
          <w:rFonts w:ascii="Arial" w:hAnsi="Arial" w:cs="Arial"/>
        </w:rPr>
        <w:t xml:space="preserve"> </w:t>
      </w:r>
      <w:r>
        <w:rPr>
          <w:rFonts w:ascii="Arial" w:hAnsi="Arial" w:cs="Arial"/>
          <w:bCs/>
        </w:rPr>
        <w:t xml:space="preserve">В соответствии с требованием экологического кодекса РК и на основании технического задания Заказчика на проектирование (Приложение 1). </w:t>
      </w:r>
    </w:p>
    <w:p w14:paraId="76643F89" w14:textId="77777777" w:rsidR="006F7556" w:rsidRDefault="006F7556" w:rsidP="006F7556">
      <w:pPr>
        <w:spacing w:line="250" w:lineRule="exact"/>
        <w:ind w:firstLine="600"/>
        <w:jc w:val="both"/>
        <w:rPr>
          <w:rFonts w:ascii="Arial" w:hAnsi="Arial" w:cs="Arial"/>
        </w:rPr>
      </w:pPr>
      <w:r>
        <w:rPr>
          <w:rFonts w:ascii="Arial" w:hAnsi="Arial" w:cs="Arial"/>
          <w:lang w:bidi="ru-RU"/>
        </w:rPr>
        <w:t>Проект отчета о возможных воздействиях на состояние окружающей среды разработан в соответствии с требованиями следующих основополагающих документов:</w:t>
      </w:r>
    </w:p>
    <w:p w14:paraId="7EE6674C" w14:textId="77777777" w:rsidR="006F7556" w:rsidRDefault="006F7556" w:rsidP="006F7556">
      <w:pPr>
        <w:numPr>
          <w:ilvl w:val="0"/>
          <w:numId w:val="1"/>
        </w:numPr>
        <w:tabs>
          <w:tab w:val="left" w:pos="741"/>
        </w:tabs>
        <w:spacing w:line="250" w:lineRule="exact"/>
        <w:ind w:left="1070" w:hanging="360"/>
        <w:jc w:val="both"/>
        <w:rPr>
          <w:rFonts w:ascii="Arial" w:hAnsi="Arial" w:cs="Arial"/>
        </w:rPr>
      </w:pPr>
      <w:r>
        <w:rPr>
          <w:rFonts w:ascii="Arial" w:hAnsi="Arial" w:cs="Arial"/>
          <w:lang w:bidi="ru-RU"/>
        </w:rPr>
        <w:t xml:space="preserve">«Экологический кодекс Республики Казахстан» от 02.01.2021 г, № </w:t>
      </w:r>
      <w:r>
        <w:rPr>
          <w:rFonts w:ascii="Arial" w:hAnsi="Arial" w:cs="Arial"/>
          <w:lang w:bidi="en-US"/>
        </w:rPr>
        <w:t>400-</w:t>
      </w:r>
      <w:r>
        <w:rPr>
          <w:rFonts w:ascii="Arial" w:hAnsi="Arial" w:cs="Arial"/>
          <w:lang w:val="en-US" w:bidi="en-US"/>
        </w:rPr>
        <w:t>VI</w:t>
      </w:r>
      <w:r>
        <w:rPr>
          <w:rFonts w:ascii="Arial" w:hAnsi="Arial" w:cs="Arial"/>
          <w:lang w:bidi="en-US"/>
        </w:rPr>
        <w:t>.</w:t>
      </w:r>
    </w:p>
    <w:p w14:paraId="6815CA9D" w14:textId="77777777" w:rsidR="006F7556" w:rsidRDefault="006F7556" w:rsidP="006F7556">
      <w:pPr>
        <w:numPr>
          <w:ilvl w:val="0"/>
          <w:numId w:val="1"/>
        </w:numPr>
        <w:tabs>
          <w:tab w:val="left" w:pos="741"/>
        </w:tabs>
        <w:spacing w:line="250" w:lineRule="exact"/>
        <w:ind w:left="1070" w:hanging="360"/>
        <w:rPr>
          <w:rFonts w:ascii="Arial" w:hAnsi="Arial" w:cs="Arial"/>
        </w:rPr>
      </w:pPr>
      <w:r>
        <w:rPr>
          <w:rFonts w:ascii="Arial" w:hAnsi="Arial" w:cs="Arial"/>
          <w:lang w:bidi="ru-RU"/>
        </w:rPr>
        <w:t>«Инструкция по организации и проведению экологической оценки», утвержденной Министром экологии, геологии и природных ресурсов РК от 30.06.2021 года №280.</w:t>
      </w:r>
    </w:p>
    <w:p w14:paraId="270ADA8E" w14:textId="77777777" w:rsidR="006F7556" w:rsidRDefault="006F7556" w:rsidP="006F7556">
      <w:pPr>
        <w:numPr>
          <w:ilvl w:val="0"/>
          <w:numId w:val="1"/>
        </w:numPr>
        <w:tabs>
          <w:tab w:val="left" w:pos="741"/>
        </w:tabs>
        <w:spacing w:line="250" w:lineRule="exact"/>
        <w:ind w:left="1070" w:hanging="360"/>
        <w:jc w:val="both"/>
        <w:rPr>
          <w:rFonts w:ascii="Arial" w:hAnsi="Arial" w:cs="Arial"/>
        </w:rPr>
      </w:pPr>
      <w:r>
        <w:rPr>
          <w:rFonts w:ascii="Arial" w:hAnsi="Arial" w:cs="Arial"/>
          <w:lang w:bidi="ru-RU"/>
        </w:rPr>
        <w:t>«Методика определения нормативов эмиссий в окружающую среду», № 63 от 10.03.2021 года.</w:t>
      </w:r>
    </w:p>
    <w:p w14:paraId="666F342E" w14:textId="77777777" w:rsidR="006F7556" w:rsidRDefault="006F7556" w:rsidP="006F7556">
      <w:pPr>
        <w:numPr>
          <w:ilvl w:val="0"/>
          <w:numId w:val="1"/>
        </w:numPr>
        <w:tabs>
          <w:tab w:val="left" w:pos="741"/>
        </w:tabs>
        <w:spacing w:line="250" w:lineRule="exact"/>
        <w:ind w:left="1070" w:hanging="360"/>
        <w:jc w:val="both"/>
        <w:rPr>
          <w:rFonts w:ascii="Arial" w:hAnsi="Arial" w:cs="Arial"/>
        </w:rPr>
      </w:pPr>
      <w:r>
        <w:rPr>
          <w:rFonts w:ascii="Arial" w:hAnsi="Arial" w:cs="Arial"/>
          <w:lang w:bidi="ru-RU"/>
        </w:rPr>
        <w:t>Иных действующих законодательных и нормативных документов Республики Казахстан, действующих в Республике Казахстан.</w:t>
      </w:r>
    </w:p>
    <w:p w14:paraId="5331A433" w14:textId="77777777" w:rsidR="006F7556" w:rsidRDefault="006F7556" w:rsidP="006F7556">
      <w:pPr>
        <w:ind w:firstLine="600"/>
        <w:contextualSpacing/>
        <w:jc w:val="both"/>
        <w:rPr>
          <w:rFonts w:ascii="Arial" w:hAnsi="Arial" w:cs="Arial"/>
        </w:rPr>
      </w:pPr>
      <w:r>
        <w:rPr>
          <w:rFonts w:ascii="Arial" w:hAnsi="Arial" w:cs="Arial"/>
        </w:rPr>
        <w:t>Отчет о возможных воздействиях разработан в соответствие с приложением 2 Инструкции по организации проведению экологической оценки к приказу Министр экологии, геологии и природных ресурсов Республики Казахстан от 26 октября 2021 года № 424 изЗаключении скрининга воздействия намечаемой деятельности На рассмотрение представлены: Заявление о намечаемой деятельности ТОО «Astana Motors Manufacturing Kazakhstan» на проект «Строительство мультибрендового завода по производству автомобилей марки CHANGAN, CHERY, HAVAL» KZ11VWF00100355 от 14.06.2023г.</w:t>
      </w:r>
    </w:p>
    <w:p w14:paraId="32750A0D" w14:textId="77777777" w:rsidR="006F7556" w:rsidRDefault="006F7556" w:rsidP="006F7556">
      <w:pPr>
        <w:ind w:firstLine="600"/>
        <w:contextualSpacing/>
        <w:jc w:val="both"/>
        <w:rPr>
          <w:rFonts w:ascii="Arial" w:hAnsi="Arial" w:cs="Arial"/>
          <w:lang w:bidi="ru-RU"/>
        </w:rPr>
      </w:pPr>
      <w:r>
        <w:rPr>
          <w:rFonts w:ascii="Arial" w:hAnsi="Arial" w:cs="Arial"/>
          <w:lang w:bidi="ru-RU"/>
        </w:rPr>
        <w:t>Материалы Проекта отчета о возможных воздействиях разработаны в соответствии с законодательством и нормативными актами и инструктивно-методическими документами РК, регулирующими вопросы охраны окружающей среды и экологической безопасности, и международными стандартами, имеющими силу в Республике Казахстан.</w:t>
      </w:r>
    </w:p>
    <w:p w14:paraId="4F0F602D" w14:textId="77777777" w:rsidR="006F7556" w:rsidRDefault="006F7556" w:rsidP="006F7556">
      <w:pPr>
        <w:ind w:firstLine="600"/>
        <w:contextualSpacing/>
        <w:jc w:val="both"/>
        <w:rPr>
          <w:rFonts w:ascii="Arial" w:hAnsi="Arial" w:cs="Arial"/>
        </w:rPr>
      </w:pPr>
      <w:r>
        <w:rPr>
          <w:rFonts w:ascii="Arial" w:hAnsi="Arial" w:cs="Arial"/>
        </w:rPr>
        <w:t xml:space="preserve">Согласно </w:t>
      </w:r>
      <w:r>
        <w:rPr>
          <w:rFonts w:ascii="Arial" w:hAnsi="Arial" w:cs="Arial"/>
          <w:color w:val="222222"/>
          <w:shd w:val="clear" w:color="auto" w:fill="FFFFFF"/>
        </w:rPr>
        <w:t>п.п.16 п.9 раздела 2  Приложения 1 Санитарных правил «Санитарно-эпидемиологические требования по установлению санитарно-защитной зоны производственных объектов» постановление правительства РК от 11 января 2022 года № ҚР ДСМ-2, производство автомобилей относиться к IV классу, СЗЗ 100 м</w:t>
      </w:r>
      <w:r>
        <w:rPr>
          <w:rFonts w:ascii="Arial" w:hAnsi="Arial" w:cs="Arial"/>
        </w:rPr>
        <w:t>.</w:t>
      </w:r>
    </w:p>
    <w:p w14:paraId="1BE974D1" w14:textId="77777777" w:rsidR="006F7556" w:rsidRDefault="006F7556" w:rsidP="006F7556">
      <w:pPr>
        <w:rPr>
          <w:rFonts w:ascii="Arial" w:hAnsi="Arial" w:cs="Arial"/>
          <w:b/>
          <w:bCs/>
        </w:rPr>
      </w:pPr>
    </w:p>
    <w:p w14:paraId="663340ED" w14:textId="77777777" w:rsidR="006F7556" w:rsidRDefault="006F7556" w:rsidP="006F7556">
      <w:pPr>
        <w:jc w:val="both"/>
        <w:rPr>
          <w:rFonts w:ascii="Arial" w:eastAsia="Times New Roman" w:hAnsi="Arial" w:cs="Arial"/>
          <w:kern w:val="0"/>
          <w:lang w:eastAsia="ru-RU"/>
          <w14:ligatures w14:val="none"/>
        </w:rPr>
      </w:pPr>
      <w:r>
        <w:rPr>
          <w:rFonts w:ascii="Arial" w:hAnsi="Arial" w:cs="Arial"/>
          <w:b/>
          <w:bCs/>
        </w:rPr>
        <w:t>Заказчик:</w:t>
      </w:r>
      <w:r>
        <w:rPr>
          <w:rFonts w:ascii="Arial" w:hAnsi="Arial" w:cs="Arial"/>
        </w:rPr>
        <w:t xml:space="preserve"> Товарищество с ограниченной ответственностью "Astana Motors Manufacturing Kazakhstan", 050060, Республика Казахстан, г.Алматы, Бостандыкский район, Проспект Аль-Фараби, дом № 107, 190440010464.</w:t>
      </w:r>
    </w:p>
    <w:p w14:paraId="574EBD7B" w14:textId="77777777" w:rsidR="006F7556" w:rsidRDefault="006F7556" w:rsidP="006F7556">
      <w:pPr>
        <w:jc w:val="both"/>
        <w:rPr>
          <w:rFonts w:ascii="Arial" w:hAnsi="Arial" w:cs="Arial"/>
        </w:rPr>
      </w:pPr>
      <w:r>
        <w:rPr>
          <w:rFonts w:ascii="Arial" w:hAnsi="Arial" w:cs="Arial"/>
          <w:b/>
          <w:bCs/>
        </w:rPr>
        <w:t>Разработчик:</w:t>
      </w:r>
      <w:r>
        <w:rPr>
          <w:rFonts w:ascii="Arial" w:hAnsi="Arial" w:cs="Arial"/>
        </w:rPr>
        <w:t xml:space="preserve"> </w:t>
      </w:r>
      <w:r>
        <w:rPr>
          <w:rFonts w:ascii="Arial" w:hAnsi="Arial" w:cs="Arial"/>
          <w:bCs/>
          <w:iCs/>
        </w:rPr>
        <w:t xml:space="preserve">ТОО РНПИЦ «Казэкология» БИН </w:t>
      </w:r>
      <w:r>
        <w:rPr>
          <w:rFonts w:ascii="Arial" w:hAnsi="Arial" w:cs="Arial"/>
        </w:rPr>
        <w:t>940</w:t>
      </w:r>
      <w:r>
        <w:rPr>
          <w:rFonts w:ascii="Arial" w:hAnsi="Arial" w:cs="Arial"/>
          <w:lang w:val="en-US"/>
        </w:rPr>
        <w:t> </w:t>
      </w:r>
      <w:r>
        <w:rPr>
          <w:rFonts w:ascii="Arial" w:hAnsi="Arial" w:cs="Arial"/>
        </w:rPr>
        <w:t>740</w:t>
      </w:r>
      <w:r>
        <w:rPr>
          <w:rFonts w:ascii="Arial" w:hAnsi="Arial" w:cs="Arial"/>
          <w:lang w:val="en-US"/>
        </w:rPr>
        <w:t> </w:t>
      </w:r>
      <w:r>
        <w:rPr>
          <w:rFonts w:ascii="Arial" w:hAnsi="Arial" w:cs="Arial"/>
        </w:rPr>
        <w:t>000 129</w:t>
      </w:r>
      <w:r>
        <w:rPr>
          <w:rFonts w:ascii="Arial" w:hAnsi="Arial" w:cs="Arial"/>
          <w:bCs/>
          <w:iCs/>
        </w:rPr>
        <w:t xml:space="preserve">, </w:t>
      </w:r>
      <w:r>
        <w:rPr>
          <w:rFonts w:ascii="Arial" w:hAnsi="Arial" w:cs="Arial"/>
        </w:rPr>
        <w:t xml:space="preserve">город Алматы, ул. Айтеки-би, 27, государственная </w:t>
      </w:r>
      <w:r>
        <w:rPr>
          <w:rFonts w:ascii="Arial" w:hAnsi="Arial" w:cs="Arial"/>
          <w:spacing w:val="-62"/>
        </w:rPr>
        <w:t xml:space="preserve"> </w:t>
      </w:r>
      <w:r>
        <w:rPr>
          <w:rFonts w:ascii="Arial" w:hAnsi="Arial" w:cs="Arial"/>
        </w:rPr>
        <w:t>лицензия</w:t>
      </w:r>
      <w:r>
        <w:rPr>
          <w:rFonts w:ascii="Arial" w:hAnsi="Arial" w:cs="Arial"/>
          <w:spacing w:val="-11"/>
        </w:rPr>
        <w:t xml:space="preserve"> </w:t>
      </w:r>
      <w:r>
        <w:rPr>
          <w:rFonts w:ascii="Arial" w:hAnsi="Arial" w:cs="Arial"/>
        </w:rPr>
        <w:t>01843Р</w:t>
      </w:r>
      <w:r>
        <w:rPr>
          <w:rFonts w:ascii="Arial" w:hAnsi="Arial" w:cs="Arial"/>
          <w:spacing w:val="-11"/>
        </w:rPr>
        <w:t xml:space="preserve"> </w:t>
      </w:r>
      <w:r>
        <w:rPr>
          <w:rFonts w:ascii="Arial" w:hAnsi="Arial" w:cs="Arial"/>
        </w:rPr>
        <w:t>№</w:t>
      </w:r>
      <w:r>
        <w:rPr>
          <w:rFonts w:ascii="Arial" w:hAnsi="Arial" w:cs="Arial"/>
          <w:spacing w:val="-10"/>
        </w:rPr>
        <w:t xml:space="preserve"> </w:t>
      </w:r>
      <w:r>
        <w:rPr>
          <w:rFonts w:ascii="Arial" w:hAnsi="Arial" w:cs="Arial"/>
        </w:rPr>
        <w:t>15004135</w:t>
      </w:r>
      <w:r>
        <w:rPr>
          <w:rFonts w:ascii="Arial" w:hAnsi="Arial" w:cs="Arial"/>
          <w:spacing w:val="-11"/>
        </w:rPr>
        <w:t xml:space="preserve"> </w:t>
      </w:r>
      <w:r>
        <w:rPr>
          <w:rFonts w:ascii="Arial" w:hAnsi="Arial" w:cs="Arial"/>
        </w:rPr>
        <w:t>от</w:t>
      </w:r>
      <w:r>
        <w:rPr>
          <w:rFonts w:ascii="Arial" w:hAnsi="Arial" w:cs="Arial"/>
          <w:spacing w:val="-11"/>
        </w:rPr>
        <w:t xml:space="preserve"> </w:t>
      </w:r>
      <w:r>
        <w:rPr>
          <w:rFonts w:ascii="Arial" w:hAnsi="Arial" w:cs="Arial"/>
        </w:rPr>
        <w:t>20.06.2016</w:t>
      </w:r>
      <w:r>
        <w:rPr>
          <w:rFonts w:ascii="Arial" w:hAnsi="Arial" w:cs="Arial"/>
          <w:spacing w:val="-11"/>
        </w:rPr>
        <w:t xml:space="preserve"> </w:t>
      </w:r>
      <w:r>
        <w:rPr>
          <w:rFonts w:ascii="Arial" w:hAnsi="Arial" w:cs="Arial"/>
        </w:rPr>
        <w:t>года,</w:t>
      </w:r>
      <w:r>
        <w:rPr>
          <w:rFonts w:ascii="Arial" w:hAnsi="Arial" w:cs="Arial"/>
          <w:spacing w:val="-12"/>
        </w:rPr>
        <w:t xml:space="preserve"> </w:t>
      </w:r>
      <w:r>
        <w:rPr>
          <w:rFonts w:ascii="Arial" w:hAnsi="Arial" w:cs="Arial"/>
        </w:rPr>
        <w:t>выдана</w:t>
      </w:r>
      <w:r>
        <w:rPr>
          <w:rFonts w:ascii="Arial" w:hAnsi="Arial" w:cs="Arial"/>
          <w:spacing w:val="-10"/>
        </w:rPr>
        <w:t xml:space="preserve"> </w:t>
      </w:r>
      <w:r>
        <w:rPr>
          <w:rFonts w:ascii="Arial" w:hAnsi="Arial" w:cs="Arial"/>
        </w:rPr>
        <w:t>Комитетом</w:t>
      </w:r>
      <w:r>
        <w:rPr>
          <w:rFonts w:ascii="Arial" w:hAnsi="Arial" w:cs="Arial"/>
          <w:spacing w:val="-10"/>
        </w:rPr>
        <w:t xml:space="preserve"> </w:t>
      </w:r>
      <w:r>
        <w:rPr>
          <w:rFonts w:ascii="Arial" w:hAnsi="Arial" w:cs="Arial"/>
        </w:rPr>
        <w:t>экологического</w:t>
      </w:r>
      <w:r>
        <w:rPr>
          <w:rFonts w:ascii="Arial" w:hAnsi="Arial" w:cs="Arial"/>
          <w:spacing w:val="-63"/>
        </w:rPr>
        <w:t xml:space="preserve"> </w:t>
      </w:r>
      <w:r>
        <w:rPr>
          <w:rFonts w:ascii="Arial" w:hAnsi="Arial" w:cs="Arial"/>
        </w:rPr>
        <w:t>регулирования, контроля и государственной инспекции в нефтегазовом комплексе</w:t>
      </w:r>
      <w:r>
        <w:rPr>
          <w:rFonts w:ascii="Arial" w:hAnsi="Arial" w:cs="Arial"/>
          <w:spacing w:val="1"/>
        </w:rPr>
        <w:t xml:space="preserve"> </w:t>
      </w:r>
      <w:r>
        <w:rPr>
          <w:rFonts w:ascii="Arial" w:hAnsi="Arial" w:cs="Arial"/>
        </w:rPr>
        <w:t>Министерства энергетики Республики Казахстан</w:t>
      </w:r>
    </w:p>
    <w:p w14:paraId="02C7FB6B" w14:textId="77777777" w:rsidR="006F7556" w:rsidRDefault="006F7556" w:rsidP="006F7556">
      <w:pPr>
        <w:ind w:firstLine="567"/>
        <w:jc w:val="both"/>
        <w:rPr>
          <w:rFonts w:ascii="Arial" w:hAnsi="Arial" w:cs="Arial"/>
        </w:rPr>
      </w:pPr>
    </w:p>
    <w:p w14:paraId="4D04E248" w14:textId="77777777" w:rsidR="006F7556" w:rsidRDefault="006F7556" w:rsidP="006F7556">
      <w:pPr>
        <w:pStyle w:val="a3"/>
        <w:spacing w:line="276" w:lineRule="auto"/>
        <w:rPr>
          <w:rFonts w:cs="Arial"/>
          <w:sz w:val="22"/>
        </w:rPr>
      </w:pPr>
      <w:r>
        <w:rPr>
          <w:rFonts w:cs="Arial"/>
          <w:sz w:val="22"/>
        </w:rPr>
        <w:br w:type="page"/>
      </w:r>
    </w:p>
    <w:p w14:paraId="4F69B6A7" w14:textId="77777777" w:rsidR="006F7556" w:rsidRDefault="006F7556" w:rsidP="006F7556">
      <w:pPr>
        <w:pStyle w:val="a5"/>
        <w:rPr>
          <w:rFonts w:cs="Arial"/>
          <w:b/>
          <w:bCs/>
          <w:lang w:bidi="ru-RU"/>
        </w:rPr>
      </w:pPr>
      <w:bookmarkStart w:id="0" w:name="_Toc202166547"/>
      <w:r>
        <w:rPr>
          <w:rFonts w:cs="Arial"/>
          <w:b/>
          <w:bCs/>
          <w:lang w:bidi="ru-RU"/>
        </w:rPr>
        <w:lastRenderedPageBreak/>
        <w:t>1.ОБЩИЕ СВЕДЕНИЯ О НАМЕЧАЕМОЙ ДЕЯТЕЛЬНОСТИ</w:t>
      </w:r>
      <w:bookmarkEnd w:id="0"/>
    </w:p>
    <w:p w14:paraId="259114FD" w14:textId="77777777" w:rsidR="006F7556" w:rsidRDefault="006F7556" w:rsidP="006F7556">
      <w:pPr>
        <w:ind w:firstLine="567"/>
        <w:jc w:val="both"/>
        <w:rPr>
          <w:rFonts w:ascii="Arial" w:hAnsi="Arial" w:cs="Arial"/>
        </w:rPr>
      </w:pPr>
      <w:r>
        <w:rPr>
          <w:rFonts w:ascii="Arial" w:hAnsi="Arial" w:cs="Arial"/>
        </w:rPr>
        <w:t xml:space="preserve">ТОО «Astana Motors Manufacturing Kazakhstan» планирует осуществлять эксплуатацию мультибрендового завода по производству экологически чистых легковых автотранспортных средств, марки класса ЕВРО 6. </w:t>
      </w:r>
    </w:p>
    <w:p w14:paraId="49DEEC1A" w14:textId="77777777" w:rsidR="006F7556" w:rsidRDefault="006F7556" w:rsidP="006F7556">
      <w:pPr>
        <w:pStyle w:val="a5"/>
        <w:rPr>
          <w:rFonts w:cs="Arial"/>
          <w:b/>
          <w:bCs/>
          <w:lang w:bidi="ru-RU"/>
        </w:rPr>
      </w:pPr>
      <w:bookmarkStart w:id="1" w:name="_Toc202166548"/>
      <w:r>
        <w:rPr>
          <w:rFonts w:cs="Arial"/>
          <w:b/>
          <w:bCs/>
          <w:lang w:bidi="ru-RU"/>
        </w:rPr>
        <w:t>1.1.Месторасположение осуществления намечаемой деятельности. Категория и цель использования земель</w:t>
      </w:r>
      <w:bookmarkEnd w:id="1"/>
    </w:p>
    <w:p w14:paraId="08147226" w14:textId="77777777" w:rsidR="006F7556" w:rsidRDefault="006F7556" w:rsidP="006F7556">
      <w:pPr>
        <w:ind w:firstLine="567"/>
        <w:jc w:val="both"/>
        <w:rPr>
          <w:rFonts w:ascii="Arial" w:hAnsi="Arial" w:cs="Arial"/>
        </w:rPr>
      </w:pPr>
      <w:r>
        <w:rPr>
          <w:rFonts w:ascii="Arial" w:hAnsi="Arial" w:cs="Arial"/>
        </w:rPr>
        <w:t xml:space="preserve">Завод будет расположен в индустриальной зоне города Алматы. Согласно приказа № 607 от 01 августа 2019 года Министра индустрии и инфраструктурного развития РК, Индустриальная зона -это территория обеспеченная инженерно коммуникационной инфраструктурой, предоставляемая субъектам частного предпринимательства для размещения и эксплуатации объектов предпринимательской деятельности, в том числе в области промышленности, агропромышленного комплекса, транспортной логистики и управления отходами. </w:t>
      </w:r>
    </w:p>
    <w:p w14:paraId="136BC0F9" w14:textId="77777777" w:rsidR="006F7556" w:rsidRDefault="006F7556" w:rsidP="006F7556">
      <w:pPr>
        <w:ind w:firstLine="567"/>
        <w:jc w:val="both"/>
        <w:rPr>
          <w:rFonts w:ascii="Arial" w:hAnsi="Arial" w:cs="Arial"/>
        </w:rPr>
      </w:pPr>
      <w:r>
        <w:rPr>
          <w:rFonts w:ascii="Arial" w:hAnsi="Arial" w:cs="Arial"/>
        </w:rPr>
        <w:t xml:space="preserve">Индустриальная зона года Алматы расположена в санитарно-защитной зоне действующего кладбища «Батыс» и действующего ТЭЦ 2, в связи с чем в пределах территории и предполагаемой зоне влития предприятия отсутствуют: </w:t>
      </w:r>
    </w:p>
    <w:p w14:paraId="27D6C788" w14:textId="77777777" w:rsidR="006F7556" w:rsidRDefault="006F7556" w:rsidP="006F7556">
      <w:pPr>
        <w:ind w:firstLine="567"/>
        <w:jc w:val="both"/>
        <w:rPr>
          <w:rFonts w:ascii="Arial" w:hAnsi="Arial" w:cs="Arial"/>
        </w:rPr>
      </w:pPr>
      <w:r>
        <w:rPr>
          <w:rFonts w:ascii="Arial" w:hAnsi="Arial" w:cs="Arial"/>
        </w:rPr>
        <w:t xml:space="preserve">- зон отдыха, особо охраняемые природные территории, территории музеев, памятников архитектуры, санаториев, домов отдыха; </w:t>
      </w:r>
    </w:p>
    <w:p w14:paraId="75B17349" w14:textId="77777777" w:rsidR="006F7556" w:rsidRDefault="006F7556" w:rsidP="006F7556">
      <w:pPr>
        <w:ind w:firstLine="567"/>
        <w:jc w:val="both"/>
        <w:rPr>
          <w:rFonts w:ascii="Arial" w:hAnsi="Arial" w:cs="Arial"/>
        </w:rPr>
      </w:pPr>
      <w:r>
        <w:rPr>
          <w:rFonts w:ascii="Arial" w:hAnsi="Arial" w:cs="Arial"/>
        </w:rPr>
        <w:t xml:space="preserve">- историко-архитектурные памятники и природные заповедники, охраняемые законом; </w:t>
      </w:r>
    </w:p>
    <w:p w14:paraId="33A0B147" w14:textId="77777777" w:rsidR="006F7556" w:rsidRDefault="006F7556" w:rsidP="006F7556">
      <w:pPr>
        <w:ind w:firstLine="567"/>
        <w:jc w:val="both"/>
        <w:rPr>
          <w:rFonts w:ascii="Arial" w:hAnsi="Arial" w:cs="Arial"/>
        </w:rPr>
      </w:pPr>
      <w:r>
        <w:rPr>
          <w:rFonts w:ascii="Arial" w:hAnsi="Arial" w:cs="Arial"/>
        </w:rPr>
        <w:t xml:space="preserve">- водохранных полос и зон поверхностных водоемов. Ближайший поверхностный водоем Река Карагайлы находится на расстоянии более 570 м от границы земельного участка в западном направлении; </w:t>
      </w:r>
    </w:p>
    <w:p w14:paraId="36BDD114" w14:textId="77777777" w:rsidR="006F7556" w:rsidRDefault="006F7556" w:rsidP="006F7556">
      <w:pPr>
        <w:ind w:firstLine="567"/>
        <w:jc w:val="both"/>
        <w:rPr>
          <w:rFonts w:ascii="Arial" w:hAnsi="Arial" w:cs="Arial"/>
        </w:rPr>
      </w:pPr>
      <w:r>
        <w:rPr>
          <w:rFonts w:ascii="Arial" w:hAnsi="Arial" w:cs="Arial"/>
        </w:rPr>
        <w:t>- стационарно-неблагополучные очаги сибирской язвы и скотомогильники (биотермические ямы).</w:t>
      </w:r>
    </w:p>
    <w:p w14:paraId="2B0AAF67" w14:textId="77777777" w:rsidR="006F7556" w:rsidRDefault="006F7556" w:rsidP="006F7556">
      <w:pPr>
        <w:ind w:firstLine="567"/>
        <w:jc w:val="both"/>
        <w:rPr>
          <w:rFonts w:ascii="Arial" w:hAnsi="Arial" w:cs="Arial"/>
        </w:rPr>
      </w:pPr>
      <w:r>
        <w:rPr>
          <w:rFonts w:ascii="Arial" w:hAnsi="Arial" w:cs="Arial"/>
        </w:rPr>
        <w:t xml:space="preserve">Территория завода состоит из трёх площадок площадью: кадастровый номер земельного участка 20-321-028-099, кадастровый номер земельного участка 20-321 08-100 и 20-321-028-101. Целевое назначение участков: для индустриальной зоны. </w:t>
      </w:r>
    </w:p>
    <w:p w14:paraId="53F7D2AA" w14:textId="77777777" w:rsidR="006F7556" w:rsidRDefault="006F7556" w:rsidP="006F7556">
      <w:pPr>
        <w:ind w:firstLine="567"/>
        <w:jc w:val="both"/>
        <w:rPr>
          <w:rFonts w:ascii="Arial" w:hAnsi="Arial" w:cs="Arial"/>
        </w:rPr>
      </w:pPr>
      <w:r>
        <w:rPr>
          <w:rFonts w:ascii="Arial" w:hAnsi="Arial" w:cs="Arial"/>
        </w:rPr>
        <w:t xml:space="preserve">После завершения строительства и ввода в эксплуатацию объекта, земле будут переданы в безвозмездное пользование от ТОО "Индустриальная зона" к ТОО «Astana Motors Manufacturing Kazakhstan» на основании натурного гранта. </w:t>
      </w:r>
    </w:p>
    <w:p w14:paraId="6559B233" w14:textId="77777777" w:rsidR="006F7556" w:rsidRDefault="006F7556" w:rsidP="006F7556">
      <w:pPr>
        <w:ind w:firstLine="567"/>
        <w:jc w:val="both"/>
        <w:rPr>
          <w:rFonts w:ascii="Arial" w:hAnsi="Arial" w:cs="Arial"/>
        </w:rPr>
      </w:pPr>
      <w:r>
        <w:rPr>
          <w:rFonts w:ascii="Arial" w:hAnsi="Arial" w:cs="Arial"/>
        </w:rPr>
        <w:t xml:space="preserve">Общая площадь земельного участка </w:t>
      </w:r>
    </w:p>
    <w:p w14:paraId="3D1644B1" w14:textId="77777777" w:rsidR="006F7556" w:rsidRDefault="006F7556" w:rsidP="006F7556">
      <w:pPr>
        <w:ind w:firstLine="567"/>
        <w:jc w:val="both"/>
        <w:rPr>
          <w:rFonts w:ascii="Arial" w:hAnsi="Arial" w:cs="Arial"/>
        </w:rPr>
      </w:pPr>
      <w:r>
        <w:rPr>
          <w:rFonts w:ascii="Arial" w:hAnsi="Arial" w:cs="Arial"/>
        </w:rPr>
        <w:t xml:space="preserve">- 308660 м.кв (30,866 га), из них: </w:t>
      </w:r>
    </w:p>
    <w:p w14:paraId="1A55FEF0" w14:textId="77777777" w:rsidR="006F7556" w:rsidRDefault="006F7556" w:rsidP="006F7556">
      <w:pPr>
        <w:ind w:firstLine="1134"/>
        <w:jc w:val="both"/>
        <w:rPr>
          <w:rFonts w:ascii="Arial" w:hAnsi="Arial" w:cs="Arial"/>
        </w:rPr>
      </w:pPr>
      <w:r>
        <w:rPr>
          <w:rFonts w:ascii="Arial" w:hAnsi="Arial" w:cs="Arial"/>
        </w:rPr>
        <w:t xml:space="preserve">- под застройкой – 98591,76 м.кв </w:t>
      </w:r>
    </w:p>
    <w:p w14:paraId="7021FF59" w14:textId="77777777" w:rsidR="006F7556" w:rsidRDefault="006F7556" w:rsidP="006F7556">
      <w:pPr>
        <w:ind w:firstLine="1134"/>
        <w:jc w:val="both"/>
        <w:rPr>
          <w:rFonts w:ascii="Arial" w:hAnsi="Arial" w:cs="Arial"/>
        </w:rPr>
      </w:pPr>
      <w:r>
        <w:rPr>
          <w:rFonts w:ascii="Arial" w:hAnsi="Arial" w:cs="Arial"/>
        </w:rPr>
        <w:t xml:space="preserve">- под твердым покрытием – 86765,75 м.кв </w:t>
      </w:r>
    </w:p>
    <w:p w14:paraId="634DE214" w14:textId="77777777" w:rsidR="006F7556" w:rsidRDefault="006F7556" w:rsidP="006F7556">
      <w:pPr>
        <w:ind w:firstLine="1134"/>
        <w:jc w:val="both"/>
        <w:rPr>
          <w:rFonts w:ascii="Arial" w:hAnsi="Arial" w:cs="Arial"/>
        </w:rPr>
      </w:pPr>
      <w:r>
        <w:rPr>
          <w:rFonts w:ascii="Arial" w:hAnsi="Arial" w:cs="Arial"/>
        </w:rPr>
        <w:t xml:space="preserve">- под озеленением – 19299 м.кв </w:t>
      </w:r>
    </w:p>
    <w:p w14:paraId="3DE71712" w14:textId="77777777" w:rsidR="006F7556" w:rsidRDefault="006F7556" w:rsidP="006F7556">
      <w:pPr>
        <w:ind w:firstLine="1134"/>
        <w:jc w:val="both"/>
        <w:rPr>
          <w:rFonts w:ascii="Arial" w:hAnsi="Arial" w:cs="Arial"/>
        </w:rPr>
      </w:pPr>
      <w:r>
        <w:rPr>
          <w:rFonts w:ascii="Arial" w:hAnsi="Arial" w:cs="Arial"/>
        </w:rPr>
        <w:t xml:space="preserve">- прочие площади – 4003,49 м.кв (подпорные стенки, рамп, полосы дорожного теста). </w:t>
      </w:r>
    </w:p>
    <w:p w14:paraId="656CE667" w14:textId="77777777" w:rsidR="006F7556" w:rsidRDefault="006F7556" w:rsidP="006F7556">
      <w:pPr>
        <w:ind w:firstLine="567"/>
        <w:jc w:val="both"/>
        <w:rPr>
          <w:rFonts w:ascii="Arial" w:hAnsi="Arial" w:cs="Arial"/>
        </w:rPr>
      </w:pPr>
      <w:r>
        <w:rPr>
          <w:rFonts w:ascii="Arial" w:hAnsi="Arial" w:cs="Arial"/>
        </w:rPr>
        <w:t xml:space="preserve">В 470 м к северу от площадки расположен завод по продаже лакокрасочных материалов "Радуга". В 400 м к востоку от участка расположено кладбище "Батыс", в 2.5 км к востоку от участка проходит ул. Саина. В 100 м к юго-востоку от участка расположен завод по производству газоблоков. В 170 м к югу от участка расположен завод по производству легковых автомобилей Hyundai Trans Kazakhstan. На расстоянии 50 м к западу от </w:t>
      </w:r>
      <w:r>
        <w:rPr>
          <w:rFonts w:ascii="Arial" w:hAnsi="Arial" w:cs="Arial"/>
        </w:rPr>
        <w:lastRenderedPageBreak/>
        <w:t xml:space="preserve">расположен склад готовой продукции автозавода "Hyundai Trans Kazakhstan" (наземная автостоянка, застройка отсутствует). К западу от проектируется завод Qazaq Stroy по производству теплоблоков. В 730 м к западу от участка расположен ПКСТ Теплоэнергетик ( садоводческое товарищество). В 6 км к югу от участка проходит проспект Турара Рыскулова. В 2,5 км к востоку от участка строительства по ул. Саина расположена Специализированная пожарная часть №19, однако на территории завода предусмотрено собственное пожарное депо на 2 машины. </w:t>
      </w:r>
    </w:p>
    <w:p w14:paraId="1DCFE798" w14:textId="77777777" w:rsidR="006F7556" w:rsidRDefault="006F7556" w:rsidP="006F7556">
      <w:pPr>
        <w:ind w:firstLine="567"/>
        <w:jc w:val="both"/>
        <w:rPr>
          <w:rFonts w:ascii="Arial" w:hAnsi="Arial" w:cs="Arial"/>
        </w:rPr>
      </w:pPr>
      <w:r>
        <w:rPr>
          <w:rFonts w:ascii="Arial" w:hAnsi="Arial" w:cs="Arial"/>
        </w:rPr>
        <w:t>Ближайшая селитебная зона расположена с западной стороны на расстоянии более 500 м от территории Завода, поселок «Рахат». Согласно материалам инвентаризации лесопатологического обследования земельных насаждений выполненных специалистами ИП «Алихан» в апреле 2023 года (приложение № 4), на участке произрастало 10 шт деревьев – Вяз приземистый. Санитарное состояние определенно – КОС-4 (усыхающие). На все деревья было получено разрешение КГУ «Управление экологии и охраны окружающей среды» на санитарную рубку (обрезку) за № KZ01VLQ00013077 от 12.04.2023. В порядке компенсационного восстановления было определённа посадка саженцев в количестве 100 шт, лиственных пород. Заключен договор с ИП «Алихан» от 10.04.2023 года на проведение работ по вырубки зеленых насаждений и компенсационной посадки указанной уполномоченным органом с получением всех необходимых разрешений и согласований с уполномоченным органом, согласно выданного разрешения на вырубку деревьев. В апреле 2023 года были проведены компенсационные посадки в полном объеме и приняты органом выдавшем разрешение.</w:t>
      </w:r>
    </w:p>
    <w:p w14:paraId="4BF47474" w14:textId="77777777" w:rsidR="006F7556" w:rsidRDefault="006F7556" w:rsidP="006F7556">
      <w:pPr>
        <w:ind w:firstLine="567"/>
        <w:jc w:val="both"/>
        <w:rPr>
          <w:rFonts w:ascii="Arial" w:hAnsi="Arial" w:cs="Arial"/>
        </w:rPr>
      </w:pPr>
      <w:r>
        <w:rPr>
          <w:rFonts w:ascii="Arial" w:hAnsi="Arial" w:cs="Arial"/>
          <w:noProof/>
          <w:lang w:eastAsia="ru-RU"/>
          <w14:ligatures w14:val="none"/>
        </w:rPr>
        <w:drawing>
          <wp:inline distT="0" distB="0" distL="0" distR="0" wp14:anchorId="5A896469" wp14:editId="63DDE6FC">
            <wp:extent cx="5743575" cy="3714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3575" cy="3714750"/>
                    </a:xfrm>
                    <a:prstGeom prst="rect">
                      <a:avLst/>
                    </a:prstGeom>
                    <a:noFill/>
                    <a:ln>
                      <a:noFill/>
                    </a:ln>
                  </pic:spPr>
                </pic:pic>
              </a:graphicData>
            </a:graphic>
          </wp:inline>
        </w:drawing>
      </w:r>
    </w:p>
    <w:p w14:paraId="7C2475DB" w14:textId="77777777" w:rsidR="006F7556" w:rsidRDefault="006F7556" w:rsidP="006F7556">
      <w:pPr>
        <w:ind w:firstLine="567"/>
        <w:jc w:val="both"/>
        <w:rPr>
          <w:rFonts w:ascii="Arial" w:hAnsi="Arial" w:cs="Arial"/>
        </w:rPr>
      </w:pPr>
      <w:r>
        <w:rPr>
          <w:rFonts w:ascii="Arial" w:hAnsi="Arial" w:cs="Arial"/>
        </w:rPr>
        <w:t>На рисунке № 1 представлена ситуационная схема</w:t>
      </w:r>
    </w:p>
    <w:p w14:paraId="1DCA4C18" w14:textId="77777777" w:rsidR="006F7556" w:rsidRDefault="006F7556" w:rsidP="006F7556">
      <w:pPr>
        <w:ind w:firstLine="567"/>
        <w:jc w:val="both"/>
        <w:rPr>
          <w:rFonts w:ascii="Arial" w:hAnsi="Arial" w:cs="Arial"/>
        </w:rPr>
      </w:pPr>
      <w:r>
        <w:rPr>
          <w:rFonts w:ascii="Arial" w:hAnsi="Arial" w:cs="Arial"/>
        </w:rPr>
        <w:t xml:space="preserve">Расположение завода показано на ситуационной карте в приложении 2 настоящего тома. </w:t>
      </w:r>
    </w:p>
    <w:p w14:paraId="74D6002B" w14:textId="77777777" w:rsidR="006F7556" w:rsidRDefault="006F7556" w:rsidP="006F7556">
      <w:pPr>
        <w:rPr>
          <w:rFonts w:ascii="Arial" w:hAnsi="Arial" w:cs="Arial"/>
        </w:rPr>
      </w:pPr>
    </w:p>
    <w:p w14:paraId="50D16E73" w14:textId="77777777" w:rsidR="006F7556" w:rsidRDefault="006F7556" w:rsidP="006F7556">
      <w:pPr>
        <w:pStyle w:val="a5"/>
        <w:rPr>
          <w:rFonts w:cs="Arial"/>
          <w:b/>
          <w:bCs/>
          <w:lang w:bidi="ru-RU"/>
        </w:rPr>
      </w:pPr>
      <w:bookmarkStart w:id="2" w:name="_Toc202166549"/>
      <w:r>
        <w:rPr>
          <w:rFonts w:cs="Arial"/>
          <w:b/>
          <w:bCs/>
          <w:lang w:bidi="ru-RU"/>
        </w:rPr>
        <w:t>1.2.Описание намечаемой деятельности</w:t>
      </w:r>
      <w:bookmarkEnd w:id="2"/>
    </w:p>
    <w:p w14:paraId="0D87234C" w14:textId="77777777" w:rsidR="006F7556" w:rsidRDefault="006F7556" w:rsidP="006F7556">
      <w:pPr>
        <w:spacing w:after="0"/>
        <w:ind w:firstLine="720"/>
        <w:jc w:val="both"/>
        <w:rPr>
          <w:rFonts w:ascii="Arial" w:hAnsi="Arial" w:cs="Arial"/>
        </w:rPr>
      </w:pPr>
      <w:r>
        <w:rPr>
          <w:rFonts w:ascii="Arial" w:hAnsi="Arial" w:cs="Arial"/>
          <w:b/>
        </w:rPr>
        <w:lastRenderedPageBreak/>
        <w:t>Основной вид деятельности Завода</w:t>
      </w:r>
      <w:r>
        <w:rPr>
          <w:rFonts w:ascii="Arial" w:hAnsi="Arial" w:cs="Arial"/>
          <w:bCs/>
        </w:rPr>
        <w:t xml:space="preserve"> – </w:t>
      </w:r>
      <w:r>
        <w:rPr>
          <w:rFonts w:ascii="Arial" w:hAnsi="Arial" w:cs="Arial"/>
        </w:rPr>
        <w:t>Основной вид деятельности Завода – это производству экологически чистых легковых автотранспортных средств, марки класса ЕВРО 6. С производственной мощностью до 90 000 автомобилей в год.</w:t>
      </w:r>
      <w:r>
        <w:rPr>
          <w:rFonts w:ascii="Arial" w:hAnsi="Arial" w:cs="Arial"/>
          <w:bCs/>
        </w:rPr>
        <w:t xml:space="preserve">  </w:t>
      </w:r>
    </w:p>
    <w:p w14:paraId="1461D535" w14:textId="77777777" w:rsidR="006F7556" w:rsidRDefault="006F7556" w:rsidP="006F7556">
      <w:pPr>
        <w:spacing w:after="0"/>
        <w:ind w:firstLine="720"/>
        <w:jc w:val="both"/>
        <w:rPr>
          <w:rFonts w:ascii="Arial" w:hAnsi="Arial" w:cs="Arial"/>
          <w:bCs/>
        </w:rPr>
      </w:pPr>
      <w:r>
        <w:rPr>
          <w:rFonts w:ascii="Arial" w:hAnsi="Arial" w:cs="Arial"/>
          <w:b/>
        </w:rPr>
        <w:t>Режим работы и штат предприятия</w:t>
      </w:r>
    </w:p>
    <w:p w14:paraId="083D0762" w14:textId="77777777" w:rsidR="006F7556" w:rsidRDefault="006F7556" w:rsidP="006F7556">
      <w:pPr>
        <w:pStyle w:val="ac"/>
        <w:ind w:firstLine="851"/>
        <w:jc w:val="both"/>
        <w:rPr>
          <w:rFonts w:ascii="Arial" w:eastAsiaTheme="minorHAnsi" w:hAnsi="Arial" w:cs="Arial"/>
          <w:bCs/>
          <w:sz w:val="22"/>
          <w:szCs w:val="22"/>
          <w:lang w:val="ru-RU"/>
        </w:rPr>
      </w:pPr>
      <w:r>
        <w:rPr>
          <w:rFonts w:ascii="Arial" w:hAnsi="Arial" w:cs="Arial"/>
          <w:sz w:val="22"/>
          <w:szCs w:val="22"/>
        </w:rPr>
        <w:t>Численность работников на Заводе составляет 3074 человек, из них: ИТР – 300, рабочих – 2774</w:t>
      </w:r>
      <w:r>
        <w:rPr>
          <w:rFonts w:ascii="Arial" w:eastAsiaTheme="minorHAnsi" w:hAnsi="Arial" w:cs="Arial"/>
          <w:bCs/>
          <w:sz w:val="22"/>
          <w:szCs w:val="22"/>
          <w:lang w:val="ru-RU"/>
        </w:rPr>
        <w:t>.</w:t>
      </w:r>
    </w:p>
    <w:p w14:paraId="2850E5C3" w14:textId="77777777" w:rsidR="006F7556" w:rsidRDefault="006F7556" w:rsidP="006F7556">
      <w:pPr>
        <w:pStyle w:val="ac"/>
        <w:ind w:firstLine="851"/>
        <w:jc w:val="both"/>
        <w:rPr>
          <w:rFonts w:ascii="Arial" w:eastAsia="Times New Roman" w:hAnsi="Arial" w:cs="Arial"/>
          <w:bCs/>
          <w:sz w:val="22"/>
          <w:szCs w:val="22"/>
          <w:lang w:eastAsia="ru-RU"/>
        </w:rPr>
      </w:pPr>
      <w:r>
        <w:rPr>
          <w:rFonts w:ascii="Arial" w:hAnsi="Arial" w:cs="Arial"/>
          <w:sz w:val="22"/>
          <w:szCs w:val="22"/>
        </w:rPr>
        <w:t>Рабочие 3 смены по 8 часов; ИТР 1 смена по 8 часов. 5 дней/неделю</w:t>
      </w:r>
    </w:p>
    <w:p w14:paraId="428B354B" w14:textId="77777777" w:rsidR="006F7556" w:rsidRDefault="006F7556" w:rsidP="006F7556">
      <w:pPr>
        <w:spacing w:after="0" w:line="240" w:lineRule="auto"/>
        <w:ind w:left="-426" w:firstLine="426"/>
        <w:jc w:val="both"/>
        <w:rPr>
          <w:rFonts w:ascii="Arial" w:hAnsi="Arial" w:cs="Arial"/>
        </w:rPr>
      </w:pPr>
      <w:r>
        <w:rPr>
          <w:rFonts w:ascii="Arial" w:hAnsi="Arial" w:cs="Arial"/>
        </w:rPr>
        <w:t>Электроснабжение - централизованное, от городских сетей, согласно ТУ;</w:t>
      </w:r>
    </w:p>
    <w:p w14:paraId="718854B6" w14:textId="77777777" w:rsidR="006F7556" w:rsidRDefault="006F7556" w:rsidP="006F7556">
      <w:pPr>
        <w:spacing w:after="0" w:line="240" w:lineRule="auto"/>
        <w:ind w:left="-426" w:firstLine="426"/>
        <w:jc w:val="both"/>
        <w:rPr>
          <w:rFonts w:ascii="Arial" w:hAnsi="Arial" w:cs="Arial"/>
        </w:rPr>
      </w:pPr>
      <w:r>
        <w:rPr>
          <w:rFonts w:ascii="Arial" w:hAnsi="Arial" w:cs="Arial"/>
        </w:rPr>
        <w:t>Газоснабжение - централизованное, от городских сетей, согласно ТУ;</w:t>
      </w:r>
    </w:p>
    <w:p w14:paraId="1626BB7D"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Водоснабжение – на хозяйственно питьевые нужды , согласно ТУ. На полив территории и зеленых насаждений осуществляется забор воды из собственной водозаборной скважины, согласование размещения БАБИ KZ38VRC00020914, Согласование удельных норм KZ46VUV00009966; </w:t>
      </w:r>
    </w:p>
    <w:p w14:paraId="66F35724"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Теплоснабжение и горячее водоснабжение– автономное от блочно-модульной котельной, изготовителя ТОО «KSM»». В котельной установлено восемь аналогичных котлов, оборудованных индивидуальной трубой. Общая мощность 32 600 кВт . </w:t>
      </w:r>
    </w:p>
    <w:p w14:paraId="2062EAC7"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Территория завода состоит из производственной, административно-хозяйственной, транспортно-складской зон и зоны вспомогательных объектов. </w:t>
      </w:r>
    </w:p>
    <w:p w14:paraId="0DD5A0F3"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На площадке предусмотрено строительство: </w:t>
      </w:r>
    </w:p>
    <w:p w14:paraId="578C36C9"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1. Контрольно-пропускные пункты – 4 поста; </w:t>
      </w:r>
    </w:p>
    <w:p w14:paraId="391E92D0"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2. Админимстративно-бытовой корпус; </w:t>
      </w:r>
    </w:p>
    <w:p w14:paraId="64F30E93"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3. Энергоблок в составе: - котельная; - резервуары хранения дизельного топлива для нужд котельной; - дизель-генераторные установки; - компрессорные; - градирня; - скважина. </w:t>
      </w:r>
    </w:p>
    <w:p w14:paraId="5B831583"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4. Резервуарный парк АЗС (топливохранилище для производства) в составе: - подземный резервуар хранения бензина, 2 Х 20 м3; - подземный резервуар хранения диз.топлива, 1 Х 5 м3; </w:t>
      </w:r>
    </w:p>
    <w:p w14:paraId="4EDD22F2"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5. Блочная контейнерная АЗС в составе: - встроенный резервуар хранения дизельного топлива, 7 м3; - однорукавная ТРК для отпуска дизельного топлива; </w:t>
      </w:r>
    </w:p>
    <w:p w14:paraId="14928E62" w14:textId="77777777" w:rsidR="006F7556" w:rsidRDefault="006F7556" w:rsidP="006F7556">
      <w:pPr>
        <w:spacing w:after="0" w:line="240" w:lineRule="auto"/>
        <w:ind w:left="-426" w:firstLine="426"/>
        <w:jc w:val="both"/>
        <w:rPr>
          <w:rFonts w:ascii="Arial" w:hAnsi="Arial" w:cs="Arial"/>
        </w:rPr>
      </w:pPr>
      <w:r>
        <w:rPr>
          <w:rFonts w:ascii="Arial" w:hAnsi="Arial" w:cs="Arial"/>
        </w:rPr>
        <w:t>6. Производственные площадки, которые состоят из следующих цехов:</w:t>
      </w:r>
    </w:p>
    <w:p w14:paraId="556D11BA"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6.1. Цех сварки в составе: - линия контактной точечной сварки; - линия сврки в среде углекислого газа; - слесарно-механический участок. </w:t>
      </w:r>
    </w:p>
    <w:p w14:paraId="544DFB63"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6.2. Цех окраски </w:t>
      </w:r>
    </w:p>
    <w:p w14:paraId="4EB1F79B" w14:textId="77777777" w:rsidR="006F7556" w:rsidRDefault="006F7556" w:rsidP="006F7556">
      <w:pPr>
        <w:spacing w:after="0" w:line="240" w:lineRule="auto"/>
        <w:ind w:left="-426" w:firstLine="426"/>
        <w:jc w:val="both"/>
        <w:rPr>
          <w:rFonts w:ascii="Arial" w:hAnsi="Arial" w:cs="Arial"/>
        </w:rPr>
      </w:pPr>
      <w:r>
        <w:rPr>
          <w:rFonts w:ascii="Arial" w:hAnsi="Arial" w:cs="Arial"/>
        </w:rPr>
        <w:t>6.2.1. Цех окраски кузовов в составе: - участок подготовки поверности кузовов; - участок нанесения ЛКМ с сушильными камерами; - окрасочная камера устранения мелких дефектов цеха покраски кузовов;</w:t>
      </w:r>
    </w:p>
    <w:p w14:paraId="1C74CBB4" w14:textId="77777777" w:rsidR="006F7556" w:rsidRDefault="006F7556" w:rsidP="006F7556">
      <w:pPr>
        <w:spacing w:after="0" w:line="240" w:lineRule="auto"/>
        <w:ind w:left="-426" w:firstLine="426"/>
        <w:jc w:val="both"/>
        <w:rPr>
          <w:rFonts w:ascii="Arial" w:hAnsi="Arial" w:cs="Arial"/>
        </w:rPr>
      </w:pPr>
      <w:r>
        <w:rPr>
          <w:rFonts w:ascii="Arial" w:hAnsi="Arial" w:cs="Arial"/>
        </w:rPr>
        <w:t>6.2.2. Цех окраски пластиковых изделий в составе: - участок подготовки изделий; - участок нанесения ЛКМ - сушильная камера; - участок полировки.</w:t>
      </w:r>
    </w:p>
    <w:p w14:paraId="47B77C6D"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6.2.3. очистные сооружения цеха окраски: - ЛОС цеха окраски кузовов; - станция коагуляции цеха окраски. - лаборатория автотехники; - участок устранения дефектов </w:t>
      </w:r>
    </w:p>
    <w:p w14:paraId="652D38BD"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6.3. Цех сборки - участок шасси; - участок финал; - лаборатория автотехники; </w:t>
      </w:r>
    </w:p>
    <w:p w14:paraId="12E68E05"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6.4 PDI цех устранения дефектов: - участок мойки автомобилей; - участок кузовного ремонта; - участок замены запасных частей; </w:t>
      </w:r>
    </w:p>
    <w:p w14:paraId="31E303C0"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7. Склад хранения собственных товаров: - гараж ричстакерной; - контейнерная площадка; - склад автокомпонентов. </w:t>
      </w:r>
    </w:p>
    <w:p w14:paraId="6D139D7C"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8. Административно-хозяйственый участок; </w:t>
      </w:r>
    </w:p>
    <w:p w14:paraId="248D9BDA" w14:textId="77777777" w:rsidR="006F7556" w:rsidRDefault="006F7556" w:rsidP="006F7556">
      <w:pPr>
        <w:spacing w:after="0" w:line="240" w:lineRule="auto"/>
        <w:ind w:left="-426" w:firstLine="426"/>
        <w:jc w:val="both"/>
        <w:rPr>
          <w:rFonts w:ascii="Arial" w:hAnsi="Arial" w:cs="Arial"/>
        </w:rPr>
      </w:pPr>
      <w:r>
        <w:rPr>
          <w:rFonts w:ascii="Arial" w:hAnsi="Arial" w:cs="Arial"/>
        </w:rPr>
        <w:t>9. Испытательный трек (трасса для испытания готовой продукции);</w:t>
      </w:r>
    </w:p>
    <w:p w14:paraId="67A0D322"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10. Склад готовой продукции на 528 ед. продукции; </w:t>
      </w:r>
    </w:p>
    <w:p w14:paraId="1FD0B07F"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11. Склад временного складирования производственных отходов; </w:t>
      </w:r>
    </w:p>
    <w:p w14:paraId="240FB641"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12.Очистные сооружения производственных сточных вод цеха окраски (гидрозавеса); </w:t>
      </w:r>
    </w:p>
    <w:p w14:paraId="09CFA559"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13. Очистные сооружения ливневых сточных вод; </w:t>
      </w:r>
    </w:p>
    <w:p w14:paraId="7E06F09D"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14. Площадка ТБО; </w:t>
      </w:r>
    </w:p>
    <w:p w14:paraId="6B49BA75"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15. Насосная станция пожаротушения (два резервуара по V-1000 м3); </w:t>
      </w:r>
    </w:p>
    <w:p w14:paraId="06830B6D"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16. Автопарковка для сотрудников на 200 ед </w:t>
      </w:r>
    </w:p>
    <w:p w14:paraId="6C59FDE1"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Поставка сырья и материалов на завод осуществляется автотранспортом, через организованные КПП расположенное в западной части завода. Поступающие товары делаться </w:t>
      </w:r>
      <w:r>
        <w:rPr>
          <w:rFonts w:ascii="Arial" w:hAnsi="Arial" w:cs="Arial"/>
        </w:rPr>
        <w:lastRenderedPageBreak/>
        <w:t xml:space="preserve">на кузовные контейнеры, агрегатные контейнеры и аксессуары. Кузовные контейнера поступают на отгрузку на склад хранения собственных товаров. Отгрузку осуществляет погрузчик, работы с контейнерами осуществляется – Ричстакерами. Отгруженные кузовные контейнера складируются на контейнерном терминале. Доставка контейнеров с контейнерного терминала на склад автокомпонентов осуществляется контейнеровозом, выгрузка осуществляться электрокарами. Пустой контейнер возвращается на контейнерный терминал, далее возвращается поставщику. </w:t>
      </w:r>
    </w:p>
    <w:p w14:paraId="536DA429"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Склад хранения собственных товаров: Оборудован дизельные кары - 5 ед, ричстакер – 2 ед. В техники установлены кислотно-щелочные аккумуляторы – не обслуживаемые (замена 1 раз в 2 года), заправка мобильной АЗС. </w:t>
      </w:r>
    </w:p>
    <w:p w14:paraId="303FA9D0"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Гараж (ричстакерная) – здание капитального строительства, для стоянка дизельных погрузчиков, ричстакер. Отопление электрическое. Агрегатные контейнера и аксессуары сразу поступают на склад автокомпонентов. Выгрузка осуществляется при помощи электрокар. Склад автокомпонентов, осуществляется перегрузка, перетаривание и хранение автокомпонентов. Хранение осуществляется на стеллажах и ярусным способом. Все жидкие и сыпучие материалы поступают в специализированной герметичной таре, перелив и расфасовка в цехе не осуществляется. Склад оборудован: электрокары – 12 ед. Аккумулятор Литий-ионный. Зарядка осуществляется на посту зарядке. </w:t>
      </w:r>
    </w:p>
    <w:p w14:paraId="15626024"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Цех сварки В Цеху осуществляется процесс производства кузовов автоматизированным способом и подготовка кузова к покраски. В цехе установлена приточно-вытяжная вентиляция. Выбросы осуществляются через две трубы на крыше здания Н-16 м, Ø800х800 мм. Так же на крыше установлены 4 дефлектора дымоудоления. Доставка комплектующих в цех осуществляется электрокарами склада автокомпонентов. Цех условно разделен на три участка. Комплектующие подаются на входной контроль, где осуществляется визуальный осмотр на наличие повреждений. Далее комплектующие устанавливаются на транспортировочную оснастку, которая представляет собой металлическую конструкцию на колесах, для каждого вида комплектующих соответственно. Процесс производства автоматизирован и представляет собой: посты обварки пола, боковых панелей, крыши, переднего щита, лонжеронов, кузова в сборе, линию сборки - где устанавливаются двери, капот, двери багажного отделения и п.р. навесные детали. Также в цехе производиться процесс нанесения на сваренный кузов антивибрационного материала, сварочного герметика и мастики. Основными видами сварки, применяемыми при изготовлении кузовов, являются контактная точечная сварка, с использованием колпачковых электродов. В местах, где невозможно применить контактную точечную сварку и для создания дополнительной жесткости кузова используют сварку в среде углекислого газа. Маркировки кузова, уникального номера (VIN автомобиля) осуществляется маркиратором, который работает ударно-точечным методом. </w:t>
      </w:r>
    </w:p>
    <w:p w14:paraId="7A0EF4CE"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Далее кузов направляется на участок технического контроля, для выявление возможных несоответствий и проверки качества работ/ сварных точек. На участке установлена дополнительное световое освещённые – световая рампа. Осмотр осуществляется визуально-тактильным методом, а так же устройствами для измерение зазоров и перепадов между деталями кузова (клиновидный щуп для зазоров и индикаторная головка для перепадов). </w:t>
      </w:r>
    </w:p>
    <w:p w14:paraId="2AD277BA"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После прохождения технического контроля кузов направляется в зону хранения готовых кузовов, где осуществляется подготовка кузовов для передачи в цех окраски - протирание от пыли и иных загрязнений спиртом протирочным и водорастворимым растворителем. При обнаружении несоответствий качества работ кузов направляется в зону устранения дефектов. В работе используется специализированный инструмент (молотки, выколотки, споттер и тд) и орбитальный шлифовальные машины. </w:t>
      </w:r>
    </w:p>
    <w:p w14:paraId="6747DBD5"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При проведении шлифовальных работ к оборудованию подключается малогабаритный мобильный пылеуловитель Rupes S130 PL с КПД 80 %. После устранения несоответствий кузов направляется в зону хранения готовых кузовов. </w:t>
      </w:r>
    </w:p>
    <w:p w14:paraId="4AC95C3C" w14:textId="77777777" w:rsidR="006F7556" w:rsidRDefault="006F7556" w:rsidP="006F7556">
      <w:pPr>
        <w:spacing w:after="0" w:line="240" w:lineRule="auto"/>
        <w:ind w:left="-426" w:firstLine="426"/>
        <w:jc w:val="both"/>
        <w:rPr>
          <w:rFonts w:ascii="Arial" w:hAnsi="Arial" w:cs="Arial"/>
        </w:rPr>
      </w:pPr>
      <w:r>
        <w:rPr>
          <w:rFonts w:ascii="Arial" w:hAnsi="Arial" w:cs="Arial"/>
        </w:rPr>
        <w:t>Слесарно-механический участок. На участке производятся мелко-срочные сварочные ремонты оборудования, а так же производство транспортировочной оснастки. При выполнении работ используют угловую шлифовальную машину (УШМ) по металлу и электродов МР3 Цех сварки оборудован: контактная точечная сварка – 96 сварочных пистолетов (сварочные клещи) - одновременность работы 70 %; орбитальная шлифовальная машин – 10 ед.; малогабаритный мобильный пылеуловитель Rupes S130 PL с КПД 80 %; сверлильный станок -1 ед; аппарат сварочный КЕДР – 2 ед; углошлифовальная машина – 4 ед.</w:t>
      </w:r>
    </w:p>
    <w:p w14:paraId="29E44C2E" w14:textId="77777777" w:rsidR="006F7556" w:rsidRDefault="006F7556" w:rsidP="006F7556">
      <w:pPr>
        <w:spacing w:after="0" w:line="240" w:lineRule="auto"/>
        <w:ind w:left="-426" w:firstLine="426"/>
        <w:jc w:val="both"/>
        <w:rPr>
          <w:rFonts w:ascii="Arial" w:hAnsi="Arial" w:cs="Arial"/>
        </w:rPr>
      </w:pPr>
      <w:r>
        <w:rPr>
          <w:rFonts w:ascii="Arial" w:hAnsi="Arial" w:cs="Arial"/>
        </w:rPr>
        <w:lastRenderedPageBreak/>
        <w:t xml:space="preserve">Цех окраски в цехе осуществляется нанесения защитного слоя и декоративного лакокрасочного покрытия на кузова и пластиковые деталей автомобиля, а так же подготовки к окончательной сборке автомобилей. Цех окраски включает в себя: </w:t>
      </w:r>
    </w:p>
    <w:p w14:paraId="364B4725" w14:textId="77777777" w:rsidR="006F7556" w:rsidRDefault="006F7556" w:rsidP="006F7556">
      <w:pPr>
        <w:spacing w:after="0" w:line="240" w:lineRule="auto"/>
        <w:ind w:left="-426" w:firstLine="426"/>
        <w:jc w:val="both"/>
        <w:rPr>
          <w:rFonts w:ascii="Arial" w:hAnsi="Arial" w:cs="Arial"/>
        </w:rPr>
      </w:pPr>
      <w:r>
        <w:rPr>
          <w:rFonts w:ascii="Arial" w:hAnsi="Arial" w:cs="Arial"/>
        </w:rPr>
        <w:t>1. Цех окраски кузовов В цехе организована приточная вентиляция. На крыше установлены 4 дефлектора дымоудоления Н – 16 Ø 800 мм. В цехе осуществляется нанесение защитного и декоративного лакокрасочного покрытия на кузова автомобилей и подготовки окрашенных кузовов к сборке.</w:t>
      </w:r>
    </w:p>
    <w:p w14:paraId="00F52665"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Цех разделен на Два участка: - участок подготовки включает в себя: линию подготовки поверхности кузовов, линию нанесения катафорезного грунта. Ванны 1 и 6 линии подготовки поверхности кузовов объединены в одну трубу с принудительной вытяжкой и выведены на крушу здания Н- 12 метров 40х40 см. Ванн 4 линии катафорезного грунта имеет индивидуальную трубу Н- 12 метров 40х40 см. Воздуховоды оборудованные тканевыми фильтрами, класса G 4, с коэффициентом грубой очистки (частицы более 10 мкм) до 70 % . - участок нанесения ЛКМ: участок нанесения мастики и герметика, участок дефектовки, камера нанесения ЛКМ, участок полировки кузова, два участка технического контроля, участок нанесения черной ленты, камера нанесения воска, камера устранения мелких дефектов, три сушильные камеры. </w:t>
      </w:r>
    </w:p>
    <w:p w14:paraId="57CE9CE6"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Все производственные процессы в зоне нанесения ЛКМ осуществляются в герметичных камерах оборудованных очистным сооружением по принципу оседания и фильтрации с коэффициентом очистки воздуха – 92 %. </w:t>
      </w:r>
    </w:p>
    <w:p w14:paraId="2C6603D7"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В процессе производственной деятельности в камерах образуется чрезмерное количество аэрозоля и пыли - туман. Туман подхватывается ламинарнымпотоком воздуха, перемещающимся сверху вниз. Затем через отверстия в полу воздух попадает в газоочиститель с соплом Вентури. Здесь загрязненный частицами лакокрасочных материалов воздух смешивается с мелкодисперсными частицами воды в турбулентном потоке, после чего скатывается по наклонным листам, проходит через сопло и ударяется в рассекатель. При этом происходит осаждение частиц лакокрасочных материалов. Очищенный от частиц лакокрасочных материалов воздух выпускается в атмосферу через выпускную вентиляцию на крыше цеха Н- 12 метром 100х100 см. Все частицы оседают на фильтрах, которые меняются согласно технологического регламента, не реже 1 раза в месяц. - вспомогательные помещения: установка для подготовки деминерализованной воды, склад материалов, помещение для подготовки краски, подготовки и подачи чистого воздуха в покрасочные камеры, лаборатория. Вытяжная вентиляция представлена индивидуальной принудительной вытяжной системой, выведенной на крышу здания Н- 12 метром 100х100 см, оборудованную тканевыми фильтрами, класса G 4, с коэффициентом грубой очистки (частицы более 10 мкм) до 70 % </w:t>
      </w:r>
    </w:p>
    <w:p w14:paraId="60AE1DB4" w14:textId="77777777" w:rsidR="006F7556" w:rsidRDefault="006F7556" w:rsidP="006F7556">
      <w:pPr>
        <w:spacing w:after="0" w:line="240" w:lineRule="auto"/>
        <w:ind w:left="-426" w:firstLine="426"/>
        <w:jc w:val="both"/>
        <w:rPr>
          <w:rFonts w:ascii="Arial" w:hAnsi="Arial" w:cs="Arial"/>
        </w:rPr>
      </w:pPr>
      <w:r>
        <w:rPr>
          <w:rFonts w:ascii="Arial" w:hAnsi="Arial" w:cs="Arial"/>
        </w:rPr>
        <w:t>С цеха сварки кузова на металлической тележке подаются на участок приема кузовов, где осуществляется:</w:t>
      </w:r>
    </w:p>
    <w:p w14:paraId="12B670FD"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 - визуальный и тактильный осмотр на наличие несоответствий;</w:t>
      </w:r>
    </w:p>
    <w:p w14:paraId="7C195147"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 мойка кузова от пыли с применение Karcher, аппаратом высокого давления. </w:t>
      </w:r>
    </w:p>
    <w:p w14:paraId="725019E9"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Мойка осуществляется водой с добавлением слабо– щелочного водного раствора Gardoclean S 5411 (гидроксид калия), станция оборудована оборотным водоснабжением; - продувка кузова воздухом для удаления воды; - устанавливаются оснаски – фиксаторы, для проникновения катафорезного грунта во внутренние части кузова. </w:t>
      </w:r>
    </w:p>
    <w:p w14:paraId="05FEE913"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Участок подготовки После цеха сварки подготовленный кузов фиксируется на подъемнике и подается на линию подготовки поверхности кузовов. Линия работает полностью в автоматическом режиме и представляет собой закрытый туннель, в котором расположены 10 технологических ванн (9 рабочих и 1 резервная (аварийная): </w:t>
      </w:r>
    </w:p>
    <w:p w14:paraId="1F4020E5"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1. Погружная горячая промывочная ванна V-69 м3, t 50-55 0С. Процесс глубокой очистки поверхности кузова после цеха сварки от продуктов обработки металла, c добавлением водного раствора Gardobond H 7141 (гидроксид натрия 25%); </w:t>
      </w:r>
    </w:p>
    <w:p w14:paraId="7A3AC45C"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2. Погружная ванна обезжиривания V-69 м3, t 55-50 0С. Ванна заполнена водой с добавлением растворов Gardoclean S 5411 (гидроксид калия) и Gardobond H 7406 (жидкое хозяйственное мыло); </w:t>
      </w:r>
    </w:p>
    <w:p w14:paraId="3B8BEF17" w14:textId="77777777" w:rsidR="006F7556" w:rsidRDefault="006F7556" w:rsidP="006F7556">
      <w:pPr>
        <w:spacing w:after="0" w:line="240" w:lineRule="auto"/>
        <w:ind w:left="-426" w:firstLine="426"/>
        <w:jc w:val="both"/>
        <w:rPr>
          <w:rFonts w:ascii="Arial" w:hAnsi="Arial" w:cs="Arial"/>
        </w:rPr>
      </w:pPr>
      <w:r>
        <w:rPr>
          <w:rFonts w:ascii="Arial" w:hAnsi="Arial" w:cs="Arial"/>
        </w:rPr>
        <w:t>3. Спрейная промывочная ванна V -6,6 м3, промыв осуществляется форсуночным способом (распыление) водного раствора Gardobond H 7141 (гидроксид натрия 25%) и Gardobond H 7004 (водный раствор нитрита натрия);</w:t>
      </w:r>
    </w:p>
    <w:p w14:paraId="02600DF7" w14:textId="77777777" w:rsidR="006F7556" w:rsidRDefault="006F7556" w:rsidP="006F7556">
      <w:pPr>
        <w:spacing w:after="0" w:line="240" w:lineRule="auto"/>
        <w:ind w:left="-426" w:firstLine="426"/>
        <w:jc w:val="both"/>
        <w:rPr>
          <w:rFonts w:ascii="Arial" w:hAnsi="Arial" w:cs="Arial"/>
        </w:rPr>
      </w:pPr>
      <w:r>
        <w:rPr>
          <w:rFonts w:ascii="Arial" w:hAnsi="Arial" w:cs="Arial"/>
        </w:rPr>
        <w:lastRenderedPageBreak/>
        <w:t xml:space="preserve"> 4. Погружная промывочная ванна V -69 м3. Ванна заполнена водой с добавлением растворов Gardobond H 7141 (гидроксид натрия 25%) и Gardobond H 7004 (раствор нитрита натрия);</w:t>
      </w:r>
    </w:p>
    <w:p w14:paraId="3A047095"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 5. Ванна активации V-69 м3. Ванна заполнена водой с добавлением Gardobond H 7141 (гидроксид натрия 25%), Gardobond H 7004 (раствор нитрита натрия) и Gardolene V 6513 (порошковый активатор); </w:t>
      </w:r>
    </w:p>
    <w:p w14:paraId="575FD248"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6. Погружная ванна фосфатирования V-75 м3, t 45-60 0С,с добавлением водных растворов Gardobond 24 ТА/24 ТЕ (фосфаты), Gardobond H 7004 (раствор нитрита натрия), Gardobond H 7256 (фториды) и Gardobond H 7141 (гидроксид натрия 25%); </w:t>
      </w:r>
    </w:p>
    <w:p w14:paraId="1212EFF2"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7. Погружная промывочная ванна V-67 м3 с водный раствор Gardobond H 7141 (гидроксид натрия 25%) и Gardobond H 7004 (раствор нитрита натрия); </w:t>
      </w:r>
    </w:p>
    <w:p w14:paraId="7B8BDDF1"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8. Погружная промывочная ванна V-67 м3 , промыв осуществляется водой, без добавления химии; </w:t>
      </w:r>
    </w:p>
    <w:p w14:paraId="3FCE6E3F"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9. Спрейная промывочная ванна V -6,6 м3, промыв осуществляется форсуночным способом (распыление) водным раствором Gardobond H 7561 (перекись водорода). </w:t>
      </w:r>
    </w:p>
    <w:p w14:paraId="6D683EED"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Далее подготовленный кузов подается на линию нанесения катафорезного грунта, методом электроосаждения. Линия состоит из 5 технологических ванн (4 рабочих и 1 резервная (аварийная): </w:t>
      </w:r>
    </w:p>
    <w:p w14:paraId="5342F458"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1. Погружная ванна электроосождения – катафорез V-75 м3, t 32-34 0С. Катафорез представляет собой электролитическую ванну, в которой в растворенном виде находятся частички грунта. К металлической детали подключается анод, который заряжает ее отрицательной энергией. К корпусу ванной подсоединяется катод, который активирует растворенные частички грунта. Осуществляется с добавлением пастообразных связующих реагентов (грунт) и пигментная паста (краситель); </w:t>
      </w:r>
    </w:p>
    <w:p w14:paraId="4AA4C3B0" w14:textId="77777777" w:rsidR="006F7556" w:rsidRDefault="006F7556" w:rsidP="006F7556">
      <w:pPr>
        <w:spacing w:after="0" w:line="240" w:lineRule="auto"/>
        <w:ind w:left="-426" w:firstLine="426"/>
        <w:jc w:val="both"/>
        <w:rPr>
          <w:rFonts w:ascii="Arial" w:hAnsi="Arial" w:cs="Arial"/>
        </w:rPr>
      </w:pPr>
      <w:r>
        <w:rPr>
          <w:rFonts w:ascii="Arial" w:hAnsi="Arial" w:cs="Arial"/>
        </w:rPr>
        <w:t>2. Спрей ванна с промывкой УФ с каскадом в ванну катафореза V-7 м3, предназначена для твердых частиц, оставшихся на кузове после прохождения ванны погружения;</w:t>
      </w:r>
    </w:p>
    <w:p w14:paraId="2DF40A1C"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3. Погружная промывочная ванна V-53 м3 , промыв осуществляется водой, без добавления химии; </w:t>
      </w:r>
    </w:p>
    <w:p w14:paraId="06349F7B"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4. Спрей ванна промывочная осуществляется форсуночным способом (распыление) промыв осуществляется водой, без добавления химии; После прохождения линии нанесения катафореза кузов направляется на зону выгрузки, где обработанный кузов устанавливается на металлическую тележку и подается в сушильную камеру катафореза на 30 минут при температуре 190 0С, работающую на природном газе, резервное топливо не предусмотрено. В камере установлен котел марки Ovenpak 400 TOP с производительной мощностью 222 кВт с КПД 92 %. Выброс осуществляется через индивидуальную трубу выведенную на крышу здания Н- 11 метров 40х40 см </w:t>
      </w:r>
    </w:p>
    <w:p w14:paraId="2BD6D3DA"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Участок нанесения ЛКМ Просушенный кузов направляется на участок нанесения мастики и герметика - 4 поста. Мастика и герметик наносится на сварные швы и стыки во избежание проникновения воды и коррозии, так же это способствует снижению уровня шума при движении готового автомобиля. </w:t>
      </w:r>
    </w:p>
    <w:p w14:paraId="6B8A2570"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Далее кузов поступает в сушильную камеру мастики на 25 минут при температуре 150 0С. Необходимая температура в сушильной камере создается инфракрасными ламповыми обогревателями, как источник направленного обогрева, за счет того что инфракрасные обогреватели нагревают не воздух, а предметы, на которые попадает излучение нагревателя. Выброс осуществляется через индивидуальную трубу выведенную на крышу здания Н- 12 метров 40х40 см. </w:t>
      </w:r>
    </w:p>
    <w:p w14:paraId="2DCB3253"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Затем кузов поступает на участок дефектовки – 3 поста. На участке осуществляется зачистка и подготовка кузова к нанесения лакокрасочного материала. Для зачистки используется шлифовальная шкурка на бумажной основе, абразивные круги, специализированные тканевые салфетки. </w:t>
      </w:r>
    </w:p>
    <w:p w14:paraId="67565EB6" w14:textId="77777777" w:rsidR="006F7556" w:rsidRDefault="006F7556" w:rsidP="006F7556">
      <w:pPr>
        <w:spacing w:after="0" w:line="240" w:lineRule="auto"/>
        <w:ind w:left="-426" w:firstLine="426"/>
        <w:jc w:val="both"/>
        <w:rPr>
          <w:rFonts w:ascii="Arial" w:hAnsi="Arial" w:cs="Arial"/>
        </w:rPr>
      </w:pPr>
      <w:r>
        <w:rPr>
          <w:rFonts w:ascii="Arial" w:hAnsi="Arial" w:cs="Arial"/>
        </w:rPr>
        <w:t>Далее кузов обдувается воздухом и подается в камеру нанесения ЛКМ:</w:t>
      </w:r>
    </w:p>
    <w:p w14:paraId="777C4DAC"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 1. Пост подготовки кузова к нанесению ЛКМ, включает в себя обезжиривание водным спиртовым раствором, протирание антистатическими липкими салфетками на текстильной основе много разового использования и продувка воздухом; </w:t>
      </w:r>
    </w:p>
    <w:p w14:paraId="76BCAC5A"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2. Пост нанесения грунта – 2 поста (нанесение на внутренние части кузова и нанесение на внешние части кузова). Посты оборудованы 12 электростатическими краскопультами. Процесс электростатической окраски заключается в направлении распыленных и электростатически </w:t>
      </w:r>
      <w:r>
        <w:rPr>
          <w:rFonts w:ascii="Arial" w:hAnsi="Arial" w:cs="Arial"/>
        </w:rPr>
        <w:lastRenderedPageBreak/>
        <w:t xml:space="preserve">заряженных частиц краски к заземленному элементу, который нужно окрасить. Частицы распыляемой краски заряжены отрицательно, а окрашенный объект является положительным электродом. </w:t>
      </w:r>
    </w:p>
    <w:p w14:paraId="3F2CF60D"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3. Пост растекания. На данном участке кузов оставляется при естественных условиях для просушивания верхнего слоя. Время простоя 10 минут. Далее кузов направляется в сушильную камеру ЛКМ, работающую на природном газе, резервное топливо не предусмотрено В камере установлен котел марки Ovenpak 400, оборудованный 3 горелками с производительной мощностью 222 кВт каждая. Общая производительность 666 кВт КПД 92%. Выброс осуществляется через индивидуальную трубу выведенную на крышу здания Н- 12 метров 40х40 см. Просушенный кузов возвращается на участок дефектовки, для проверки нанесения грунта, качества просушки, зачистка и подготовка кузова к нанесения основного цвета – базовой эмали и лака. </w:t>
      </w:r>
    </w:p>
    <w:p w14:paraId="3AE82637"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4. Пост нанесения базовой эмали и лака. На посту осуществляется нанесение основного цвета. Посты оборудованы 28 электростатическими краскопультами. </w:t>
      </w:r>
    </w:p>
    <w:p w14:paraId="770EEF7B"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Далее кузов подается обратно в сушильную камеры участка нанесения грунта для просыхания. Просушенный кузов подается на участок полировки кузова, полировка осуществляется ручным и машинным способом с использованием специализированных безворсянных полировочных полотенец с использованием воскового полироля. </w:t>
      </w:r>
    </w:p>
    <w:p w14:paraId="13064A48"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Далее кузов поступает на участок первичного технического контроля для выявление возможных несоответствий и проверки качества работ. На участке установлена дополнительное световое освещённые – световая рампа. Осмотр осуществляется визуально-тактильным методом, же специализированное устройство для измерения равномерности нанесения слоев – электронный толщиномер. </w:t>
      </w:r>
    </w:p>
    <w:p w14:paraId="735C64B9"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После прохождения технического контроля кузов направляется на участок нанесения черной ленты, лента представляет собой самоклеящуюся прорезиненную ленту. Затем кузов поступает в камеру нанесения воска. Воск наноситься локально при помощи специализированных пистолетов, для дополнительной защиты от коррозии отдельных частей кузова. </w:t>
      </w:r>
    </w:p>
    <w:p w14:paraId="3A9112BB"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Далее кузов направляется на участок финального технического контроля. После прохождения технического контроля и оформления документации, кузов направляется в цех сборки. При обнаружении несоответствий качества работ, кузов направляется в камеру устранения мелких дефектов. Работы включают себя мелкую шлифовку, краскопульты локального нанесения. </w:t>
      </w:r>
    </w:p>
    <w:p w14:paraId="6A885DC8" w14:textId="77777777" w:rsidR="006F7556" w:rsidRDefault="006F7556" w:rsidP="006F7556">
      <w:pPr>
        <w:spacing w:after="0" w:line="240" w:lineRule="auto"/>
        <w:ind w:left="-426" w:firstLine="426"/>
        <w:jc w:val="both"/>
        <w:rPr>
          <w:rFonts w:ascii="Arial" w:hAnsi="Arial" w:cs="Arial"/>
        </w:rPr>
      </w:pPr>
      <w:r>
        <w:rPr>
          <w:rFonts w:ascii="Arial" w:hAnsi="Arial" w:cs="Arial"/>
        </w:rPr>
        <w:t>После устранения дефектов кузов направляется на участок сушки мелких дефектов. Сушка осуществляется инфракрасными ламповыми обогревателями. Вентиляция камера устранения мелких дефектов объединена с камерой нанесения воска и выведена на крышу здания Н- 12 метром 100х100 см.</w:t>
      </w:r>
    </w:p>
    <w:p w14:paraId="0C82B74C"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Далее на участок финального технического контроля. После прохождения технического контроля и оформления документации, кузов направляется в цех сборки. После передачи кузовов в цех сборки, освобожденные тележки возвращаются в цех окраски кузов и оправляются в камеру очистки тележек. Очистка осуществляется струёй воды под высоким давлением без применения моющих средств. Камера оборудовано оборотным водоснабжением. </w:t>
      </w:r>
    </w:p>
    <w:p w14:paraId="0DBE98D5"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Вспомогательные помещения. </w:t>
      </w:r>
    </w:p>
    <w:p w14:paraId="63F9DC06" w14:textId="77777777" w:rsidR="006F7556" w:rsidRDefault="006F7556" w:rsidP="006F7556">
      <w:pPr>
        <w:spacing w:after="0" w:line="240" w:lineRule="auto"/>
        <w:ind w:left="-426" w:firstLine="426"/>
        <w:jc w:val="both"/>
        <w:rPr>
          <w:rFonts w:ascii="Arial" w:hAnsi="Arial" w:cs="Arial"/>
        </w:rPr>
      </w:pPr>
      <w:r>
        <w:rPr>
          <w:rFonts w:ascii="Arial" w:hAnsi="Arial" w:cs="Arial"/>
        </w:rPr>
        <w:t>установка для подготовки деминерализованной воды, Деминерализованная вода, производимая на участке очистки воды, необходима для реализации технологических процессов в окрасочном цехе. Заводская вода, поступающая для деминерализации, последовательно обрабатывается в следующих системах: система очистки воды и система обратного осмоса.</w:t>
      </w:r>
    </w:p>
    <w:p w14:paraId="037AB850" w14:textId="77777777" w:rsidR="006F7556" w:rsidRDefault="006F7556" w:rsidP="006F7556">
      <w:pPr>
        <w:spacing w:after="0" w:line="240" w:lineRule="auto"/>
        <w:ind w:left="-426" w:firstLine="426"/>
        <w:jc w:val="both"/>
        <w:rPr>
          <w:rFonts w:ascii="Arial" w:hAnsi="Arial" w:cs="Arial"/>
        </w:rPr>
      </w:pPr>
      <w:r>
        <w:rPr>
          <w:rFonts w:ascii="Arial" w:hAnsi="Arial" w:cs="Arial"/>
        </w:rPr>
        <w:t>склад материалов - предназначены для суточного хранения материалов, используемых в цехе окраски кузовов: склад PV, помещение для хранения материалов, используемых на линии подготовки поверхности, помещение для хранения вспомогательных материалов и помещение для хранения запасных частей для технологического оборудования.</w:t>
      </w:r>
    </w:p>
    <w:p w14:paraId="15FD7848"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помещение для подготовки краски (Н- 10 метров 40х40 см) В помещении для подготовки краски установлено оборудование (14 резервуаров со смесительным устройством вместимостью 100 л), подающее базовую эмаль в покрасочную камеру. Каждый из резервуаров снабжен пневматическим насосом, нагнетающим краску и растворители по трубопроводам в покрасочные камеры. Для контроля максимального и минимального уровня в резервуарах </w:t>
      </w:r>
      <w:r>
        <w:rPr>
          <w:rFonts w:ascii="Arial" w:hAnsi="Arial" w:cs="Arial"/>
        </w:rPr>
        <w:lastRenderedPageBreak/>
        <w:t xml:space="preserve">применяются уровнемеры. Подготовки и подачи чистого воздуха в покрасочные камеры отдельно стоящая установка. Воздух отбирается из атмосферы через жалюзийные решетки оборудованные тканевыми фильтрами и направляется в блоки подготовки воздуха. </w:t>
      </w:r>
    </w:p>
    <w:p w14:paraId="37FC23DF"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Цех окраски пластиковых изделий В цехе организована приточная вентиляция и выведена в бок здания Н-14 Ø 800 мм. На крыше установлены 2 дефлектора дымоудоления Н – 16 Ø 800 мм. В цехе осуществляется нанесение защитного и декоративного лакокрасочного покрытия на пластиковые изделия автомобиля (накладки заднего и переднего бампера, зеркала заднего вида, дверные ручки и т.д.) и подготовки окрашенных пластиковых изделий к сборке. Линия автоматизирована. Пластиковые детали поставляются в цех со склада на Участок разгрузки деталей, где осуществляется визуальный и тактильный входной контроль. Разгрузка и размещение пластиковых изделий на стеллажи производиться ручным способом. Пластиковые изделия устанавливаются на специализированные металлические оснастки на автоматическом конвейер, фиксация осуществляется липкой лентой. Далее по ленте (конвейер) детали подаются на участок подготовки, где осуществляется продув сжатым воздухом (воздух подается с компрессорной станции установленной на территории завода), протирка липкой антистатической салфеткой I-TACK super (Chicopee), салфетками для протирки Kimberly-Clark 7622 смоченной в антисиликоновом растворителе «Марка В». Далее по конвейеру пластиковые детали попадают в камеру подготовки пластиковых изделий, где происходит отжиг деталей для повышения адгезии открытым огнем при помощи роботизированного манипулятора «YASKAWA» горелкой модели RS-38, мощность 33 кв, потребность 0,3 м3 работающего на природном газе, резервное топливо не предусмотрено. Время работы 8 ч/сут, 200 ч/год. Выброс осуществляется через индивидуальную трубу, выведенную на крышу здания Н – 12 м, Ø 100х100 см. Далее деталь перемещается в камеру нанесения праймера (грунта), где осуществляется нанесение защитного слоя на пластиковое изделия методом «мокрым по мокрому». Нанесение осуществляется в два слоя пневматическим пистолетом 2 пистолета (марки DeVilbiss и 1 пистолет AirPro.) Далее по конвейеру поступают в камеру нанесения базы – нанесение базового слоя эмали (основной цвет изделия). Нанесения базы на поверхность детали осуществляется пневматическим распылением с помощью пистолета 2 пистолета (марки DeVilbiss и 1 пистолет AirPro.) в 2 слоя способом «мокрым по мокрому». Затем детали направляются в камеру нанесения лака- методом нанесения «мокрым по мокрому». Нанесение осуществляется в два слоя пневматическим пистолетом 2 пистолета (марки DeVilbiss и 1 пистолет AirPro.). После нанесения лака детали направляются в камеру растекания на 15-20 минут, где осуществляется просушка верхнего слоя при естественных условиях. Затем конвейер направляется в сушильную печь, которая состоит из двух зон: зона 1- сушка (температура 85 0С), зона 2 – закрепление (температура 87-88 0С). Сушильная печь работает на природном газе, резервное топливо не предусмотрено. Максимальная мощность 440 кВт с КПД 92 %, потребление 44 м3. Время работы 8 ч/сут, 200 ч/год Выброс осуществляется через индивидуальную трубу выведенную на крышу здания Н – 12 м, Ø 100х100 см. </w:t>
      </w:r>
    </w:p>
    <w:p w14:paraId="5EF8E0F3"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Далее детали размещают на транспортировочный стеллаж и отправляют на участок технического контроля, для выявление возможных несоответствий и проверки качества работ. На участке установлена дополнительное световое освещённые – световая рампа. Осмотр осуществляется визуально-тактильным методом. После прохождения технического контроля детали направляются в цех сборки кузовов. При обнаружении несоответствий качества работ таких как сорность, наплывы, шагрень т.п. детали направляется в зону устранения дефектов – участок полировки. На участке осуществляется перегрузка пластиковой детали на полировочном столе, визуальное определение характера дефекта и метода их устранения. Шлифовка деталей вручную при помощи шлифовальной машинки с оправкой и шлифовальным кругом. Шлифовка вручную листами или с помощью ручной губки поверхности деталей, в труднодоступных местах. Протирка пластиковых деталей от шлифовальной пыли салфетками, смоченными в воде. Обдув деталей сжатым воздухом от остатков влаги, с помощью пистолета для обдува, сжатый воздух подается с компрессорной установленной на территории завода). Шлифовка и полировка деталей после повторной покраски. После устранения несоответствий детали повторно направляются на участок технического контроля. Детали имеющие значительные дефекты типа растекания основы, повышенную сорность, кратеры, проколы, грубые царапины отмечают липкой лентой с буквой «Б» и отправляют в изолятор брака. Перед началом работы и после проведения работ все лакокрасочное оборудование проходит обслуживание: продувка шлангов, мойка покрасочных пистолетов растворителем. Все </w:t>
      </w:r>
      <w:r>
        <w:rPr>
          <w:rFonts w:ascii="Arial" w:hAnsi="Arial" w:cs="Arial"/>
        </w:rPr>
        <w:lastRenderedPageBreak/>
        <w:t xml:space="preserve">производственные процессы по нанесению ЛКМ в цехе осуществляются в герметичных камерах оборудованных аналогичными очистным сооружением. Очищенный от частиц лакокрасочных материалов воздух выпускается в атмосферу через выпускную вентиляцию на крыше цеха Н- 12 метром 100х100 см. Вспомогательные участки: - краска подготовительное отделение (КПО) – 4 ед для каждой камеры. ЛКМ поступает на завод в готовом виде, смешивание и вывод новых цветов не осуществляется. Подача ЛКМ в камеры осуществляется по пневмосистеме закрытого типа. На бочки с краской устанавливается герметичная крышка с соплами, которые постоянно размешивают краску; - склад, осуществляется хранение суточной потребности в расходных материалах; - комната отдыха;- cан.узлы. </w:t>
      </w:r>
    </w:p>
    <w:p w14:paraId="0CDABA4C"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Очистные сооружения цеха окраски - Локальные очистные сооружения (ЛОС). Подача воздуха через оконные проемы в количестве 5 штук, выброс через вытяжной вентилятор 2 шт, Н- 6 м, Ø500 мм После прохождения производственного цикла, вода с участка приема кузовов, линию подготовки поверхности кузовов, линию нанесения катафорезного грунта  поступает в локальные очистные сооружения цеха окраски кузовов (ЛОС), для очистки перед сбросом в очистные сооружения промышленных сточных вод завода. Все коогулянты доставляются на Завод в жидком виде. Очистка включает в себя 6 стадий: </w:t>
      </w:r>
    </w:p>
    <w:p w14:paraId="3E29BE4A"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1. Станция V-85 м3, удаление органических соединений путем добавления коогулянтов: гардопур (порошковый уголь активированный). На станцию поступает отработанная вода с линию подготовки поверхности кузовов с 1 по 6 ванну и зону подготовки кузова; </w:t>
      </w:r>
    </w:p>
    <w:p w14:paraId="6275FE10"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2. Станция V-85 м3- корректировка рН. Поступает вода со станции 1. Очистка с добавлением жидкова натрий-гидроксида 33%; </w:t>
      </w:r>
    </w:p>
    <w:p w14:paraId="63A09C34"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3. Станция коагуляции - корректировка рН. Поступают стоки со станции 1, линию подготовки поверхности кузовов с 7 по 9 ванну и линию нанесения катафорезного грунта с 13 по 14 ванну. Добавляется жидкое хлорное железо 40 %; </w:t>
      </w:r>
    </w:p>
    <w:p w14:paraId="2395626A"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4. Станция хлопьеобразования, где осуществляется смешивание с добавлением диализированной воды и флокулянтов для образования хлопьев. Затем методом осаждения шлам- пастообразный (хлопья) осаждаются, чистая вода переливается на следующую станцию, методом перелива (каскада); </w:t>
      </w:r>
    </w:p>
    <w:p w14:paraId="34ED4916"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5. Станция шлам сбора. на станции осуществляется сбор шлама, далее поступает на фильтр-прессе, где шлам отделяется от воды до сухой консистенции. Шлам направляется на специализированным организациям, вода возвращается на станцию № 2. </w:t>
      </w:r>
    </w:p>
    <w:p w14:paraId="0E199CE6"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6. Финальный контроль. станция сбора очищенной воды, для проведения контроля образцов перед сбросом на очистные сооружения промышленных сточных вод завода. В случай не соответствия рН, воду добавляется электролит. - Станция коагуляции цеха окраски. Подача воздуха через оконные проемы в количестве 5 штук, выброс через вытяжной вентилятор 3 шт, Н- 6 м, Ø500 мм После прохождения производственного цикла, вода с зоны нанесения ЛКМ цеха окраски кузов, цеха окраски пластиковых изделий и камеры очистки тележек воды с опилом поступают на станцию коагуляции для очистки и повторного использования. </w:t>
      </w:r>
    </w:p>
    <w:p w14:paraId="07A4D71C"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Очистные сооружения представляют собой технический резервуар V-113 м3. Для очистки воды добавляются жидкие коагулянты и флокулянт для хлопьеобразования. После добавления химии осаждение частиц лакокрасочных материалов и опила связываются и образуют пастообразную смесь, плотность которых больше плотности воды, за счет чего связанные частицы поднимаются на поверхность резервуара. Сбор массы осуществляется специализированными сетчатыми уловителями, упаковываются в герметичную металлическую тару и отправляются на уничтожение согласно договора. Очищенная вода направляется на повторное использование. </w:t>
      </w:r>
    </w:p>
    <w:p w14:paraId="59DCFF73"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Энергоблок Блочно-модульная котельная (БМК) предназначена для централизованного теплоснабжения и горячего водоснабжения объекта, при котором источник тепла и обслуживаемые им потребители находятся в пределах одного здания, его части или нескольких близко расположенных зданий. </w:t>
      </w:r>
    </w:p>
    <w:p w14:paraId="0E40B40D"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Котельная транспортабельная «ВИКТОРИЯ» БМК тип 2 мощностью 32 600кВт. </w:t>
      </w:r>
    </w:p>
    <w:p w14:paraId="6347FEF5"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Основной вид топлива – природный газ, резервное – дизельное топливо. </w:t>
      </w:r>
    </w:p>
    <w:p w14:paraId="5C0CEB99"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В котельной установлено восемь аналогичных котлов, оборудованных индивидуальной трубой. Общая мощность 32 600 кВт: 2 котла по 3700 кВт, 6 котлов по 4200 кВт. Каждый котел имеет индивидуальную трубу, которые объединены в один коллектор, высота 21,7 метра, диаметр 500 мм устья. Одновременно в работе семь котлов (переменная работа). </w:t>
      </w:r>
    </w:p>
    <w:p w14:paraId="76B72A50" w14:textId="77777777" w:rsidR="006F7556" w:rsidRDefault="006F7556" w:rsidP="006F7556">
      <w:pPr>
        <w:spacing w:after="0" w:line="240" w:lineRule="auto"/>
        <w:ind w:left="-426" w:firstLine="426"/>
        <w:jc w:val="both"/>
        <w:rPr>
          <w:rFonts w:ascii="Arial" w:hAnsi="Arial" w:cs="Arial"/>
        </w:rPr>
      </w:pPr>
      <w:r>
        <w:rPr>
          <w:rFonts w:ascii="Arial" w:hAnsi="Arial" w:cs="Arial"/>
        </w:rPr>
        <w:lastRenderedPageBreak/>
        <w:t xml:space="preserve">Резервуары хранения дизельного топлива котельных 5 ед. Резервуары хранения дизельного топлива для котельных организованы непосредственно по месту требования: котельная № 1 и дизель-генератора общезаводского. Установлен 1 (один) подземный резервуар объемом 18,8 м.куб; котельная № 2 две подземные стальные горизонтальные емкости объемом 7,5 куб.м каждая; котельная № 3 две надземные стальные горизонтальные емкости объемом 10 куб.м каждая. Прием топлива из автоцистерн в резервуары осуществляется через сливные устройства, состоящие из сливной муфты и фильтра. Сливное устройство обеспечивает герметичный слив топлива в резервуары хранения. Сливное устройство установлено на верхнем конце сливной трубы. Нижний конец сливной трубы обрезан под углом 450 и установлен на высоте 150мм от дна резервуара (немного ниже приемного клапана всасывающего устройства). В результате этого обеспечивается залив нефтепродукта под слой, происходит снижение выброса углеводородов на 50%. В настоящем проекте «НДВ» принят средний коэффициент снижения выбросов согласно приложению  - РНД 211.2.02.09-2004г. </w:t>
      </w:r>
    </w:p>
    <w:p w14:paraId="6BDF482E"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Дизель- генераторные установки – 6 ед Для резервного электроснабжения в период пиковой нагрузки, а так же на случай аварийного отключения электроэнергии установлены шесть дизель генераторных установок: - резервный общезаводской, марка AKSA, мощность 660 kW, производитель Турция, КПД, расход дизельного топлива 161 л.час. </w:t>
      </w:r>
    </w:p>
    <w:p w14:paraId="6FE0F622"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Модульная дизель-генераторная установка со встроенным баком, объемом 1000л; - для линии катафореза, марка DAEHAN, мощность 120 кВА, производитель Корея, расход дизельного топлива 26 л.час. </w:t>
      </w:r>
    </w:p>
    <w:p w14:paraId="244F6612" w14:textId="77777777" w:rsidR="006F7556" w:rsidRDefault="006F7556" w:rsidP="006F7556">
      <w:pPr>
        <w:spacing w:after="0" w:line="240" w:lineRule="auto"/>
        <w:ind w:left="-426" w:firstLine="426"/>
        <w:jc w:val="both"/>
        <w:rPr>
          <w:rFonts w:ascii="Arial" w:hAnsi="Arial" w:cs="Arial"/>
        </w:rPr>
      </w:pPr>
      <w:r>
        <w:rPr>
          <w:rFonts w:ascii="Arial" w:hAnsi="Arial" w:cs="Arial"/>
        </w:rPr>
        <w:t>Модульная дизель-генераторная установка со встроенным баком, объемом 200 л.; - электроснабжение центрального пункта наблюдения, марки ADD150R, Номинальная мощность 125 кВА, Производитель Китай, КПД 80%, расход дизельного топлива 23 л.час.</w:t>
      </w:r>
    </w:p>
    <w:p w14:paraId="150B93CA"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Модульная дизель-генераторная установка со встроенным баком, объемом 241 л; - электроснабжение котельной, марки ADD225R, Номинальная мощность - 225 кВА, производитель Китай, КПД 80%. </w:t>
      </w:r>
    </w:p>
    <w:p w14:paraId="7831584A"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Модульная дизель-генераторная установка со встроенным баком, объемом 309 л, расход дизельного топлива 38 л.час; - электроснабжение склада готовой продукции марки ADD225R, номинальная мощность - 225 кВА, производитель - Китай, КПД 80%. </w:t>
      </w:r>
    </w:p>
    <w:p w14:paraId="1814F9A9"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Модульная дизель генераторная установка со встроенным баком, объемом 309 л, расход дизельного топлива 38 л.час; - для пожарно-насосной станции марка AKSA, мощность 750 кВА, производитель Турция, КПД, расход дизельного топлива 180 л.час. </w:t>
      </w:r>
    </w:p>
    <w:p w14:paraId="77BA75B9"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Модульная дизель-генераторная установка со встроенным баком, объемом 1000л. </w:t>
      </w:r>
    </w:p>
    <w:p w14:paraId="4743364A"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Градирня – 1 ед предназначена для охлаждения воды отходящей от сварочных аппаратов цеха сварки, оборотная вода в системе – 3 м.куб. Охлаждение этилен-гликолем. Обслуживание и дозаправка осуществляется за территорией завода,  специализированной организацией. Долив воды осуществляется 1 раз в неделю 0,1 %. </w:t>
      </w:r>
    </w:p>
    <w:p w14:paraId="788686ED" w14:textId="77777777" w:rsidR="006F7556" w:rsidRDefault="006F7556" w:rsidP="006F7556">
      <w:pPr>
        <w:spacing w:after="0" w:line="240" w:lineRule="auto"/>
        <w:ind w:left="-426" w:firstLine="426"/>
        <w:jc w:val="both"/>
        <w:rPr>
          <w:rFonts w:ascii="Arial" w:hAnsi="Arial" w:cs="Arial"/>
        </w:rPr>
      </w:pPr>
      <w:r>
        <w:rPr>
          <w:rFonts w:ascii="Arial" w:hAnsi="Arial" w:cs="Arial"/>
        </w:rPr>
        <w:t>Компрессорная – 3 ед Для обеспечения сжатым воздухам, для работы подъемников и производственного оборудования установленны 3 безмасленных компрессора, компании Ingersoll Rand. Мощность 12 тыс.литров/мин. Дозаправка и обслуживание 1раз в 3 месяца. Одновременно в работе два.</w:t>
      </w:r>
    </w:p>
    <w:p w14:paraId="5BF32E54"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Блочная контейнерная АЗС Блочная АЗС представляет собой блочно-контейнерную автозаправочную станцию, предназначенная для хранения и отпуск дизельного топлива для заправки спец.автотранспорта ограниченного передвижения, осуществляющего свою работу только на территории завода, такую как: автокары (подъемники), ричстакер, трактор и т.д. АЗС оборудовано резервуаром хранения V – 7 м3, однорукавная топливораздаточная колонка с производительностью налива 50 л/мин. Резервуарный парк АЗС (топливохранилище для производства) Резервуарные парк и АЗС предназначена для заправки только нового автотранспорта на производстве. При заполнении резервуара ГСМ, отпуск единичным потребителям не производиться. Резервуарный парк АЗС Установлено 2 (два) стальных горизонтальных резервуаров, подземного исполнения для хранения ГСМ общий объем – 35 м.куб, из них: 2х15 м.куб – хранение бензина (АИ-92, АИ-95), 1х10 м.куб – дизельное топливо (летнее/зимнее). Резервуары выполнен в соответствии с действующими СНиПами и противопожарными нормами, оснащена быстроразъемной муфтой типа МС-1, дыхательным клапаном СМДК-50, патрубком для залива и слива дизтоплива с огневым предохранителем ОП-50. Установленные резервуары соответствуют СН РК 3.05-07-2012 - в железобетонном кожухе на песчаной подушке с последующей засыпкой песком по всей высоте с уклоном 0.004 в </w:t>
      </w:r>
      <w:r>
        <w:rPr>
          <w:rFonts w:ascii="Arial" w:hAnsi="Arial" w:cs="Arial"/>
        </w:rPr>
        <w:lastRenderedPageBreak/>
        <w:t xml:space="preserve">сторону приемного клапана всасывающего устройства. Для обнаружения утечек в железобетонном кожухе предусмотрены смотровые трубы, зачистные патрубками и дыхательные устройства. Корпус колодца жестко крепится к корпусу резервуара. Для предохранения от коррозии поверхность резервуара и колодца в покрывается антикоррозийной изоляцией согласно действующим нормам. В целях предохранения от действия статических электрических зарядов и блуждающих токов резервуары оборудованы специальным заземлением. Поставка нефтепродуктов осуществляется бензовозами по прямым договорам. Объем одного бензовоза составляет 12 м3. Одновременно сливается одна автоцистерна. При сливе бензина из автоцистерны производительность заполнения (насоса бензовоза) равна 16 м3/час. Время слива одной автоцистерны составляет 30 минут. Прием топлива из автоцистерн в резервуары осуществляется через сливные устройства, состоящие из сливной муфты и фильтра. Сливное устройство обеспечивает герметичный слив топлива в резервуары хранения. Сливное устройство установлено на верхнем конце сливной трубы. Нижний конец сливной трубы обрезан под углом 450 и установлен на высоте 150мм от дна резервуара (немного ниже приемного клапана всасывающего устройства). В результате этого обеспечивается залив нефтепродукта под слой, происходит снижение выброса углеводородов на 50%. В настоящем проекте «НДВ» принят средний коэффициент снижения выбросов согласно приложению 18 - РНД 211.2.02.09-2004г.  При приеме топлива в резервуары герметичный слив осуществляться через быстроразъемные безпроливные помпы и фильтры, предотвращающие попадание в резервуары механических примесей и обеспечивающие отсутствие проливов. Зачистка резервуаров производиться 1 раз в 3 года, согласно п.п 3 п 232 пар.3 «Правил обеспечения промышленной безопасности при эксплуатации и ремонте резервуаров для нефти и нефтепродуктов» Утверждены приказом Министра по чрезвычайным ситуациям Республики Казахстан от 15 июня 2021 года № 286. </w:t>
      </w:r>
    </w:p>
    <w:p w14:paraId="1B452CA7"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Административно-хозяйственый участок. Для поддержания чистоты (смет с территории, транспортировка производственных отходов, уборка снега и т.д.) используется следующая техника: - работающая на бензине: газонокосилки – 3 ед, триммеры- 5 ед, мотокос-2ед, минитрактор «Беларус» - 2 ед; - на дизельном топливе: Трактор «Беларус» - 1 ед; - дизельная кара – 2 ед. </w:t>
      </w:r>
    </w:p>
    <w:p w14:paraId="47CEB7DE" w14:textId="77777777" w:rsidR="006F7556" w:rsidRDefault="006F7556" w:rsidP="006F7556">
      <w:pPr>
        <w:spacing w:after="0" w:line="240" w:lineRule="auto"/>
        <w:ind w:left="-426" w:firstLine="426"/>
        <w:jc w:val="both"/>
        <w:rPr>
          <w:rFonts w:ascii="Arial" w:hAnsi="Arial" w:cs="Arial"/>
        </w:rPr>
      </w:pPr>
      <w:r>
        <w:rPr>
          <w:rFonts w:ascii="Arial" w:hAnsi="Arial" w:cs="Arial"/>
        </w:rPr>
        <w:t xml:space="preserve">Испытательный трек (трасса для испытания готовой продукции) Для испытания новых автомобилей, с восточной стороны территории завода имеется испытательный трек. Испытанию подвергается каждый новый автомобиль, сошедший со сборочной линии. Только после проведения испытания, новый автомобиль располагается на складе готовой продукции. </w:t>
      </w:r>
    </w:p>
    <w:p w14:paraId="60709823" w14:textId="77777777" w:rsidR="006F7556" w:rsidRDefault="006F7556" w:rsidP="006F7556">
      <w:pPr>
        <w:spacing w:after="0" w:line="240" w:lineRule="auto"/>
        <w:ind w:left="-426" w:firstLine="426"/>
        <w:jc w:val="both"/>
      </w:pPr>
      <w:r>
        <w:rPr>
          <w:rFonts w:ascii="Arial" w:hAnsi="Arial" w:cs="Arial"/>
        </w:rPr>
        <w:t>Очистные сооружения ливневых сточных вод. Дождевые стоки собираются бетонными монолитными лотками и сбрасываются в приёмный колодец и далее по трубопроводу подаются в распределительный колодец, который устроен таким образом что первые и самые загрязнённые стоки подаются насосной станцией на очистные сооружения, а остальные стоки сбрасываются в коллектор внеплощадочной ливневой канализации. Стоки после очистки на очистных сооружениях также сбрасываются в коллектор внеплощадочной ливневой канализации. Для самотечных сетей канализации используются трубы полипропиленовые 2-х слойные гофрированные SN12 ГОСТ Р 54475-2011, для напорных сетей полиэтиленовые трубы SDR 11 HDPE 100 ГОСТ 18599-2001. 20 Для очистки поверхностных стоков на площадке завода предусмотрены очистные сооружения компании SALHER (Модель: CHC-SH-L-2 -70). Очистные сооружения представляют из себя два параллельно установленных модуля изготовленных из стеклоармированых полимеров производительностью 70 л/сек каждый и двух распределительных колодцев, установленных на входе и выходе из очистных сооружений. Характеристики каждого модуля: • Марка Salher, модель CHC-SH-L-2-70. Класс I, выходная концентрация - ниже 5 ppm. • С встроенной песколовкой-отстойником для твердых частиц. • Параметры соответствуют европейской норме DIN 1999 и EN 858. • Установка производится из стеклоармированного полиэфира из ортофталевых смол. • Отсеки сепарации масел и нефтепродуктов, отстаивания частиц и сбора сепарированных нефтепродуктов. • Сепарированные нефтепродукты аккумулируются на поверхности воды. • Коалесцентные пластины с большой удельной поверхностью: 240 м2/м3. • Олеофильный фильтр и автоматическое запорное устройство с поплавком. • Извлечение сепарированных нефтепродуктов через верхний люк. • Подводящий и отводящий патрубки из ПВХ. Вентиляционный выход в люке для монтажа вентиляционной трубы</w:t>
      </w:r>
      <w:r>
        <w:t>.</w:t>
      </w:r>
    </w:p>
    <w:p w14:paraId="39A4DB1D" w14:textId="77777777" w:rsidR="00FC3C45" w:rsidRDefault="00FC3C45"/>
    <w:sectPr w:rsidR="00FC3C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A70D44"/>
    <w:multiLevelType w:val="multilevel"/>
    <w:tmpl w:val="576EB15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0316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37"/>
    <w:rsid w:val="00174223"/>
    <w:rsid w:val="003C7B7F"/>
    <w:rsid w:val="006F7556"/>
    <w:rsid w:val="00765B37"/>
    <w:rsid w:val="00AF64EB"/>
    <w:rsid w:val="00FC3C4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7C9ED3-74D4-4206-A053-8C8F4BB29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556"/>
    <w:pPr>
      <w:spacing w:line="256" w:lineRule="auto"/>
    </w:pPr>
    <w:rPr>
      <w:lang w:val="ru-RU"/>
    </w:rPr>
  </w:style>
  <w:style w:type="paragraph" w:styleId="1">
    <w:name w:val="heading 1"/>
    <w:basedOn w:val="a"/>
    <w:next w:val="a"/>
    <w:link w:val="10"/>
    <w:uiPriority w:val="9"/>
    <w:qFormat/>
    <w:rsid w:val="00765B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65B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65B3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65B3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65B3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65B3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5B3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5B3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5B3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5B3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65B3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65B3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65B3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65B3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65B3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65B37"/>
    <w:rPr>
      <w:rFonts w:eastAsiaTheme="majorEastAsia" w:cstheme="majorBidi"/>
      <w:color w:val="595959" w:themeColor="text1" w:themeTint="A6"/>
    </w:rPr>
  </w:style>
  <w:style w:type="character" w:customStyle="1" w:styleId="80">
    <w:name w:val="Заголовок 8 Знак"/>
    <w:basedOn w:val="a0"/>
    <w:link w:val="8"/>
    <w:uiPriority w:val="9"/>
    <w:semiHidden/>
    <w:rsid w:val="00765B3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65B37"/>
    <w:rPr>
      <w:rFonts w:eastAsiaTheme="majorEastAsia" w:cstheme="majorBidi"/>
      <w:color w:val="272727" w:themeColor="text1" w:themeTint="D8"/>
    </w:rPr>
  </w:style>
  <w:style w:type="paragraph" w:styleId="a3">
    <w:name w:val="Title"/>
    <w:aliases w:val="Заголовок1,Название2"/>
    <w:basedOn w:val="a"/>
    <w:next w:val="a"/>
    <w:link w:val="a4"/>
    <w:qFormat/>
    <w:rsid w:val="00765B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65B37"/>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765B3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65B3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65B37"/>
    <w:pPr>
      <w:spacing w:before="160"/>
      <w:jc w:val="center"/>
    </w:pPr>
    <w:rPr>
      <w:i/>
      <w:iCs/>
      <w:color w:val="404040" w:themeColor="text1" w:themeTint="BF"/>
    </w:rPr>
  </w:style>
  <w:style w:type="character" w:customStyle="1" w:styleId="22">
    <w:name w:val="Цитата 2 Знак"/>
    <w:basedOn w:val="a0"/>
    <w:link w:val="21"/>
    <w:uiPriority w:val="29"/>
    <w:rsid w:val="00765B37"/>
    <w:rPr>
      <w:i/>
      <w:iCs/>
      <w:color w:val="404040" w:themeColor="text1" w:themeTint="BF"/>
    </w:rPr>
  </w:style>
  <w:style w:type="paragraph" w:styleId="a7">
    <w:name w:val="List Paragraph"/>
    <w:basedOn w:val="a"/>
    <w:uiPriority w:val="34"/>
    <w:qFormat/>
    <w:rsid w:val="00765B37"/>
    <w:pPr>
      <w:ind w:left="720"/>
      <w:contextualSpacing/>
    </w:pPr>
  </w:style>
  <w:style w:type="character" w:styleId="a8">
    <w:name w:val="Intense Emphasis"/>
    <w:basedOn w:val="a0"/>
    <w:uiPriority w:val="21"/>
    <w:qFormat/>
    <w:rsid w:val="00765B37"/>
    <w:rPr>
      <w:i/>
      <w:iCs/>
      <w:color w:val="0F4761" w:themeColor="accent1" w:themeShade="BF"/>
    </w:rPr>
  </w:style>
  <w:style w:type="paragraph" w:styleId="a9">
    <w:name w:val="Intense Quote"/>
    <w:basedOn w:val="a"/>
    <w:next w:val="a"/>
    <w:link w:val="aa"/>
    <w:uiPriority w:val="30"/>
    <w:qFormat/>
    <w:rsid w:val="00765B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65B37"/>
    <w:rPr>
      <w:i/>
      <w:iCs/>
      <w:color w:val="0F4761" w:themeColor="accent1" w:themeShade="BF"/>
    </w:rPr>
  </w:style>
  <w:style w:type="character" w:styleId="ab">
    <w:name w:val="Intense Reference"/>
    <w:basedOn w:val="a0"/>
    <w:uiPriority w:val="32"/>
    <w:qFormat/>
    <w:rsid w:val="00765B37"/>
    <w:rPr>
      <w:b/>
      <w:bCs/>
      <w:smallCaps/>
      <w:color w:val="0F4761" w:themeColor="accent1" w:themeShade="BF"/>
      <w:spacing w:val="5"/>
    </w:rPr>
  </w:style>
  <w:style w:type="character" w:customStyle="1" w:styleId="11">
    <w:name w:val="Заголовок Знак1"/>
    <w:aliases w:val="Заголовок1 Знак,Название2 Знак"/>
    <w:uiPriority w:val="10"/>
    <w:rsid w:val="006F7556"/>
    <w:rPr>
      <w:rFonts w:ascii="Arial" w:eastAsia="Times New Roman" w:hAnsi="Arial"/>
      <w:b/>
      <w:bCs/>
      <w:sz w:val="36"/>
      <w:szCs w:val="24"/>
      <w:u w:val="single"/>
      <w:lang w:val="en-GB" w:eastAsia="en-US"/>
    </w:rPr>
  </w:style>
  <w:style w:type="paragraph" w:styleId="ac">
    <w:name w:val="Plain Text"/>
    <w:aliases w:val="Текст Знак Char Char,Текст Знак1 Знак,Текст Знак2 Знак1 Знак Знак,Текст Знак1 Знак Знак Знак Знак,Текст Знак Знак Знак Знак Знак Знак,Текст Знак2 Знак1 Знак Знак Знак Знак Знак,Текст Знак1 Знак1,Текст Знак2 Знак Знак,З"/>
    <w:basedOn w:val="a"/>
    <w:link w:val="ad"/>
    <w:unhideWhenUsed/>
    <w:qFormat/>
    <w:rsid w:val="006F7556"/>
    <w:rPr>
      <w:rFonts w:ascii="Consolas" w:eastAsia="Calibri" w:hAnsi="Consolas"/>
      <w:sz w:val="21"/>
      <w:szCs w:val="21"/>
      <w:lang w:val="x-none"/>
    </w:rPr>
  </w:style>
  <w:style w:type="character" w:customStyle="1" w:styleId="ad">
    <w:name w:val="Текст Знак"/>
    <w:aliases w:val="Текст Знак Char Char Знак1,Текст Знак1 Знак Знак1,Текст Знак2 Знак1 Знак Знак Знак1,Текст Знак1 Знак Знак Знак Знак Знак1,Текст Знак Знак Знак Знак Знак Знак Знак1,Текст Знак2 Знак1 Знак Знак Знак Знак Знак Знак1,Текст Знак1 Знак1 Знак,З Знак"/>
    <w:basedOn w:val="a0"/>
    <w:link w:val="ac"/>
    <w:rsid w:val="006F7556"/>
    <w:rPr>
      <w:rFonts w:ascii="Consolas" w:eastAsia="Calibri" w:hAnsi="Consolas"/>
      <w:sz w:val="21"/>
      <w:szCs w:val="21"/>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6841</Words>
  <Characters>38996</Characters>
  <Application>Microsoft Office Word</Application>
  <DocSecurity>0</DocSecurity>
  <Lines>324</Lines>
  <Paragraphs>91</Paragraphs>
  <ScaleCrop>false</ScaleCrop>
  <Company/>
  <LinksUpToDate>false</LinksUpToDate>
  <CharactersWithSpaces>45746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Aizura Aitymova</dc:creator>
  <cp:keywords/>
  <dc:description/>
  <cp:lastModifiedBy>Aizura Aitymova</cp:lastModifiedBy>
  <cp:revision>3</cp:revision>
  <dcterms:created xsi:type="dcterms:W3CDTF">2025-07-08T02:57:00Z</dcterms:created>
  <dcterms:modified xsi:type="dcterms:W3CDTF">2025-07-08T02:58:00Z</dcterms:modified>
</cp:coreProperties>
</file>