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D5A4" w14:textId="74B05DE3" w:rsidR="00012B95" w:rsidRPr="009208C8" w:rsidRDefault="00B84279" w:rsidP="00B84279">
      <w:pPr>
        <w:jc w:val="center"/>
        <w:rPr>
          <w:rFonts w:ascii="Arial" w:hAnsi="Arial" w:cs="Arial"/>
          <w:b/>
          <w:bCs/>
          <w:color w:val="000000"/>
          <w:spacing w:val="2"/>
          <w:shd w:val="clear" w:color="auto" w:fill="FFFFFF"/>
          <w:lang w:val="ru-RU"/>
        </w:rPr>
      </w:pPr>
      <w:r w:rsidRPr="009208C8">
        <w:rPr>
          <w:rFonts w:ascii="Arial" w:hAnsi="Arial" w:cs="Arial"/>
          <w:b/>
          <w:bCs/>
          <w:color w:val="000000"/>
          <w:spacing w:val="2"/>
          <w:shd w:val="clear" w:color="auto" w:fill="FFFFFF"/>
          <w:lang w:val="ru-RU"/>
        </w:rPr>
        <w:t>Н</w:t>
      </w:r>
      <w:r w:rsidRPr="009208C8">
        <w:rPr>
          <w:rFonts w:ascii="Arial" w:hAnsi="Arial" w:cs="Arial"/>
          <w:b/>
          <w:bCs/>
          <w:color w:val="000000"/>
          <w:spacing w:val="2"/>
          <w:shd w:val="clear" w:color="auto" w:fill="FFFFFF"/>
        </w:rPr>
        <w:t>етехническое резюме к проектной документации</w:t>
      </w:r>
    </w:p>
    <w:p w14:paraId="2DEF84E4" w14:textId="77777777" w:rsidR="000E29BA" w:rsidRPr="000E29BA" w:rsidRDefault="000E29BA" w:rsidP="000E29BA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bookmarkStart w:id="0" w:name="_Hlk203051186"/>
      <w:r w:rsidRPr="000E29BA">
        <w:rPr>
          <w:rFonts w:ascii="Arial" w:eastAsia="Times New Roman" w:hAnsi="Arial" w:cs="Arial"/>
          <w:kern w:val="0"/>
          <w:lang w:val="kk-KZ" w:eastAsia="ru-RU"/>
          <w14:ligatures w14:val="none"/>
        </w:rPr>
        <w:t>Корректировка п</w:t>
      </w:r>
      <w:r w:rsidRPr="000E29BA">
        <w:rPr>
          <w:rFonts w:ascii="Arial" w:eastAsia="Times New Roman" w:hAnsi="Arial" w:cs="Arial"/>
          <w:kern w:val="0"/>
          <w:lang w:val="ru-RU" w:eastAsia="ru-RU"/>
          <w14:ligatures w14:val="none"/>
        </w:rPr>
        <w:t>роект</w:t>
      </w:r>
      <w:r w:rsidRPr="000E29BA">
        <w:rPr>
          <w:rFonts w:ascii="Arial" w:eastAsia="Times New Roman" w:hAnsi="Arial" w:cs="Arial"/>
          <w:kern w:val="0"/>
          <w:lang w:val="kk-KZ" w:eastAsia="ru-RU"/>
          <w14:ligatures w14:val="none"/>
        </w:rPr>
        <w:t>а</w:t>
      </w:r>
      <w:r w:rsidRPr="000E29BA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bookmarkEnd w:id="0"/>
      <w:r w:rsidRPr="000E29BA">
        <w:rPr>
          <w:rFonts w:ascii="Arial" w:eastAsia="Times New Roman" w:hAnsi="Arial" w:cs="Arial"/>
          <w:kern w:val="0"/>
          <w:lang w:val="ru-RU" w:eastAsia="ru-RU"/>
          <w14:ligatures w14:val="none"/>
        </w:rPr>
        <w:t>нормативов допустимых выбросов загрязняющих веществ в атмосферный воздух на месторождении Кульжан на 2025 год для ТОО «Meerbusch» выполнен ТОО «Рекорд Консалт».</w:t>
      </w:r>
    </w:p>
    <w:p w14:paraId="58C9DDFE" w14:textId="77777777" w:rsidR="000E29BA" w:rsidRPr="000E29BA" w:rsidRDefault="000E29BA" w:rsidP="000E29BA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val="kk-KZ" w:eastAsia="ru-RU"/>
          <w14:ligatures w14:val="none"/>
        </w:rPr>
      </w:pPr>
      <w:r w:rsidRPr="000E29BA">
        <w:rPr>
          <w:rFonts w:ascii="Arial" w:eastAsia="Times New Roman" w:hAnsi="Arial" w:cs="Arial"/>
          <w:kern w:val="0"/>
          <w:lang w:val="kk-KZ" w:eastAsia="ru-RU"/>
          <w14:ligatures w14:val="none"/>
        </w:rPr>
        <w:t>Разработка корректировки проекта нормативов допустимых выбросов (НДВ) в атмосферный воздух на 2025 год для ТОО «Meerbusch» обусловлена необходимостью учета новых источников выбросов, вводимых в эксплуатацию в рамках следующих проектов, разработанных в составе разделов «Оценка воздействия на окружающую среду» (РООС):</w:t>
      </w:r>
    </w:p>
    <w:p w14:paraId="535637D5" w14:textId="77777777" w:rsidR="000E29BA" w:rsidRPr="000E29BA" w:rsidRDefault="000E29BA" w:rsidP="000E29BA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val="kk-KZ" w:eastAsia="ru-RU"/>
          <w14:ligatures w14:val="none"/>
        </w:rPr>
      </w:pPr>
      <w:r w:rsidRPr="000E29BA">
        <w:rPr>
          <w:rFonts w:ascii="Arial" w:eastAsia="Times New Roman" w:hAnsi="Arial" w:cs="Arial"/>
          <w:kern w:val="0"/>
          <w:lang w:val="kk-KZ" w:eastAsia="ru-RU"/>
          <w14:ligatures w14:val="none"/>
        </w:rPr>
        <w:t>•«Модернизация скважин месторождения Кульжан»;</w:t>
      </w:r>
    </w:p>
    <w:p w14:paraId="2DA8C910" w14:textId="77777777" w:rsidR="000E29BA" w:rsidRPr="000E29BA" w:rsidRDefault="000E29BA" w:rsidP="000E29BA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val="kk-KZ" w:eastAsia="ru-RU"/>
          <w14:ligatures w14:val="none"/>
        </w:rPr>
      </w:pPr>
      <w:r w:rsidRPr="000E29BA">
        <w:rPr>
          <w:rFonts w:ascii="Arial" w:eastAsia="Times New Roman" w:hAnsi="Arial" w:cs="Arial"/>
          <w:kern w:val="0"/>
          <w:lang w:val="kk-KZ" w:eastAsia="ru-RU"/>
          <w14:ligatures w14:val="none"/>
        </w:rPr>
        <w:t>•«Система сбора и транспорта газа месторождения Кульжан. Расширение»;</w:t>
      </w:r>
    </w:p>
    <w:p w14:paraId="3F3626C1" w14:textId="77777777" w:rsidR="000E29BA" w:rsidRPr="000E29BA" w:rsidRDefault="000E29BA" w:rsidP="000E29BA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val="kk-KZ" w:eastAsia="ru-RU"/>
          <w14:ligatures w14:val="none"/>
        </w:rPr>
      </w:pPr>
      <w:r w:rsidRPr="000E29BA">
        <w:rPr>
          <w:rFonts w:ascii="Arial" w:eastAsia="Times New Roman" w:hAnsi="Arial" w:cs="Arial"/>
          <w:kern w:val="0"/>
          <w:lang w:val="kk-KZ" w:eastAsia="ru-RU"/>
          <w14:ligatures w14:val="none"/>
        </w:rPr>
        <w:t>•«Строительство площадки с подъездной дорогой и обустройство скважины №126 месторождения Кульжан».</w:t>
      </w:r>
    </w:p>
    <w:p w14:paraId="356BC33C" w14:textId="010C4C73" w:rsidR="000F0589" w:rsidRPr="009208C8" w:rsidRDefault="000F0589" w:rsidP="000F0589">
      <w:pPr>
        <w:spacing w:line="276" w:lineRule="auto"/>
        <w:ind w:firstLine="709"/>
        <w:jc w:val="both"/>
        <w:rPr>
          <w:rFonts w:ascii="Arial" w:hAnsi="Arial" w:cs="Arial"/>
        </w:rPr>
      </w:pPr>
      <w:r w:rsidRPr="007E497C">
        <w:rPr>
          <w:rFonts w:ascii="Times New Roman" w:hAnsi="Times New Roman" w:cs="Times New Roman"/>
          <w:b/>
          <w:bCs/>
          <w:sz w:val="24"/>
          <w:szCs w:val="24"/>
          <w:u w:val="single"/>
        </w:rPr>
        <w:t>Почтовый адрес оператора объекта:</w:t>
      </w:r>
      <w:r w:rsidRPr="007E497C">
        <w:rPr>
          <w:rFonts w:ascii="Times New Roman" w:hAnsi="Times New Roman" w:cs="Times New Roman"/>
          <w:sz w:val="24"/>
          <w:szCs w:val="24"/>
        </w:rPr>
        <w:t xml:space="preserve"> </w:t>
      </w:r>
      <w:r w:rsidRPr="009208C8">
        <w:rPr>
          <w:rFonts w:ascii="Arial" w:hAnsi="Arial" w:cs="Arial"/>
        </w:rPr>
        <w:t xml:space="preserve">130000, Республика Казахстан, </w:t>
      </w:r>
      <w:r w:rsidR="009208C8" w:rsidRPr="009208C8">
        <w:rPr>
          <w:rFonts w:ascii="Arial" w:hAnsi="Arial" w:cs="Arial"/>
        </w:rPr>
        <w:t xml:space="preserve">город Актау, микрорайон </w:t>
      </w:r>
      <w:r w:rsidR="000E29BA" w:rsidRPr="000E29BA">
        <w:rPr>
          <w:rFonts w:ascii="Arial" w:hAnsi="Arial" w:cs="Arial"/>
          <w:lang w:val="ru-RU"/>
        </w:rPr>
        <w:t>17</w:t>
      </w:r>
      <w:r w:rsidR="009208C8" w:rsidRPr="009208C8">
        <w:rPr>
          <w:rFonts w:ascii="Arial" w:hAnsi="Arial" w:cs="Arial"/>
        </w:rPr>
        <w:t xml:space="preserve">, здание </w:t>
      </w:r>
      <w:r w:rsidR="000E29BA" w:rsidRPr="000E29BA">
        <w:rPr>
          <w:rFonts w:ascii="Arial" w:hAnsi="Arial" w:cs="Arial"/>
          <w:lang w:val="ru-RU"/>
        </w:rPr>
        <w:t>39</w:t>
      </w:r>
      <w:r w:rsidRPr="009208C8">
        <w:rPr>
          <w:rFonts w:ascii="Arial" w:hAnsi="Arial" w:cs="Arial"/>
        </w:rPr>
        <w:t>.</w:t>
      </w:r>
    </w:p>
    <w:p w14:paraId="38DABB95" w14:textId="77777777" w:rsidR="009208C8" w:rsidRPr="009019D6" w:rsidRDefault="009208C8" w:rsidP="009208C8">
      <w:pPr>
        <w:spacing w:before="60" w:after="60"/>
        <w:ind w:firstLine="567"/>
        <w:jc w:val="both"/>
        <w:rPr>
          <w:rFonts w:ascii="Arial" w:hAnsi="Arial" w:cs="Arial"/>
        </w:rPr>
      </w:pPr>
      <w:r w:rsidRPr="009019D6">
        <w:rPr>
          <w:rFonts w:ascii="Arial" w:hAnsi="Arial" w:cs="Arial"/>
          <w:b/>
        </w:rPr>
        <w:t xml:space="preserve">Основными направлениями деятельности товарищества «Meerbusch» является: </w:t>
      </w:r>
      <w:r w:rsidRPr="009019D6">
        <w:rPr>
          <w:rFonts w:ascii="Arial" w:hAnsi="Arial" w:cs="Arial"/>
        </w:rPr>
        <w:t>добыча углеводородного сырья на месторождении Кульжан в пределах блоков XXIX-16-E (частично), F (частично) Мангистауской области Республики Казахстан.</w:t>
      </w:r>
    </w:p>
    <w:p w14:paraId="3A5B201E" w14:textId="77777777" w:rsidR="009208C8" w:rsidRPr="009019D6" w:rsidRDefault="009208C8" w:rsidP="009208C8">
      <w:pPr>
        <w:autoSpaceDE w:val="0"/>
        <w:autoSpaceDN w:val="0"/>
        <w:adjustRightInd w:val="0"/>
        <w:spacing w:before="60" w:after="60"/>
        <w:ind w:right="29" w:firstLine="567"/>
        <w:jc w:val="both"/>
        <w:rPr>
          <w:rFonts w:ascii="Arial" w:hAnsi="Arial" w:cs="Arial"/>
        </w:rPr>
      </w:pPr>
      <w:r w:rsidRPr="009019D6">
        <w:rPr>
          <w:rFonts w:ascii="Arial" w:hAnsi="Arial" w:cs="Arial"/>
          <w:b/>
        </w:rPr>
        <w:t>Форма собственности</w:t>
      </w:r>
      <w:r w:rsidRPr="009019D6">
        <w:rPr>
          <w:rFonts w:ascii="Arial" w:hAnsi="Arial" w:cs="Arial"/>
        </w:rPr>
        <w:t>: Частная.</w:t>
      </w:r>
    </w:p>
    <w:p w14:paraId="54EBEDCC" w14:textId="77777777" w:rsidR="009208C8" w:rsidRPr="009019D6" w:rsidRDefault="009208C8" w:rsidP="009208C8">
      <w:pPr>
        <w:spacing w:before="60" w:after="60"/>
        <w:ind w:firstLine="567"/>
        <w:jc w:val="both"/>
        <w:rPr>
          <w:rFonts w:ascii="Arial" w:hAnsi="Arial" w:cs="Arial"/>
          <w:b/>
        </w:rPr>
      </w:pPr>
      <w:r w:rsidRPr="009019D6">
        <w:rPr>
          <w:rFonts w:ascii="Arial" w:hAnsi="Arial" w:cs="Arial"/>
          <w:b/>
        </w:rPr>
        <w:t xml:space="preserve">Временной режим работы предприятия: </w:t>
      </w:r>
      <w:r w:rsidRPr="009019D6">
        <w:rPr>
          <w:rFonts w:ascii="Arial" w:hAnsi="Arial" w:cs="Arial"/>
        </w:rPr>
        <w:t>Предприятие работает вахтовым методом. Продолжительность работы одной вахты 15 дней в месяц. Работы проводятся в две смены, время работы одной смены 12.</w:t>
      </w:r>
      <w:r w:rsidRPr="009019D6">
        <w:rPr>
          <w:rFonts w:ascii="Arial" w:hAnsi="Arial" w:cs="Arial"/>
          <w:b/>
        </w:rPr>
        <w:t xml:space="preserve"> </w:t>
      </w:r>
    </w:p>
    <w:p w14:paraId="7A0E8F36" w14:textId="77777777" w:rsidR="009208C8" w:rsidRPr="009019D6" w:rsidRDefault="009208C8" w:rsidP="009208C8">
      <w:pPr>
        <w:spacing w:before="120"/>
        <w:ind w:firstLine="567"/>
        <w:jc w:val="both"/>
        <w:rPr>
          <w:rFonts w:ascii="Arial" w:hAnsi="Arial" w:cs="Arial"/>
        </w:rPr>
      </w:pPr>
      <w:r w:rsidRPr="009019D6">
        <w:rPr>
          <w:rFonts w:ascii="Arial" w:hAnsi="Arial" w:cs="Arial"/>
          <w:b/>
        </w:rPr>
        <w:t>Количество промплощадок и их адреса:</w:t>
      </w:r>
      <w:r w:rsidRPr="009019D6">
        <w:rPr>
          <w:color w:val="000000"/>
        </w:rPr>
        <w:t xml:space="preserve"> </w:t>
      </w:r>
      <w:r w:rsidRPr="009019D6">
        <w:rPr>
          <w:rFonts w:ascii="Arial" w:hAnsi="Arial" w:cs="Arial"/>
        </w:rPr>
        <w:t xml:space="preserve">Месторождение Кульжан                                                       расположено в Бейнеуском районе Мангистауской области, в 25 км к юго-западу от ближайшей железнодорожной станции Боранкул (бывшая Опорная). Районный центр п. Бейнеу расположен в 105 км к югу. Поселок является узловой железнодорожной станцией, через него осуществляется железнодорожная связь Актау и Узбекистана с остальной частью Республики Казахстан и Российской Федерацией. Нефтепровод Узень-Атырау-Самара и газопровод Средняя Азия-Центр проходят в 20 км восточнее месторождения. </w:t>
      </w:r>
    </w:p>
    <w:p w14:paraId="1B98FE3C" w14:textId="77777777" w:rsidR="009208C8" w:rsidRPr="009019D6" w:rsidRDefault="009208C8" w:rsidP="009208C8">
      <w:pPr>
        <w:pStyle w:val="af0"/>
        <w:ind w:firstLine="567"/>
      </w:pPr>
      <w:r w:rsidRPr="009019D6">
        <w:rPr>
          <w:u w:val="single"/>
        </w:rPr>
        <w:t>Перечень структурных подразделений предприятия, основных и вспомогательных производств, участков:</w:t>
      </w:r>
    </w:p>
    <w:p w14:paraId="575E01C3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 xml:space="preserve">вахтовый поселок; </w:t>
      </w:r>
    </w:p>
    <w:p w14:paraId="4C7677FF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>РММ;</w:t>
      </w:r>
    </w:p>
    <w:p w14:paraId="77E64986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 xml:space="preserve">топливо-раздаточный пункт; </w:t>
      </w:r>
    </w:p>
    <w:p w14:paraId="589F9C5A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>офисное здание;</w:t>
      </w:r>
    </w:p>
    <w:p w14:paraId="7E3E2081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>столовая;</w:t>
      </w:r>
    </w:p>
    <w:p w14:paraId="3071DFB6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>здание бани-прачечной;</w:t>
      </w:r>
    </w:p>
    <w:p w14:paraId="1BA023DC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>здание телекоммуникаций;</w:t>
      </w:r>
    </w:p>
    <w:p w14:paraId="698C611F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>полигон промышленных и бытовых отходов;</w:t>
      </w:r>
    </w:p>
    <w:p w14:paraId="4976D6ED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>нефтяные и нагнетательные скважины с выкидными линиями;</w:t>
      </w:r>
    </w:p>
    <w:p w14:paraId="6F2014D1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 xml:space="preserve">ГЗУ-1; </w:t>
      </w:r>
    </w:p>
    <w:p w14:paraId="3CCB8425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 xml:space="preserve">установка подготовки нефти (УПН); </w:t>
      </w:r>
    </w:p>
    <w:p w14:paraId="669960C5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>подземные коллекторы;</w:t>
      </w:r>
    </w:p>
    <w:p w14:paraId="252263E6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>площадка компрессорной станции (КС);</w:t>
      </w:r>
    </w:p>
    <w:p w14:paraId="335F2B79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>электрогазогенераторная установка (ЭГГ);</w:t>
      </w:r>
    </w:p>
    <w:p w14:paraId="65138E48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>подземный газопровод;</w:t>
      </w:r>
    </w:p>
    <w:p w14:paraId="3A464B61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>площадка БИЛ в районе УКПГ ТОО «КМТ»;</w:t>
      </w:r>
    </w:p>
    <w:p w14:paraId="35C69F4E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>продувочные свечи СВ-1,2;</w:t>
      </w:r>
    </w:p>
    <w:p w14:paraId="1FDA4FBA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>узлы запорной арматуры;</w:t>
      </w:r>
    </w:p>
    <w:p w14:paraId="153144A0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>патрульная дорога;</w:t>
      </w:r>
    </w:p>
    <w:p w14:paraId="1E226E7E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t>ПСН;</w:t>
      </w:r>
    </w:p>
    <w:p w14:paraId="29F58C60" w14:textId="77777777" w:rsidR="009208C8" w:rsidRPr="009019D6" w:rsidRDefault="009208C8" w:rsidP="009208C8">
      <w:pPr>
        <w:pStyle w:val="af0"/>
        <w:numPr>
          <w:ilvl w:val="0"/>
          <w:numId w:val="5"/>
        </w:numPr>
        <w:spacing w:before="0" w:after="0"/>
        <w:ind w:left="284" w:firstLine="142"/>
      </w:pPr>
      <w:r w:rsidRPr="009019D6">
        <w:lastRenderedPageBreak/>
        <w:t>система коммуникаций.</w:t>
      </w:r>
    </w:p>
    <w:p w14:paraId="4C1705FB" w14:textId="77777777" w:rsidR="009208C8" w:rsidRPr="009019D6" w:rsidRDefault="009208C8" w:rsidP="009208C8">
      <w:pPr>
        <w:pStyle w:val="af0"/>
        <w:spacing w:before="0" w:after="0"/>
        <w:ind w:left="426"/>
      </w:pPr>
    </w:p>
    <w:p w14:paraId="2A4D567C" w14:textId="77777777" w:rsidR="009208C8" w:rsidRPr="009019D6" w:rsidRDefault="009208C8" w:rsidP="009208C8">
      <w:pPr>
        <w:ind w:firstLine="567"/>
        <w:jc w:val="both"/>
        <w:rPr>
          <w:rFonts w:ascii="Arial" w:hAnsi="Arial" w:cs="Arial"/>
          <w:b/>
        </w:rPr>
      </w:pPr>
      <w:r w:rsidRPr="009019D6">
        <w:rPr>
          <w:rFonts w:ascii="Arial" w:hAnsi="Arial" w:cs="Arial"/>
          <w:b/>
        </w:rPr>
        <w:t xml:space="preserve">Размер площади землепользования: застройки, общей, озеленения, размер санитарно-защитной зоны (по каждой промплощадке): </w:t>
      </w:r>
    </w:p>
    <w:p w14:paraId="73FBA6E4" w14:textId="77777777" w:rsidR="009208C8" w:rsidRPr="009019D6" w:rsidRDefault="009208C8" w:rsidP="009208C8">
      <w:pPr>
        <w:ind w:firstLine="567"/>
        <w:jc w:val="both"/>
        <w:rPr>
          <w:rFonts w:ascii="Arial" w:hAnsi="Arial" w:cs="Arial"/>
          <w:color w:val="000000"/>
        </w:rPr>
      </w:pPr>
      <w:r w:rsidRPr="009019D6">
        <w:rPr>
          <w:rFonts w:ascii="Arial" w:hAnsi="Arial" w:cs="Arial"/>
          <w:color w:val="000000"/>
        </w:rPr>
        <w:t>- Площадь земельного отвода месторождения составляет – 1869 га.</w:t>
      </w:r>
    </w:p>
    <w:p w14:paraId="183E5C7C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  <w:r w:rsidRPr="009019D6">
        <w:rPr>
          <w:rFonts w:ascii="Arial" w:hAnsi="Arial" w:cs="Arial"/>
          <w:color w:val="000000"/>
        </w:rPr>
        <w:t>- Для объектов по добыче нефти и газа размер санитарно-защитной зоны составляет не менее 1000 м.</w:t>
      </w:r>
    </w:p>
    <w:p w14:paraId="138BCF3F" w14:textId="298E61D8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  <w:r w:rsidRPr="009019D6">
        <w:rPr>
          <w:rFonts w:ascii="Arial" w:hAnsi="Arial" w:cs="Arial"/>
          <w:color w:val="000000"/>
        </w:rPr>
        <w:t>Ситуационная карта-схема, отражающая взаиморасположение промплощадок и граничащих с ними характерных объектов (жилых массивов; сельскохозяйственных угодий; транспортных магистралей и пр.), с расположением структурных подразделений предприятия и арендаторов, принадлежащих предприятию мест временного и постоянного хранения отходов (в т.ч. арендаторов):</w:t>
      </w:r>
    </w:p>
    <w:p w14:paraId="3CF0FE24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693B65A6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69B80C85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2CA985F1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32FF7FD4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071AB5E3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43312D19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0B462945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1BDBB339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38EAEAA5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3D72D263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3F1DCB45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68105128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6DED902E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0560260E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314AACFE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331761A6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4F61035D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1F03B5AF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647A3165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4A34FA00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3FAACC96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7CA4DB00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</w:p>
    <w:p w14:paraId="5D5AC465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  <w:sectPr w:rsidR="009208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BEE8BA" w14:textId="212892AF" w:rsidR="009208C8" w:rsidRDefault="009208C8" w:rsidP="009208C8">
      <w:pPr>
        <w:ind w:firstLine="567"/>
        <w:jc w:val="center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lastRenderedPageBreak/>
        <w:t>Ситуационная карта-схема месторождения Кульжан</w:t>
      </w:r>
    </w:p>
    <w:p w14:paraId="4AB0D23D" w14:textId="7FA355FA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</w:pPr>
      <w:r w:rsidRPr="007E5E71">
        <w:rPr>
          <w:noProof/>
        </w:rPr>
        <w:drawing>
          <wp:inline distT="0" distB="0" distL="0" distR="0" wp14:anchorId="7C7E4573" wp14:editId="43787813">
            <wp:extent cx="8336280" cy="4465320"/>
            <wp:effectExtent l="0" t="0" r="7620" b="0"/>
            <wp:docPr id="13037859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4" t="10355" r="6058" b="5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628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D43C9" w14:textId="77777777" w:rsidR="009208C8" w:rsidRDefault="009208C8" w:rsidP="009208C8">
      <w:pPr>
        <w:ind w:firstLine="567"/>
        <w:jc w:val="both"/>
        <w:rPr>
          <w:rFonts w:ascii="Arial" w:hAnsi="Arial" w:cs="Arial"/>
          <w:color w:val="000000"/>
          <w:lang w:val="ru-RU"/>
        </w:rPr>
        <w:sectPr w:rsidR="009208C8" w:rsidSect="009208C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9C85C9E" w14:textId="77777777" w:rsidR="009208C8" w:rsidRDefault="007E497C" w:rsidP="009208C8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E497C">
        <w:lastRenderedPageBreak/>
        <w:t xml:space="preserve"> </w:t>
      </w:r>
      <w:r w:rsidR="009208C8" w:rsidRPr="009019D6">
        <w:rPr>
          <w:rFonts w:ascii="Arial" w:hAnsi="Arial" w:cs="Arial"/>
          <w:b/>
          <w:color w:val="000000"/>
        </w:rPr>
        <w:t>Основные производственные показатели работы предприятия</w:t>
      </w:r>
      <w:r w:rsidR="009208C8">
        <w:rPr>
          <w:rFonts w:ascii="Arial" w:hAnsi="Arial" w:cs="Arial"/>
          <w:b/>
          <w:color w:val="000000"/>
        </w:rPr>
        <w:t xml:space="preserve"> по </w:t>
      </w:r>
    </w:p>
    <w:p w14:paraId="5695F855" w14:textId="77777777" w:rsidR="009208C8" w:rsidRPr="009019D6" w:rsidRDefault="009208C8" w:rsidP="009208C8">
      <w:pPr>
        <w:spacing w:after="0" w:line="240" w:lineRule="auto"/>
        <w:ind w:firstLine="357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м/р Кульжан</w:t>
      </w:r>
      <w:r w:rsidRPr="009019D6">
        <w:rPr>
          <w:rFonts w:ascii="Arial" w:hAnsi="Arial" w:cs="Arial"/>
          <w:b/>
          <w:color w:val="000000"/>
        </w:rPr>
        <w:t>:</w:t>
      </w:r>
    </w:p>
    <w:p w14:paraId="5264B409" w14:textId="77777777" w:rsidR="009208C8" w:rsidRPr="009019D6" w:rsidRDefault="009208C8" w:rsidP="009208C8">
      <w:pPr>
        <w:pStyle w:val="af0"/>
        <w:spacing w:before="0" w:after="0"/>
        <w:jc w:val="center"/>
      </w:pPr>
      <w:r w:rsidRPr="009019D6">
        <w:rPr>
          <w:u w:val="single"/>
        </w:rPr>
        <w:t>Состояние фонда скважин месторождения «Кульжан»</w:t>
      </w:r>
    </w:p>
    <w:p w14:paraId="7C5BB155" w14:textId="77777777" w:rsidR="009208C8" w:rsidRPr="009019D6" w:rsidRDefault="009208C8" w:rsidP="009208C8">
      <w:pPr>
        <w:pStyle w:val="af0"/>
        <w:spacing w:before="0" w:after="0"/>
        <w:jc w:val="right"/>
        <w:rPr>
          <w:b/>
        </w:rPr>
      </w:pPr>
      <w:r w:rsidRPr="009019D6">
        <w:rPr>
          <w:b/>
        </w:rPr>
        <w:t>Таблица 1.1</w:t>
      </w:r>
    </w:p>
    <w:tbl>
      <w:tblPr>
        <w:tblW w:w="96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1746"/>
        <w:gridCol w:w="1349"/>
        <w:gridCol w:w="1673"/>
        <w:gridCol w:w="1464"/>
        <w:gridCol w:w="971"/>
        <w:gridCol w:w="1294"/>
      </w:tblGrid>
      <w:tr w:rsidR="009208C8" w:rsidRPr="00C567F0" w14:paraId="5E454BD1" w14:textId="77777777" w:rsidTr="00CB0111">
        <w:trPr>
          <w:trHeight w:val="735"/>
        </w:trPr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F194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1" w:name="_Hlk52963459"/>
            <w:r w:rsidRPr="00C567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Всего фонд скважин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A398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567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Добывающие скважины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B61E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567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Нагнета-тельные скважины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63B5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567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Ликвиди-рованные скважины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E32F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67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Водозабор-ные скважины</w:t>
            </w:r>
            <w:r w:rsidRPr="00C567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(закрытые)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6400A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567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В консер</w:t>
            </w:r>
            <w:r w:rsidRPr="00C567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Pr="00C567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вации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14:paraId="7A83A1C9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26E29A47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567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В бездействии</w:t>
            </w:r>
          </w:p>
        </w:tc>
      </w:tr>
      <w:tr w:rsidR="009208C8" w:rsidRPr="00C567F0" w14:paraId="3DC675D1" w14:textId="77777777" w:rsidTr="00CB0111">
        <w:trPr>
          <w:trHeight w:val="353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6958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67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1555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38D7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C7D94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A58B3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C53D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07287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08C8" w:rsidRPr="009019D6" w14:paraId="2FB95A7A" w14:textId="77777777" w:rsidTr="00CB0111">
        <w:trPr>
          <w:trHeight w:val="1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2A56D" w14:textId="77777777" w:rsidR="009208C8" w:rsidRPr="00C567F0" w:rsidRDefault="009208C8" w:rsidP="009208C8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0F98C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2C2D2E"/>
                <w:sz w:val="20"/>
                <w:szCs w:val="20"/>
                <w:lang w:val="en-US"/>
              </w:rPr>
              <w:t>№№ 92, 94, 101,102, 103, 104,105, 108, 110, 111, 112, 115, 118, 123, 124, 125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25D7B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i/>
                <w:iCs/>
                <w:color w:val="2C2D2E"/>
                <w:sz w:val="20"/>
                <w:szCs w:val="20"/>
                <w:lang w:val="en-US"/>
              </w:rPr>
              <w:t>№ 65, 114, 117, 122, 109, 120)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1305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i/>
                <w:iCs/>
                <w:color w:val="2C2D2E"/>
                <w:sz w:val="20"/>
                <w:szCs w:val="20"/>
                <w:lang w:val="en-US"/>
              </w:rPr>
              <w:t>№№ 82, 86, 88, 97, 93, 63, 95, 96,)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90C4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82E6" w14:textId="77777777" w:rsidR="009208C8" w:rsidRPr="00C567F0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i/>
                <w:iCs/>
                <w:color w:val="2C2D2E"/>
                <w:sz w:val="20"/>
                <w:szCs w:val="20"/>
                <w:lang w:val="en-US"/>
              </w:rPr>
              <w:t>116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38746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2C2D2E"/>
                <w:sz w:val="20"/>
                <w:szCs w:val="20"/>
                <w:lang w:val="en-US"/>
              </w:rPr>
              <w:t>№№ 64, 75, 90, 91, 100, 106, 107, 113, 119, 121</w:t>
            </w:r>
          </w:p>
        </w:tc>
      </w:tr>
      <w:bookmarkEnd w:id="1"/>
    </w:tbl>
    <w:p w14:paraId="74D0D02F" w14:textId="77777777" w:rsidR="009208C8" w:rsidRDefault="009208C8" w:rsidP="009208C8">
      <w:pPr>
        <w:tabs>
          <w:tab w:val="left" w:pos="7066"/>
          <w:tab w:val="left" w:pos="8148"/>
          <w:tab w:val="left" w:pos="8986"/>
          <w:tab w:val="left" w:pos="9676"/>
          <w:tab w:val="left" w:pos="10502"/>
          <w:tab w:val="left" w:pos="11955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</w:p>
    <w:p w14:paraId="09CFA16D" w14:textId="77777777" w:rsidR="009208C8" w:rsidRPr="009019D6" w:rsidRDefault="009208C8" w:rsidP="009208C8">
      <w:pPr>
        <w:tabs>
          <w:tab w:val="left" w:pos="7066"/>
          <w:tab w:val="left" w:pos="8148"/>
          <w:tab w:val="left" w:pos="8986"/>
          <w:tab w:val="left" w:pos="9676"/>
          <w:tab w:val="left" w:pos="10502"/>
          <w:tab w:val="left" w:pos="11955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019D6">
        <w:rPr>
          <w:rFonts w:ascii="Arial" w:hAnsi="Arial" w:cs="Arial"/>
          <w:color w:val="000000"/>
        </w:rPr>
        <w:t>Основные производственные показатели ТОО «</w:t>
      </w:r>
      <w:r w:rsidRPr="009019D6">
        <w:rPr>
          <w:rFonts w:ascii="Arial" w:hAnsi="Arial" w:cs="Arial"/>
        </w:rPr>
        <w:t>Meerbusch</w:t>
      </w:r>
      <w:r w:rsidRPr="009019D6">
        <w:rPr>
          <w:rFonts w:ascii="Arial" w:hAnsi="Arial" w:cs="Arial"/>
          <w:color w:val="000000"/>
        </w:rPr>
        <w:t xml:space="preserve">» на </w:t>
      </w:r>
      <w:r>
        <w:rPr>
          <w:rFonts w:ascii="Arial" w:hAnsi="Arial" w:cs="Arial"/>
          <w:color w:val="000000"/>
        </w:rPr>
        <w:t>2025</w:t>
      </w:r>
      <w:r w:rsidRPr="009019D6">
        <w:rPr>
          <w:rFonts w:ascii="Arial" w:hAnsi="Arial" w:cs="Arial"/>
          <w:color w:val="000000"/>
        </w:rPr>
        <w:t xml:space="preserve"> год представлены в таблице 1.2. </w:t>
      </w:r>
    </w:p>
    <w:p w14:paraId="7D7079EE" w14:textId="77777777" w:rsidR="009208C8" w:rsidRPr="009019D6" w:rsidRDefault="009208C8" w:rsidP="009208C8">
      <w:pPr>
        <w:pStyle w:val="aa"/>
        <w:ind w:hanging="180"/>
        <w:jc w:val="right"/>
        <w:rPr>
          <w:rFonts w:ascii="Arial" w:hAnsi="Arial" w:cs="Arial"/>
          <w:color w:val="000000"/>
          <w:sz w:val="22"/>
          <w:szCs w:val="22"/>
        </w:rPr>
      </w:pPr>
      <w:r w:rsidRPr="009019D6">
        <w:rPr>
          <w:rFonts w:ascii="Arial" w:hAnsi="Arial" w:cs="Arial"/>
          <w:color w:val="000000"/>
          <w:sz w:val="22"/>
          <w:szCs w:val="22"/>
        </w:rPr>
        <w:t xml:space="preserve">Таблица </w:t>
      </w:r>
      <w:r w:rsidRPr="009019D6">
        <w:rPr>
          <w:rFonts w:ascii="Arial" w:hAnsi="Arial" w:cs="Arial"/>
          <w:color w:val="000000"/>
          <w:sz w:val="22"/>
          <w:szCs w:val="22"/>
        </w:rPr>
        <w:fldChar w:fldCharType="begin"/>
      </w:r>
      <w:r w:rsidRPr="009019D6">
        <w:rPr>
          <w:rFonts w:ascii="Arial" w:hAnsi="Arial" w:cs="Arial"/>
          <w:color w:val="000000"/>
          <w:sz w:val="22"/>
          <w:szCs w:val="22"/>
        </w:rPr>
        <w:instrText xml:space="preserve"> SEQ Таблица \* ARABIC </w:instrText>
      </w:r>
      <w:r w:rsidRPr="009019D6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1</w:t>
      </w:r>
      <w:r w:rsidRPr="009019D6">
        <w:rPr>
          <w:rFonts w:ascii="Arial" w:hAnsi="Arial" w:cs="Arial"/>
          <w:color w:val="000000"/>
          <w:sz w:val="22"/>
          <w:szCs w:val="22"/>
        </w:rPr>
        <w:fldChar w:fldCharType="end"/>
      </w:r>
      <w:r w:rsidRPr="009019D6">
        <w:rPr>
          <w:rFonts w:ascii="Arial" w:hAnsi="Arial" w:cs="Arial"/>
          <w:color w:val="000000"/>
          <w:sz w:val="22"/>
          <w:szCs w:val="22"/>
        </w:rPr>
        <w:t>.2</w:t>
      </w:r>
    </w:p>
    <w:p w14:paraId="5F02AD86" w14:textId="77777777" w:rsidR="009208C8" w:rsidRPr="009019D6" w:rsidRDefault="009208C8" w:rsidP="009208C8">
      <w:pPr>
        <w:pStyle w:val="aa"/>
        <w:ind w:hanging="180"/>
        <w:jc w:val="center"/>
        <w:rPr>
          <w:rFonts w:ascii="Arial" w:hAnsi="Arial" w:cs="Arial"/>
          <w:color w:val="000000"/>
          <w:sz w:val="22"/>
          <w:szCs w:val="22"/>
        </w:rPr>
      </w:pPr>
      <w:r w:rsidRPr="009019D6">
        <w:rPr>
          <w:rFonts w:ascii="Arial" w:hAnsi="Arial" w:cs="Arial"/>
          <w:color w:val="000000"/>
          <w:sz w:val="22"/>
          <w:szCs w:val="22"/>
        </w:rPr>
        <w:t>Показатели добычи нефти и газа по месторождению Кульжан                                                     в период промышленной эксплуатации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1275"/>
        <w:gridCol w:w="1701"/>
        <w:gridCol w:w="1701"/>
        <w:gridCol w:w="1276"/>
        <w:gridCol w:w="1559"/>
      </w:tblGrid>
      <w:tr w:rsidR="009208C8" w:rsidRPr="009019D6" w14:paraId="3BF229BF" w14:textId="77777777" w:rsidTr="00CB0111">
        <w:trPr>
          <w:trHeight w:val="19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4C7D682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9D6">
              <w:rPr>
                <w:rFonts w:ascii="Arial" w:hAnsi="Arial" w:cs="Arial"/>
                <w:b/>
                <w:bCs/>
                <w:sz w:val="18"/>
                <w:szCs w:val="18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17CF121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9D6">
              <w:rPr>
                <w:rFonts w:ascii="Arial" w:hAnsi="Arial" w:cs="Arial"/>
                <w:b/>
                <w:bCs/>
                <w:sz w:val="18"/>
                <w:szCs w:val="18"/>
              </w:rPr>
              <w:t>Добыча нефти, тыс.тонн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13B1F6F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9D6">
              <w:rPr>
                <w:rFonts w:ascii="Arial" w:hAnsi="Arial" w:cs="Arial"/>
                <w:b/>
                <w:bCs/>
                <w:sz w:val="18"/>
                <w:szCs w:val="18"/>
              </w:rPr>
              <w:t>Добыча газа, млн. м</w:t>
            </w:r>
            <w:r w:rsidRPr="009019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431B1C1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9D6">
              <w:rPr>
                <w:rFonts w:ascii="Arial" w:hAnsi="Arial" w:cs="Arial"/>
                <w:b/>
                <w:bCs/>
                <w:sz w:val="18"/>
                <w:szCs w:val="18"/>
              </w:rPr>
              <w:t>Утилизация сырого газа на собственные нужды, млн. м</w:t>
            </w:r>
            <w:r w:rsidRPr="009019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417D0295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9D6">
              <w:rPr>
                <w:rFonts w:ascii="Arial" w:hAnsi="Arial" w:cs="Arial"/>
                <w:b/>
                <w:bCs/>
                <w:sz w:val="18"/>
                <w:szCs w:val="18"/>
              </w:rPr>
              <w:t>Технологически неизбежное сжигание сырого  газа, млн. м</w:t>
            </w:r>
            <w:r w:rsidRPr="009019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3D8D89B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9D6">
              <w:rPr>
                <w:rFonts w:ascii="Arial" w:hAnsi="Arial" w:cs="Arial"/>
                <w:b/>
                <w:bCs/>
                <w:sz w:val="18"/>
                <w:szCs w:val="18"/>
              </w:rPr>
              <w:t>Тех.потери, млн. м</w:t>
            </w:r>
            <w:r w:rsidRPr="009019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0FAA147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9D6">
              <w:rPr>
                <w:rFonts w:ascii="Arial" w:hAnsi="Arial" w:cs="Arial"/>
                <w:b/>
                <w:bCs/>
                <w:sz w:val="18"/>
                <w:szCs w:val="18"/>
              </w:rPr>
              <w:t>Объем газа, поступающей на УКПГ ТОО МНК «КМТ»,</w:t>
            </w:r>
          </w:p>
          <w:p w14:paraId="0A09FB16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9D6">
              <w:rPr>
                <w:rFonts w:ascii="Arial" w:hAnsi="Arial" w:cs="Arial"/>
                <w:b/>
                <w:bCs/>
                <w:sz w:val="18"/>
                <w:szCs w:val="18"/>
              </w:rPr>
              <w:t>млн. м</w:t>
            </w:r>
            <w:r w:rsidRPr="009019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</w:tr>
      <w:tr w:rsidR="009208C8" w:rsidRPr="009019D6" w14:paraId="2970705F" w14:textId="77777777" w:rsidTr="00CB0111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6B6A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9D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91FC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9D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272B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9D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866C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9D6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A2FD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9D6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C83C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9D6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773E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9D6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9208C8" w:rsidRPr="009019D6" w14:paraId="6907139B" w14:textId="77777777" w:rsidTr="00CB0111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C740" w14:textId="77777777" w:rsidR="009208C8" w:rsidRPr="00BE6224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BAD1" w14:textId="77777777" w:rsidR="009208C8" w:rsidRPr="00BE6224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B23A" w14:textId="77777777" w:rsidR="009208C8" w:rsidRPr="00BE6224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F3B">
              <w:rPr>
                <w:rFonts w:ascii="Arial" w:hAnsi="Arial" w:cs="Arial"/>
                <w:sz w:val="18"/>
                <w:szCs w:val="18"/>
              </w:rPr>
              <w:t>4,75539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2DCA" w14:textId="77777777" w:rsidR="009208C8" w:rsidRPr="00704F3B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F3B">
              <w:rPr>
                <w:rFonts w:ascii="Arial" w:hAnsi="Arial" w:cs="Arial"/>
                <w:sz w:val="18"/>
                <w:szCs w:val="18"/>
              </w:rPr>
              <w:t>4,02084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8C9A" w14:textId="77777777" w:rsidR="009208C8" w:rsidRPr="00704F3B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F3B">
              <w:rPr>
                <w:rFonts w:ascii="Arial" w:hAnsi="Arial" w:cs="Arial"/>
                <w:sz w:val="18"/>
                <w:szCs w:val="18"/>
              </w:rPr>
              <w:t>0,08243440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BD133" w14:textId="77777777" w:rsidR="009208C8" w:rsidRPr="00704F3B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F3B">
              <w:rPr>
                <w:rFonts w:ascii="Arial" w:hAnsi="Arial" w:cs="Arial"/>
                <w:sz w:val="18"/>
                <w:szCs w:val="18"/>
              </w:rPr>
              <w:t>0,00951078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890B" w14:textId="77777777" w:rsidR="009208C8" w:rsidRPr="00704F3B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F3B">
              <w:rPr>
                <w:rFonts w:ascii="Arial" w:hAnsi="Arial" w:cs="Arial"/>
                <w:sz w:val="18"/>
                <w:szCs w:val="18"/>
              </w:rPr>
              <w:t>0,64260482</w:t>
            </w:r>
          </w:p>
        </w:tc>
      </w:tr>
    </w:tbl>
    <w:p w14:paraId="4F880C61" w14:textId="77777777" w:rsidR="009208C8" w:rsidRDefault="009208C8" w:rsidP="009208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NewRomanPS-BoldMT"/>
          <w:b/>
          <w:bCs/>
        </w:rPr>
      </w:pPr>
    </w:p>
    <w:p w14:paraId="314FD4BC" w14:textId="77777777" w:rsidR="009208C8" w:rsidRDefault="009208C8" w:rsidP="009208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NewRomanPS-BoldMT"/>
          <w:b/>
          <w:bCs/>
        </w:rPr>
      </w:pPr>
    </w:p>
    <w:p w14:paraId="5EA0EE90" w14:textId="77777777" w:rsidR="009208C8" w:rsidRPr="0038591F" w:rsidRDefault="009208C8" w:rsidP="009208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NewRomanPS-BoldMT"/>
          <w:b/>
          <w:bCs/>
        </w:rPr>
      </w:pPr>
      <w:r w:rsidRPr="0038591F">
        <w:rPr>
          <w:rFonts w:eastAsia="TimesNewRomanPS-BoldMT"/>
          <w:b/>
          <w:bCs/>
        </w:rPr>
        <w:t>Прогнозные объемы потребления газа печей подогрева</w:t>
      </w:r>
      <w:r w:rsidRPr="00544E30">
        <w:rPr>
          <w:rFonts w:eastAsia="TimesNewRomanPS-BoldMT"/>
          <w:b/>
          <w:bCs/>
        </w:rPr>
        <w:t xml:space="preserve"> </w:t>
      </w:r>
      <w:r w:rsidRPr="0038591F">
        <w:rPr>
          <w:rFonts w:eastAsia="TimesNewRomanPS-BoldMT"/>
          <w:b/>
          <w:bCs/>
        </w:rPr>
        <w:t xml:space="preserve">на </w:t>
      </w:r>
      <w:r>
        <w:rPr>
          <w:rFonts w:eastAsia="TimesNewRomanPS-BoldMT"/>
          <w:b/>
          <w:bCs/>
        </w:rPr>
        <w:t>2025 г</w:t>
      </w:r>
      <w:r w:rsidRPr="0038591F">
        <w:rPr>
          <w:rFonts w:eastAsia="TimesNewRomanPS-BoldMT"/>
          <w:b/>
          <w:bCs/>
        </w:rPr>
        <w:t>.</w:t>
      </w: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726"/>
        <w:gridCol w:w="1509"/>
        <w:gridCol w:w="2101"/>
        <w:gridCol w:w="1056"/>
        <w:gridCol w:w="1727"/>
        <w:gridCol w:w="1219"/>
        <w:gridCol w:w="1262"/>
      </w:tblGrid>
      <w:tr w:rsidR="009208C8" w:rsidRPr="00BE6224" w14:paraId="6FADDDD6" w14:textId="77777777" w:rsidTr="00CB0111">
        <w:trPr>
          <w:trHeight w:val="768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ECE1FA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40A62197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Номера источника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0637BAA" w14:textId="77777777" w:rsidR="009208C8" w:rsidRPr="00BE6224" w:rsidRDefault="009208C8" w:rsidP="009208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Наименование и место установки печи подогрева</w:t>
            </w:r>
          </w:p>
        </w:tc>
        <w:tc>
          <w:tcPr>
            <w:tcW w:w="5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38C127B" w14:textId="77777777" w:rsidR="009208C8" w:rsidRPr="00BE6224" w:rsidRDefault="009208C8" w:rsidP="009208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Расход газа на подогрев продукции</w:t>
            </w:r>
          </w:p>
        </w:tc>
      </w:tr>
      <w:tr w:rsidR="009208C8" w:rsidRPr="00BE6224" w14:paraId="60D9C93B" w14:textId="77777777" w:rsidTr="00CB0111">
        <w:trPr>
          <w:trHeight w:val="576"/>
          <w:jc w:val="center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43CD2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3BA7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36C9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D96A94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Расход газа, м</w:t>
            </w:r>
            <w:r w:rsidRPr="00BE6224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BE6224">
              <w:rPr>
                <w:b/>
                <w:bCs/>
                <w:sz w:val="20"/>
                <w:szCs w:val="20"/>
              </w:rPr>
              <w:t>/час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DA7407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Количество оборудования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A1F63B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Время работы, сут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6FE60F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Итого                 млн. м</w:t>
            </w:r>
            <w:r w:rsidRPr="00BE6224">
              <w:rPr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9208C8" w:rsidRPr="00BE6224" w14:paraId="2F667DB7" w14:textId="77777777" w:rsidTr="00CB0111">
        <w:trPr>
          <w:trHeight w:val="336"/>
          <w:jc w:val="center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9B8F9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09E871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№0016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3BE5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ПП-0.63А - ГЗУ-1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C257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46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7113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CE48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54AF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0,40</w:t>
            </w:r>
            <w:r>
              <w:rPr>
                <w:b/>
                <w:bCs/>
                <w:sz w:val="20"/>
                <w:szCs w:val="20"/>
              </w:rPr>
              <w:t>296</w:t>
            </w:r>
          </w:p>
        </w:tc>
      </w:tr>
      <w:tr w:rsidR="009208C8" w:rsidRPr="00BE6224" w14:paraId="22B3896F" w14:textId="77777777" w:rsidTr="00CB0111">
        <w:trPr>
          <w:trHeight w:val="336"/>
          <w:jc w:val="center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19B8B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E8D09B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№0102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8B1F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УН-0,2 – ГЗУ-1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02AC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17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553A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7C9E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9E7B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0,14</w:t>
            </w:r>
            <w:r>
              <w:rPr>
                <w:b/>
                <w:bCs/>
                <w:sz w:val="20"/>
                <w:szCs w:val="20"/>
              </w:rPr>
              <w:t>892</w:t>
            </w:r>
          </w:p>
        </w:tc>
      </w:tr>
      <w:tr w:rsidR="009208C8" w:rsidRPr="00BE6224" w14:paraId="4124B031" w14:textId="77777777" w:rsidTr="00CB0111">
        <w:trPr>
          <w:trHeight w:val="288"/>
          <w:jc w:val="center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C3C5E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94D935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№0026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B826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УН-0,2 – УПН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40E0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BEA0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AD27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B7BE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0,219</w:t>
            </w:r>
          </w:p>
        </w:tc>
      </w:tr>
      <w:tr w:rsidR="009208C8" w:rsidRPr="00BE6224" w14:paraId="19043C7A" w14:textId="77777777" w:rsidTr="00CB0111">
        <w:trPr>
          <w:trHeight w:val="288"/>
          <w:jc w:val="center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81C2C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AD8BB0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№0025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D89F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ПП-0.63А №1 – УПН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2500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43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57A7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75AA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C5FC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0,37</w:t>
            </w:r>
            <w:r>
              <w:rPr>
                <w:b/>
                <w:bCs/>
                <w:sz w:val="20"/>
                <w:szCs w:val="20"/>
              </w:rPr>
              <w:t>668</w:t>
            </w:r>
          </w:p>
        </w:tc>
      </w:tr>
      <w:tr w:rsidR="009208C8" w:rsidRPr="00BE6224" w14:paraId="32761A8D" w14:textId="77777777" w:rsidTr="00CB0111">
        <w:trPr>
          <w:trHeight w:val="288"/>
          <w:jc w:val="center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0C553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EED30D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№0027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61A7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ПП-0.63А №3 – УПН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2BE4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43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BD11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1CF3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8625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04F3B">
              <w:rPr>
                <w:b/>
                <w:bCs/>
                <w:sz w:val="20"/>
                <w:szCs w:val="20"/>
              </w:rPr>
              <w:t>0,37668</w:t>
            </w:r>
          </w:p>
        </w:tc>
      </w:tr>
      <w:tr w:rsidR="009208C8" w:rsidRPr="00BE6224" w14:paraId="7910DC5D" w14:textId="77777777" w:rsidTr="00CB0111">
        <w:trPr>
          <w:trHeight w:val="288"/>
          <w:jc w:val="center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55648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2BF7CD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E3FD4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 xml:space="preserve">Итого потребление сырого газа за </w:t>
            </w:r>
            <w:r>
              <w:rPr>
                <w:b/>
                <w:bCs/>
                <w:sz w:val="20"/>
                <w:szCs w:val="20"/>
              </w:rPr>
              <w:t>2025</w:t>
            </w:r>
            <w:r w:rsidRPr="00BE6224">
              <w:rPr>
                <w:b/>
                <w:bCs/>
                <w:sz w:val="20"/>
                <w:szCs w:val="20"/>
              </w:rPr>
              <w:t>г.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35F04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1,52</w:t>
            </w:r>
            <w:r>
              <w:rPr>
                <w:b/>
                <w:bCs/>
                <w:sz w:val="20"/>
                <w:szCs w:val="20"/>
              </w:rPr>
              <w:t>424</w:t>
            </w:r>
          </w:p>
        </w:tc>
      </w:tr>
      <w:tr w:rsidR="009208C8" w:rsidRPr="00BE6224" w14:paraId="678017B7" w14:textId="77777777" w:rsidTr="00CB0111">
        <w:trPr>
          <w:trHeight w:val="288"/>
          <w:jc w:val="center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2D9AB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C52E98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>№0062,0063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3CE9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ПБТ-1.6М – ПСН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7941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72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9ECF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6722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BE6224">
              <w:rPr>
                <w:sz w:val="20"/>
                <w:szCs w:val="20"/>
              </w:rPr>
              <w:t>366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479D" w14:textId="77777777" w:rsidR="009208C8" w:rsidRPr="00BE6224" w:rsidRDefault="009208C8" w:rsidP="009208C8">
            <w:pPr>
              <w:spacing w:after="0" w:line="240" w:lineRule="auto"/>
              <w:rPr>
                <w:sz w:val="20"/>
                <w:szCs w:val="20"/>
              </w:rPr>
            </w:pPr>
            <w:r w:rsidRPr="00704F3B">
              <w:rPr>
                <w:sz w:val="20"/>
                <w:szCs w:val="20"/>
              </w:rPr>
              <w:t>0,63072</w:t>
            </w:r>
          </w:p>
        </w:tc>
      </w:tr>
      <w:tr w:rsidR="009208C8" w:rsidRPr="00BE6224" w14:paraId="6E0BA56A" w14:textId="77777777" w:rsidTr="00CB0111">
        <w:trPr>
          <w:trHeight w:val="288"/>
          <w:jc w:val="center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1AC4D6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FE1B28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64D06F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E6224">
              <w:rPr>
                <w:b/>
                <w:bCs/>
                <w:sz w:val="20"/>
                <w:szCs w:val="20"/>
              </w:rPr>
              <w:t xml:space="preserve">Итого потребление газа за </w:t>
            </w:r>
            <w:r>
              <w:rPr>
                <w:b/>
                <w:bCs/>
                <w:sz w:val="20"/>
                <w:szCs w:val="20"/>
              </w:rPr>
              <w:t>2025</w:t>
            </w:r>
            <w:r w:rsidRPr="00BE6224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9CF264" w14:textId="77777777" w:rsidR="009208C8" w:rsidRPr="00BE6224" w:rsidRDefault="009208C8" w:rsidP="00920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04F3B">
              <w:rPr>
                <w:b/>
                <w:bCs/>
                <w:sz w:val="20"/>
                <w:szCs w:val="20"/>
              </w:rPr>
              <w:t>0,63072</w:t>
            </w:r>
          </w:p>
        </w:tc>
      </w:tr>
    </w:tbl>
    <w:p w14:paraId="0C659331" w14:textId="4FD5D176" w:rsidR="007E497C" w:rsidRDefault="007E497C" w:rsidP="009208C8">
      <w:pPr>
        <w:pStyle w:val="Default"/>
        <w:ind w:firstLine="709"/>
        <w:jc w:val="both"/>
      </w:pPr>
    </w:p>
    <w:p w14:paraId="4BF9A639" w14:textId="77777777" w:rsidR="009208C8" w:rsidRPr="009019D6" w:rsidRDefault="009208C8" w:rsidP="009208C8">
      <w:pPr>
        <w:spacing w:after="0" w:line="240" w:lineRule="auto"/>
        <w:jc w:val="center"/>
        <w:rPr>
          <w:rFonts w:ascii="Arial" w:hAnsi="Arial" w:cs="Arial"/>
          <w:b/>
          <w:color w:val="000000"/>
          <w:lang w:val="kk-KZ"/>
        </w:rPr>
      </w:pPr>
      <w:r w:rsidRPr="009019D6">
        <w:rPr>
          <w:rFonts w:ascii="Arial" w:hAnsi="Arial" w:cs="Arial"/>
          <w:b/>
          <w:color w:val="000000"/>
          <w:lang w:val="kk-KZ"/>
        </w:rPr>
        <w:t xml:space="preserve">Годовые объемы сжигания газа на факельных установках на </w:t>
      </w:r>
      <w:r>
        <w:rPr>
          <w:rFonts w:ascii="Arial" w:hAnsi="Arial" w:cs="Arial"/>
          <w:b/>
          <w:color w:val="000000"/>
          <w:lang w:val="kk-KZ"/>
        </w:rPr>
        <w:t>2025</w:t>
      </w:r>
      <w:r w:rsidRPr="009019D6">
        <w:rPr>
          <w:rFonts w:ascii="Arial" w:hAnsi="Arial" w:cs="Arial"/>
          <w:b/>
          <w:color w:val="000000"/>
          <w:lang w:val="kk-KZ"/>
        </w:rPr>
        <w:t xml:space="preserve"> год.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712"/>
      </w:tblGrid>
      <w:tr w:rsidR="009208C8" w:rsidRPr="009019D6" w14:paraId="4D41E155" w14:textId="77777777" w:rsidTr="00CB0111">
        <w:tc>
          <w:tcPr>
            <w:tcW w:w="2943" w:type="dxa"/>
          </w:tcPr>
          <w:p w14:paraId="436AB5D8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kk-KZ"/>
              </w:rPr>
            </w:pPr>
            <w:r w:rsidRPr="009019D6">
              <w:rPr>
                <w:rFonts w:ascii="Arial" w:hAnsi="Arial" w:cs="Arial"/>
                <w:b/>
                <w:color w:val="000000"/>
                <w:lang w:val="kk-KZ"/>
              </w:rPr>
              <w:t>Период</w:t>
            </w:r>
          </w:p>
        </w:tc>
        <w:tc>
          <w:tcPr>
            <w:tcW w:w="4712" w:type="dxa"/>
          </w:tcPr>
          <w:p w14:paraId="6FCEF0D7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kk-KZ"/>
              </w:rPr>
            </w:pPr>
            <w:r w:rsidRPr="009019D6">
              <w:rPr>
                <w:rFonts w:ascii="Arial" w:hAnsi="Arial" w:cs="Arial"/>
                <w:b/>
                <w:color w:val="000000"/>
                <w:lang w:val="kk-KZ"/>
              </w:rPr>
              <w:t>Объем сжигания</w:t>
            </w:r>
          </w:p>
          <w:p w14:paraId="70FA4BFB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9019D6">
              <w:rPr>
                <w:rFonts w:ascii="Arial" w:hAnsi="Arial" w:cs="Arial"/>
                <w:b/>
                <w:color w:val="000000"/>
                <w:lang w:val="kk-KZ"/>
              </w:rPr>
              <w:t>млн. м³</w:t>
            </w:r>
          </w:p>
        </w:tc>
      </w:tr>
      <w:tr w:rsidR="009208C8" w:rsidRPr="009019D6" w14:paraId="1FC21EEF" w14:textId="77777777" w:rsidTr="00CB0111">
        <w:tc>
          <w:tcPr>
            <w:tcW w:w="2943" w:type="dxa"/>
          </w:tcPr>
          <w:p w14:paraId="765A3EB0" w14:textId="77777777" w:rsidR="009208C8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>2025 г.</w:t>
            </w:r>
          </w:p>
        </w:tc>
        <w:tc>
          <w:tcPr>
            <w:tcW w:w="4712" w:type="dxa"/>
          </w:tcPr>
          <w:p w14:paraId="7F23E982" w14:textId="77777777" w:rsidR="009208C8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kk-KZ"/>
              </w:rPr>
            </w:pPr>
            <w:r w:rsidRPr="00704F3B">
              <w:rPr>
                <w:rFonts w:ascii="Arial" w:hAnsi="Arial" w:cs="Arial"/>
                <w:color w:val="000000"/>
                <w:lang w:val="kk-KZ"/>
              </w:rPr>
              <w:t>0,08243440</w:t>
            </w:r>
          </w:p>
        </w:tc>
      </w:tr>
    </w:tbl>
    <w:p w14:paraId="7529704B" w14:textId="77777777" w:rsidR="009208C8" w:rsidRDefault="009208C8" w:rsidP="009208C8">
      <w:pPr>
        <w:spacing w:after="0" w:line="240" w:lineRule="auto"/>
        <w:jc w:val="center"/>
        <w:rPr>
          <w:rFonts w:ascii="Arial" w:hAnsi="Arial" w:cs="Arial"/>
          <w:b/>
          <w:color w:val="000000"/>
          <w:lang w:val="kk-KZ"/>
        </w:rPr>
      </w:pPr>
    </w:p>
    <w:p w14:paraId="51C5D34C" w14:textId="77777777" w:rsidR="009208C8" w:rsidRPr="009019D6" w:rsidRDefault="009208C8" w:rsidP="009208C8">
      <w:pPr>
        <w:spacing w:after="0" w:line="240" w:lineRule="auto"/>
        <w:jc w:val="center"/>
        <w:rPr>
          <w:rFonts w:ascii="Arial" w:hAnsi="Arial" w:cs="Arial"/>
          <w:b/>
          <w:color w:val="000000"/>
          <w:lang w:val="kk-KZ"/>
        </w:rPr>
      </w:pPr>
      <w:r w:rsidRPr="009019D6">
        <w:rPr>
          <w:rFonts w:ascii="Arial" w:hAnsi="Arial" w:cs="Arial"/>
          <w:b/>
          <w:color w:val="000000"/>
          <w:lang w:val="kk-KZ"/>
        </w:rPr>
        <w:t xml:space="preserve">Объемы сжигания газа на факельных установках по источникам на </w:t>
      </w:r>
      <w:r>
        <w:rPr>
          <w:rFonts w:ascii="Arial" w:hAnsi="Arial" w:cs="Arial"/>
          <w:b/>
          <w:color w:val="000000"/>
          <w:lang w:val="kk-KZ"/>
        </w:rPr>
        <w:t>2025</w:t>
      </w:r>
      <w:r w:rsidRPr="009019D6">
        <w:rPr>
          <w:rFonts w:ascii="Arial" w:hAnsi="Arial" w:cs="Arial"/>
          <w:b/>
          <w:color w:val="000000"/>
          <w:lang w:val="kk-KZ"/>
        </w:rPr>
        <w:t xml:space="preserve"> год.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4995"/>
      </w:tblGrid>
      <w:tr w:rsidR="009208C8" w:rsidRPr="009019D6" w14:paraId="07D933DE" w14:textId="77777777" w:rsidTr="00CB0111">
        <w:tc>
          <w:tcPr>
            <w:tcW w:w="3261" w:type="dxa"/>
          </w:tcPr>
          <w:p w14:paraId="2D47F3BC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kk-KZ"/>
              </w:rPr>
            </w:pPr>
            <w:r w:rsidRPr="009019D6">
              <w:rPr>
                <w:rFonts w:ascii="Arial" w:hAnsi="Arial" w:cs="Arial"/>
                <w:b/>
                <w:color w:val="000000"/>
                <w:lang w:val="kk-KZ"/>
              </w:rPr>
              <w:lastRenderedPageBreak/>
              <w:t>Номер источника</w:t>
            </w:r>
          </w:p>
        </w:tc>
        <w:tc>
          <w:tcPr>
            <w:tcW w:w="4995" w:type="dxa"/>
          </w:tcPr>
          <w:p w14:paraId="3C5E4711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kk-KZ"/>
              </w:rPr>
            </w:pPr>
            <w:r w:rsidRPr="009019D6">
              <w:rPr>
                <w:rFonts w:ascii="Arial" w:hAnsi="Arial" w:cs="Arial"/>
                <w:b/>
                <w:color w:val="000000"/>
                <w:lang w:val="kk-KZ"/>
              </w:rPr>
              <w:t>Объем сжигания по источникам в м³</w:t>
            </w:r>
          </w:p>
        </w:tc>
      </w:tr>
      <w:tr w:rsidR="009208C8" w:rsidRPr="009019D6" w14:paraId="5CFBB4DC" w14:textId="77777777" w:rsidTr="00CB0111">
        <w:tc>
          <w:tcPr>
            <w:tcW w:w="8256" w:type="dxa"/>
            <w:gridSpan w:val="2"/>
          </w:tcPr>
          <w:p w14:paraId="32A77336" w14:textId="77777777" w:rsidR="009208C8" w:rsidRPr="009019D6" w:rsidRDefault="009208C8" w:rsidP="009208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lang w:val="kk-KZ"/>
              </w:rPr>
              <w:t>2025</w:t>
            </w:r>
            <w:r w:rsidRPr="009019D6">
              <w:rPr>
                <w:rFonts w:ascii="Arial" w:hAnsi="Arial" w:cs="Arial"/>
                <w:b/>
                <w:color w:val="000000"/>
                <w:lang w:val="kk-KZ"/>
              </w:rPr>
              <w:t xml:space="preserve"> год</w:t>
            </w:r>
          </w:p>
        </w:tc>
      </w:tr>
      <w:tr w:rsidR="009208C8" w:rsidRPr="009019D6" w14:paraId="35533427" w14:textId="77777777" w:rsidTr="00CB0111">
        <w:tc>
          <w:tcPr>
            <w:tcW w:w="3261" w:type="dxa"/>
          </w:tcPr>
          <w:p w14:paraId="3F563862" w14:textId="77777777" w:rsidR="009208C8" w:rsidRPr="009019D6" w:rsidRDefault="009208C8" w:rsidP="009208C8">
            <w:pPr>
              <w:spacing w:after="0" w:line="240" w:lineRule="auto"/>
              <w:ind w:firstLine="459"/>
              <w:rPr>
                <w:rFonts w:ascii="Arial" w:hAnsi="Arial" w:cs="Arial"/>
                <w:color w:val="000000"/>
                <w:lang w:val="kk-KZ"/>
              </w:rPr>
            </w:pPr>
            <w:r w:rsidRPr="009019D6">
              <w:rPr>
                <w:rFonts w:ascii="Arial" w:hAnsi="Arial" w:cs="Arial"/>
                <w:color w:val="000000"/>
                <w:lang w:val="kk-KZ"/>
              </w:rPr>
              <w:t xml:space="preserve">№0022 </w:t>
            </w:r>
          </w:p>
        </w:tc>
        <w:tc>
          <w:tcPr>
            <w:tcW w:w="4995" w:type="dxa"/>
          </w:tcPr>
          <w:p w14:paraId="69BDE6FC" w14:textId="77777777" w:rsidR="009208C8" w:rsidRPr="009019D6" w:rsidRDefault="009208C8" w:rsidP="009208C8">
            <w:pPr>
              <w:spacing w:after="0" w:line="240" w:lineRule="auto"/>
              <w:ind w:firstLine="351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>35705,76</w:t>
            </w:r>
          </w:p>
        </w:tc>
      </w:tr>
      <w:tr w:rsidR="009208C8" w:rsidRPr="009019D6" w14:paraId="432C1442" w14:textId="77777777" w:rsidTr="00CB0111">
        <w:tc>
          <w:tcPr>
            <w:tcW w:w="3261" w:type="dxa"/>
          </w:tcPr>
          <w:p w14:paraId="54049781" w14:textId="77777777" w:rsidR="009208C8" w:rsidRPr="009019D6" w:rsidRDefault="009208C8" w:rsidP="009208C8">
            <w:pPr>
              <w:spacing w:after="0" w:line="240" w:lineRule="auto"/>
              <w:ind w:firstLine="459"/>
              <w:rPr>
                <w:rFonts w:ascii="Arial" w:hAnsi="Arial" w:cs="Arial"/>
                <w:color w:val="000000"/>
                <w:lang w:val="kk-KZ"/>
              </w:rPr>
            </w:pPr>
            <w:r w:rsidRPr="009019D6">
              <w:rPr>
                <w:rFonts w:ascii="Arial" w:hAnsi="Arial" w:cs="Arial"/>
                <w:color w:val="000000"/>
                <w:lang w:val="kk-KZ"/>
              </w:rPr>
              <w:t xml:space="preserve">№0043 </w:t>
            </w:r>
          </w:p>
        </w:tc>
        <w:tc>
          <w:tcPr>
            <w:tcW w:w="4995" w:type="dxa"/>
          </w:tcPr>
          <w:p w14:paraId="4F3519D0" w14:textId="77777777" w:rsidR="009208C8" w:rsidRPr="009019D6" w:rsidRDefault="009208C8" w:rsidP="009208C8">
            <w:pPr>
              <w:spacing w:after="0" w:line="240" w:lineRule="auto"/>
              <w:ind w:firstLine="351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>46728,64</w:t>
            </w:r>
          </w:p>
        </w:tc>
      </w:tr>
      <w:tr w:rsidR="009208C8" w:rsidRPr="009019D6" w14:paraId="231D86FD" w14:textId="77777777" w:rsidTr="00CB0111">
        <w:tc>
          <w:tcPr>
            <w:tcW w:w="3261" w:type="dxa"/>
          </w:tcPr>
          <w:p w14:paraId="0D11FDB3" w14:textId="77777777" w:rsidR="009208C8" w:rsidRPr="009019D6" w:rsidRDefault="009208C8" w:rsidP="009208C8">
            <w:pPr>
              <w:spacing w:after="0" w:line="240" w:lineRule="auto"/>
              <w:ind w:firstLine="459"/>
              <w:rPr>
                <w:rFonts w:ascii="Arial" w:hAnsi="Arial" w:cs="Arial"/>
                <w:color w:val="000000"/>
                <w:lang w:val="kk-KZ"/>
              </w:rPr>
            </w:pPr>
            <w:r w:rsidRPr="009019D6">
              <w:rPr>
                <w:rFonts w:ascii="Arial" w:hAnsi="Arial" w:cs="Arial"/>
                <w:color w:val="000000"/>
                <w:lang w:val="kk-KZ"/>
              </w:rPr>
              <w:t>Всего:</w:t>
            </w:r>
          </w:p>
        </w:tc>
        <w:tc>
          <w:tcPr>
            <w:tcW w:w="4995" w:type="dxa"/>
          </w:tcPr>
          <w:p w14:paraId="063E67B7" w14:textId="77777777" w:rsidR="009208C8" w:rsidRPr="009019D6" w:rsidRDefault="009208C8" w:rsidP="009208C8">
            <w:pPr>
              <w:spacing w:after="0" w:line="240" w:lineRule="auto"/>
              <w:ind w:firstLine="351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>82434,4</w:t>
            </w:r>
          </w:p>
        </w:tc>
      </w:tr>
    </w:tbl>
    <w:p w14:paraId="30083360" w14:textId="080BC133" w:rsidR="009208C8" w:rsidRDefault="000E29BA" w:rsidP="009208C8">
      <w:pPr>
        <w:pStyle w:val="Default"/>
        <w:ind w:firstLine="709"/>
        <w:jc w:val="both"/>
        <w:rPr>
          <w:lang w:val="en-US"/>
        </w:rPr>
      </w:pPr>
      <w:r w:rsidRPr="000E29BA">
        <w:t>2025 г. – согласно проекту НДВ всего 186 источников загрязнения атмосферы, из которых 88 источников ЗВ являются организованными источниками и 98 источников ЗВ – неорганизованными.</w:t>
      </w:r>
    </w:p>
    <w:p w14:paraId="2E0A4A40" w14:textId="77777777" w:rsidR="000E29BA" w:rsidRPr="000E29BA" w:rsidRDefault="000E29BA" w:rsidP="000E29BA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0E29BA">
        <w:rPr>
          <w:rFonts w:ascii="Arial" w:eastAsia="Times New Roman" w:hAnsi="Arial" w:cs="Arial"/>
          <w:kern w:val="0"/>
          <w:lang w:val="ru-RU" w:eastAsia="ru-RU"/>
          <w14:ligatures w14:val="none"/>
        </w:rPr>
        <w:t>Валовые выбросы загрязняющих веществ в атмосферу при планируемой производственной деятельности ТОО «Meerbusch» от стационарных источников:</w:t>
      </w:r>
    </w:p>
    <w:p w14:paraId="58F96538" w14:textId="77777777" w:rsidR="000E29BA" w:rsidRPr="000E29BA" w:rsidRDefault="000E29BA" w:rsidP="000E29BA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0E29BA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– согласно расчетам выловые выбросы по предприятию всего составит- </w:t>
      </w:r>
      <w:r w:rsidRPr="000E29BA">
        <w:rPr>
          <w:rFonts w:ascii="Arial" w:eastAsia="Times New Roman" w:hAnsi="Arial" w:cs="Arial"/>
          <w:b/>
          <w:kern w:val="0"/>
          <w:lang w:val="ru-RU" w:eastAsia="ru-RU"/>
          <w14:ligatures w14:val="none"/>
        </w:rPr>
        <w:t>507,5796211 т/год</w:t>
      </w:r>
      <w:r w:rsidRPr="000E29BA">
        <w:rPr>
          <w:rFonts w:ascii="Arial" w:eastAsia="Times New Roman" w:hAnsi="Arial" w:cs="Arial"/>
          <w:b/>
          <w:kern w:val="0"/>
          <w:lang w:val="kk-KZ" w:eastAsia="ru-RU"/>
          <w14:ligatures w14:val="none"/>
        </w:rPr>
        <w:t>.</w:t>
      </w:r>
    </w:p>
    <w:p w14:paraId="1B26F23F" w14:textId="46417A30" w:rsidR="003629E9" w:rsidRPr="000E29BA" w:rsidRDefault="003629E9" w:rsidP="000E29BA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3629E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Краткая характеристика технологии производства и технологического оборудования</w:t>
      </w:r>
    </w:p>
    <w:p w14:paraId="70AA32DB" w14:textId="77777777" w:rsidR="00F549F4" w:rsidRPr="009019D6" w:rsidRDefault="00F549F4" w:rsidP="00F549F4">
      <w:pPr>
        <w:spacing w:after="0" w:line="240" w:lineRule="auto"/>
        <w:jc w:val="center"/>
        <w:rPr>
          <w:rFonts w:ascii="Arial" w:hAnsi="Arial" w:cs="Arial"/>
        </w:rPr>
      </w:pPr>
      <w:r w:rsidRPr="009019D6">
        <w:rPr>
          <w:rFonts w:ascii="Arial" w:hAnsi="Arial" w:cs="Arial"/>
          <w:b/>
          <w:i/>
          <w:iCs/>
        </w:rPr>
        <w:t>Существующая система сбора, подготовки и транспорта готовой продукции</w:t>
      </w:r>
      <w:r w:rsidRPr="009019D6">
        <w:rPr>
          <w:rFonts w:ascii="Arial" w:hAnsi="Arial" w:cs="Arial"/>
          <w:i/>
          <w:iCs/>
        </w:rPr>
        <w:t>.</w:t>
      </w:r>
    </w:p>
    <w:p w14:paraId="4C6E013B" w14:textId="77777777" w:rsidR="00F549F4" w:rsidRPr="009019D6" w:rsidRDefault="00F549F4" w:rsidP="00F549F4">
      <w:pPr>
        <w:pStyle w:val="ae"/>
        <w:spacing w:line="240" w:lineRule="auto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 xml:space="preserve">На месторождении Кульжан для сбора и транспорта нефти по проекту предусмотрена лучевая герметизированная напорная система сбора продукции, которая до минимума сокращает потери нефти и газа при внутрипромысловом сборе и подготовке нефти по месторождению и при транспортировке нефти по трубопроводу. </w:t>
      </w:r>
    </w:p>
    <w:p w14:paraId="33321012" w14:textId="77777777" w:rsidR="00F549F4" w:rsidRPr="009019D6" w:rsidRDefault="00F549F4" w:rsidP="00F549F4">
      <w:pPr>
        <w:pStyle w:val="ae"/>
        <w:spacing w:before="60" w:line="240" w:lineRule="auto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>Для замера дебитов все добывающие скважины подключаются к автоматизированным групповым замерным установкам по территориальному признаку без учета принадлежности скважин к объектам разработки.</w:t>
      </w:r>
    </w:p>
    <w:p w14:paraId="229F6200" w14:textId="77777777" w:rsidR="00F549F4" w:rsidRPr="009019D6" w:rsidRDefault="00F549F4" w:rsidP="00F549F4">
      <w:pPr>
        <w:pStyle w:val="ae"/>
        <w:spacing w:before="60" w:line="240" w:lineRule="auto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 xml:space="preserve">На групповых автоматизированных установках и УПН установлено стандартное типовое оборудование: нефтегазовые сепараторы, газовые сепараторы, конденсатосборники, буферные емкости, насосы для откачки нефти, автоматизированные подогреватели нефти типа ПП–0,63А, дренажные емкости и т.д. </w:t>
      </w:r>
    </w:p>
    <w:p w14:paraId="577F5D36" w14:textId="77777777" w:rsidR="00F549F4" w:rsidRPr="009019D6" w:rsidRDefault="00F549F4" w:rsidP="00F549F4">
      <w:pPr>
        <w:pStyle w:val="ae"/>
        <w:spacing w:before="60" w:line="240" w:lineRule="auto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 xml:space="preserve">На месторождении Кульжан отделение нефти от газа происходит на нефтегазовых сепараторах УПН и АГЗУ, где на объектах сепарации нефти от газа попутный газ будет отделяться от добытой нефти, поступающей от подключенных нефтяных скважин. </w:t>
      </w:r>
    </w:p>
    <w:p w14:paraId="4C27B7D5" w14:textId="77777777" w:rsidR="00F549F4" w:rsidRPr="009019D6" w:rsidRDefault="00F549F4" w:rsidP="00F549F4">
      <w:pPr>
        <w:pStyle w:val="ae"/>
        <w:spacing w:before="60" w:line="240" w:lineRule="auto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 xml:space="preserve">Для проведения ремонтных работ и во время аварийных ситуаций для сжигания газа на установке подготовке нефти имеется факельная система низкого и высокого давления, на АГЗУ предусмотрены аварийные свечи. </w:t>
      </w:r>
    </w:p>
    <w:p w14:paraId="2AC450B4" w14:textId="77777777" w:rsidR="00F549F4" w:rsidRDefault="00F549F4" w:rsidP="00F549F4">
      <w:pPr>
        <w:pStyle w:val="ae"/>
        <w:spacing w:before="60" w:line="240" w:lineRule="auto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 xml:space="preserve">Сбор и реализация продукции со скважин осуществляются по ранее созданной герметизированной системе, состоящей из индивидуальных выкидных трубопроводов для каждой скважины и ГЗУ-1. </w:t>
      </w:r>
    </w:p>
    <w:p w14:paraId="0DC75D37" w14:textId="77777777" w:rsidR="00F549F4" w:rsidRPr="009019D6" w:rsidRDefault="00F549F4" w:rsidP="00F549F4">
      <w:pPr>
        <w:spacing w:before="240" w:after="120"/>
        <w:rPr>
          <w:rFonts w:ascii="Arial" w:hAnsi="Arial" w:cs="Arial"/>
          <w:i/>
          <w:color w:val="000000"/>
        </w:rPr>
      </w:pPr>
      <w:r w:rsidRPr="009019D6">
        <w:rPr>
          <w:rFonts w:ascii="Arial" w:hAnsi="Arial" w:cs="Arial"/>
          <w:b/>
          <w:i/>
          <w:color w:val="000000"/>
        </w:rPr>
        <w:t>Групповые замерные установки (ГЗУ-1)</w:t>
      </w:r>
    </w:p>
    <w:p w14:paraId="344FBC7B" w14:textId="77777777" w:rsidR="00F549F4" w:rsidRPr="009019D6" w:rsidRDefault="00F549F4" w:rsidP="00F549F4">
      <w:pPr>
        <w:spacing w:after="120"/>
        <w:jc w:val="both"/>
        <w:rPr>
          <w:rFonts w:ascii="Arial" w:hAnsi="Arial" w:cs="Arial"/>
          <w:color w:val="000000"/>
        </w:rPr>
      </w:pPr>
      <w:r w:rsidRPr="009019D6">
        <w:rPr>
          <w:rFonts w:ascii="Arial" w:hAnsi="Arial" w:cs="Arial"/>
          <w:color w:val="000000"/>
        </w:rPr>
        <w:t>Нефтяная эмульсия по нефтесборному коллектору поступает на групповую замерную установку. В состав групповой установки входят следующие сооружения:</w:t>
      </w:r>
    </w:p>
    <w:p w14:paraId="71FE88AE" w14:textId="77777777" w:rsidR="00F549F4" w:rsidRPr="009019D6" w:rsidRDefault="00F549F4" w:rsidP="00F549F4">
      <w:pPr>
        <w:spacing w:after="120"/>
        <w:ind w:firstLine="709"/>
        <w:rPr>
          <w:rFonts w:ascii="Arial" w:hAnsi="Arial" w:cs="Arial"/>
          <w:color w:val="000000"/>
        </w:rPr>
      </w:pPr>
      <w:r w:rsidRPr="009019D6">
        <w:rPr>
          <w:rFonts w:ascii="Arial" w:hAnsi="Arial" w:cs="Arial"/>
          <w:color w:val="000000"/>
        </w:rPr>
        <w:t xml:space="preserve"> - Автоматизированная замерная установка «Спутник АМ-40-10-400»;</w:t>
      </w:r>
    </w:p>
    <w:p w14:paraId="4CCE7EC9" w14:textId="77777777" w:rsidR="00F549F4" w:rsidRPr="009019D6" w:rsidRDefault="00F549F4" w:rsidP="00F549F4">
      <w:pPr>
        <w:spacing w:after="120"/>
        <w:ind w:firstLine="709"/>
        <w:rPr>
          <w:rFonts w:ascii="Arial" w:hAnsi="Arial" w:cs="Arial"/>
          <w:color w:val="000000"/>
        </w:rPr>
      </w:pPr>
      <w:r w:rsidRPr="009019D6">
        <w:rPr>
          <w:rFonts w:ascii="Arial" w:hAnsi="Arial" w:cs="Arial"/>
          <w:color w:val="000000"/>
        </w:rPr>
        <w:t xml:space="preserve"> - Нефтегазосепаратор НГС-1- 1.6-1600-2-И-Т;</w:t>
      </w:r>
    </w:p>
    <w:p w14:paraId="28E2BD5D" w14:textId="77777777" w:rsidR="00F549F4" w:rsidRPr="009019D6" w:rsidRDefault="00F549F4" w:rsidP="00F549F4">
      <w:pPr>
        <w:spacing w:after="120"/>
        <w:ind w:firstLine="709"/>
        <w:rPr>
          <w:rFonts w:ascii="Arial" w:hAnsi="Arial" w:cs="Arial"/>
          <w:color w:val="000000"/>
        </w:rPr>
      </w:pPr>
      <w:r w:rsidRPr="009019D6">
        <w:rPr>
          <w:rFonts w:ascii="Arial" w:hAnsi="Arial" w:cs="Arial"/>
          <w:color w:val="000000"/>
        </w:rPr>
        <w:t xml:space="preserve"> - Газосепаратор ГС1-2,5-600-2-И-Т;</w:t>
      </w:r>
    </w:p>
    <w:p w14:paraId="1D87522F" w14:textId="77777777" w:rsidR="00F549F4" w:rsidRPr="009019D6" w:rsidRDefault="00F549F4" w:rsidP="00F549F4">
      <w:pPr>
        <w:spacing w:after="120"/>
        <w:ind w:firstLine="709"/>
        <w:rPr>
          <w:rFonts w:ascii="Arial" w:hAnsi="Arial" w:cs="Arial"/>
          <w:color w:val="000000"/>
        </w:rPr>
      </w:pPr>
      <w:r w:rsidRPr="009019D6">
        <w:rPr>
          <w:rFonts w:ascii="Arial" w:hAnsi="Arial" w:cs="Arial"/>
          <w:color w:val="000000"/>
        </w:rPr>
        <w:t xml:space="preserve"> - Емкостной аппарат 1- 50-1,6-1-И-Т;</w:t>
      </w:r>
    </w:p>
    <w:p w14:paraId="6B688DCB" w14:textId="77777777" w:rsidR="00F549F4" w:rsidRPr="009019D6" w:rsidRDefault="00F549F4" w:rsidP="00F549F4">
      <w:pPr>
        <w:spacing w:after="120"/>
        <w:ind w:firstLine="709"/>
        <w:rPr>
          <w:rFonts w:ascii="Arial" w:hAnsi="Arial" w:cs="Arial"/>
          <w:color w:val="000000"/>
        </w:rPr>
      </w:pPr>
      <w:r w:rsidRPr="009019D6">
        <w:rPr>
          <w:rFonts w:ascii="Arial" w:hAnsi="Arial" w:cs="Arial"/>
          <w:color w:val="000000"/>
        </w:rPr>
        <w:t xml:space="preserve"> - Подогреватель нефти автоматизированный ПП-0,63А</w:t>
      </w:r>
      <w:r>
        <w:rPr>
          <w:rFonts w:ascii="Arial" w:hAnsi="Arial" w:cs="Arial"/>
          <w:color w:val="000000"/>
        </w:rPr>
        <w:t>, УН-02</w:t>
      </w:r>
      <w:r w:rsidRPr="009019D6">
        <w:rPr>
          <w:rFonts w:ascii="Arial" w:hAnsi="Arial" w:cs="Arial"/>
          <w:color w:val="000000"/>
        </w:rPr>
        <w:t>;</w:t>
      </w:r>
    </w:p>
    <w:p w14:paraId="251491D8" w14:textId="77777777" w:rsidR="00F549F4" w:rsidRPr="009019D6" w:rsidRDefault="00F549F4" w:rsidP="00F549F4">
      <w:pPr>
        <w:spacing w:after="120"/>
        <w:ind w:firstLine="709"/>
        <w:rPr>
          <w:rFonts w:ascii="Arial" w:hAnsi="Arial" w:cs="Arial"/>
          <w:color w:val="000000"/>
        </w:rPr>
      </w:pPr>
      <w:r w:rsidRPr="009019D6">
        <w:rPr>
          <w:rFonts w:ascii="Arial" w:hAnsi="Arial" w:cs="Arial"/>
          <w:color w:val="000000"/>
        </w:rPr>
        <w:t xml:space="preserve"> - Нефтяная насосная (ЦНСнА 38-110 – 1раб; 1 рез.)</w:t>
      </w:r>
    </w:p>
    <w:p w14:paraId="212BD0EE" w14:textId="77777777" w:rsidR="00F549F4" w:rsidRPr="009019D6" w:rsidRDefault="00F549F4" w:rsidP="00F549F4">
      <w:pPr>
        <w:spacing w:after="120"/>
        <w:ind w:firstLine="709"/>
        <w:rPr>
          <w:rFonts w:ascii="Arial" w:hAnsi="Arial" w:cs="Arial"/>
          <w:color w:val="000000"/>
        </w:rPr>
      </w:pPr>
      <w:r w:rsidRPr="009019D6">
        <w:rPr>
          <w:rFonts w:ascii="Arial" w:hAnsi="Arial" w:cs="Arial"/>
          <w:color w:val="000000"/>
        </w:rPr>
        <w:t xml:space="preserve"> - Емкость подземная дренажная ЕП-16-2000-1-3 с погружным электронасосным агрегатом НВ-50-50; N=18,5 кВт.</w:t>
      </w:r>
    </w:p>
    <w:p w14:paraId="28FAFC8D" w14:textId="77777777" w:rsidR="00F549F4" w:rsidRPr="009019D6" w:rsidRDefault="00F549F4" w:rsidP="00F549F4">
      <w:pPr>
        <w:spacing w:after="120"/>
        <w:ind w:firstLine="709"/>
        <w:rPr>
          <w:rFonts w:ascii="Arial" w:hAnsi="Arial" w:cs="Arial"/>
          <w:color w:val="000000"/>
        </w:rPr>
      </w:pPr>
      <w:r w:rsidRPr="009019D6">
        <w:rPr>
          <w:rFonts w:ascii="Arial" w:hAnsi="Arial" w:cs="Arial"/>
          <w:color w:val="000000"/>
        </w:rPr>
        <w:t xml:space="preserve"> - Факельная установка;</w:t>
      </w:r>
    </w:p>
    <w:p w14:paraId="3FB768A4" w14:textId="77777777" w:rsidR="00F549F4" w:rsidRPr="009019D6" w:rsidRDefault="00F549F4" w:rsidP="00F549F4">
      <w:pPr>
        <w:spacing w:after="120"/>
        <w:ind w:firstLine="709"/>
        <w:rPr>
          <w:rFonts w:ascii="Arial" w:hAnsi="Arial" w:cs="Arial"/>
          <w:color w:val="000000"/>
        </w:rPr>
      </w:pPr>
      <w:r w:rsidRPr="009019D6">
        <w:rPr>
          <w:rFonts w:ascii="Arial" w:hAnsi="Arial" w:cs="Arial"/>
          <w:color w:val="000000"/>
        </w:rPr>
        <w:t xml:space="preserve"> - Вытяжная свеча Ду=50мм; Н = 5м;</w:t>
      </w:r>
    </w:p>
    <w:p w14:paraId="7A3636FD" w14:textId="77777777" w:rsidR="00F549F4" w:rsidRPr="009019D6" w:rsidRDefault="00F549F4" w:rsidP="00F549F4">
      <w:pPr>
        <w:pStyle w:val="af0"/>
        <w:spacing w:before="0"/>
        <w:ind w:firstLine="709"/>
        <w:rPr>
          <w:rFonts w:cs="Arial"/>
          <w:szCs w:val="22"/>
        </w:rPr>
      </w:pPr>
      <w:r w:rsidRPr="009019D6">
        <w:rPr>
          <w:rFonts w:cs="Arial"/>
          <w:szCs w:val="22"/>
        </w:rPr>
        <w:lastRenderedPageBreak/>
        <w:t xml:space="preserve"> - Конденсатосборник;</w:t>
      </w:r>
    </w:p>
    <w:p w14:paraId="0CE878D5" w14:textId="77777777" w:rsidR="00F549F4" w:rsidRPr="009019D6" w:rsidRDefault="00F549F4" w:rsidP="00F549F4">
      <w:pPr>
        <w:pStyle w:val="af0"/>
        <w:spacing w:before="0"/>
        <w:ind w:firstLine="709"/>
        <w:rPr>
          <w:rFonts w:cs="Arial"/>
          <w:szCs w:val="22"/>
        </w:rPr>
      </w:pPr>
      <w:r w:rsidRPr="009019D6">
        <w:rPr>
          <w:rFonts w:cs="Arial"/>
          <w:szCs w:val="22"/>
        </w:rPr>
        <w:t xml:space="preserve"> - ДЭС</w:t>
      </w:r>
      <w:r>
        <w:rPr>
          <w:rFonts w:cs="Arial"/>
          <w:szCs w:val="22"/>
        </w:rPr>
        <w:t xml:space="preserve"> 32 кВт и 360 кВт</w:t>
      </w:r>
      <w:r w:rsidRPr="009019D6">
        <w:rPr>
          <w:rFonts w:cs="Arial"/>
          <w:szCs w:val="22"/>
        </w:rPr>
        <w:t xml:space="preserve">. </w:t>
      </w:r>
    </w:p>
    <w:p w14:paraId="4D702CAA" w14:textId="77777777" w:rsidR="00F549F4" w:rsidRPr="009019D6" w:rsidRDefault="00F549F4" w:rsidP="00F549F4">
      <w:pPr>
        <w:pStyle w:val="af0"/>
        <w:spacing w:before="0"/>
        <w:ind w:firstLine="709"/>
        <w:rPr>
          <w:rFonts w:cs="Arial"/>
          <w:szCs w:val="22"/>
        </w:rPr>
      </w:pPr>
      <w:r w:rsidRPr="009019D6">
        <w:rPr>
          <w:rFonts w:cs="Arial"/>
          <w:szCs w:val="22"/>
        </w:rPr>
        <w:t xml:space="preserve"> - Технологические трубопроводы.</w:t>
      </w:r>
    </w:p>
    <w:p w14:paraId="79BF5A76" w14:textId="77777777" w:rsidR="00F549F4" w:rsidRPr="009019D6" w:rsidRDefault="00F549F4" w:rsidP="00F549F4">
      <w:pPr>
        <w:ind w:firstLine="567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 xml:space="preserve">На ГЗУ-1 установлена АГЗУ типа «Спутник» АМ-40-10-400, на УПН установлена АГЗУ типа «Спутник» АМ-40-8-400.  </w:t>
      </w:r>
    </w:p>
    <w:p w14:paraId="3CFE64BE" w14:textId="77777777" w:rsidR="00F549F4" w:rsidRPr="009019D6" w:rsidRDefault="00F549F4" w:rsidP="00F549F4">
      <w:pPr>
        <w:ind w:firstLine="567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 xml:space="preserve">Технологический процесс осуществляется следующим образом. Добываемая продукция со скважин по выкидным трубопроводам поступает на АЗУ, которая располагается на площадке ГЗУ-1, где производится автоматический замер дебитов скважин по жидкости. После замера жидкость поступает в нефтегазовый сепаратор, где происходит отделение жидкости от газа. Далее водонефтяная эмульсия поступает на печь подогрева ПП-0,63А, где подогревается до температуры 60-65°С. Затем подогретая водонефтяная эмульсия поступает в емкостной аппарат, откуда насосами типа ЦНС перекачивается по сточному трубопроводу Ду-150 мм на УПН. </w:t>
      </w:r>
    </w:p>
    <w:p w14:paraId="066B9AE1" w14:textId="77777777" w:rsidR="00F549F4" w:rsidRPr="009019D6" w:rsidRDefault="00F549F4" w:rsidP="00F549F4">
      <w:pPr>
        <w:ind w:firstLine="567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>Для сброса газа с предохранительных клапанов и аварийного сжигания установлена факельная установка для сжигания газа. Для продувки газа с дренажной емкости предусмотрена продувочная свеча.</w:t>
      </w:r>
    </w:p>
    <w:p w14:paraId="692152A6" w14:textId="77777777" w:rsidR="00F549F4" w:rsidRPr="009019D6" w:rsidRDefault="00F549F4" w:rsidP="00F549F4">
      <w:pPr>
        <w:ind w:firstLine="567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>Газ с НГС поступает в вертикальный сепаратор, где происходит осушка газа и далее осушенный газ идет на печь подогрева ПП-0,63А, излишек газа по газопроводу Ø114 мм от ГЗУ-1 поступает на КС.</w:t>
      </w:r>
    </w:p>
    <w:p w14:paraId="3E6C8AE3" w14:textId="77777777" w:rsidR="00F549F4" w:rsidRPr="009019D6" w:rsidRDefault="00F549F4" w:rsidP="00F549F4">
      <w:pPr>
        <w:ind w:firstLine="567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 xml:space="preserve">Подготовка добытой продукции до товарной кондиции осуществляется на установке подготовки нефти (УПН). </w:t>
      </w:r>
    </w:p>
    <w:p w14:paraId="40379F0B" w14:textId="77777777" w:rsidR="00F549F4" w:rsidRPr="009019D6" w:rsidRDefault="00F549F4" w:rsidP="00F549F4">
      <w:pPr>
        <w:spacing w:before="240" w:after="120"/>
        <w:ind w:firstLine="567"/>
        <w:rPr>
          <w:rFonts w:ascii="Arial" w:hAnsi="Arial" w:cs="Arial"/>
          <w:b/>
          <w:i/>
          <w:color w:val="000000"/>
        </w:rPr>
      </w:pPr>
      <w:bookmarkStart w:id="2" w:name="_Toc277577801"/>
      <w:bookmarkStart w:id="3" w:name="_Toc277583698"/>
      <w:bookmarkStart w:id="4" w:name="_Toc283058778"/>
      <w:bookmarkStart w:id="5" w:name="_Toc366103914"/>
      <w:r w:rsidRPr="009019D6">
        <w:rPr>
          <w:rFonts w:ascii="Arial" w:hAnsi="Arial" w:cs="Arial"/>
          <w:b/>
          <w:i/>
          <w:color w:val="000000"/>
        </w:rPr>
        <w:t>Установка подготовки нефти (УПН)</w:t>
      </w:r>
      <w:bookmarkEnd w:id="2"/>
      <w:bookmarkEnd w:id="3"/>
      <w:bookmarkEnd w:id="4"/>
      <w:bookmarkEnd w:id="5"/>
    </w:p>
    <w:p w14:paraId="30DD3606" w14:textId="77777777" w:rsidR="00F549F4" w:rsidRPr="009019D6" w:rsidRDefault="00F549F4" w:rsidP="00F549F4">
      <w:pPr>
        <w:pStyle w:val="af0"/>
        <w:spacing w:before="0"/>
        <w:ind w:firstLine="567"/>
        <w:rPr>
          <w:rFonts w:cs="Arial"/>
          <w:szCs w:val="22"/>
        </w:rPr>
      </w:pPr>
      <w:r w:rsidRPr="009019D6">
        <w:rPr>
          <w:rFonts w:cs="Arial"/>
          <w:szCs w:val="22"/>
        </w:rPr>
        <w:t xml:space="preserve">Установка подготовки нефти (УПН) предназначена для промысловой подготовки нефти, пластовой сточной воды, попутного нефтяного газа и включают следующие процессы: </w:t>
      </w:r>
    </w:p>
    <w:p w14:paraId="316E5388" w14:textId="77777777" w:rsidR="00F549F4" w:rsidRPr="009019D6" w:rsidRDefault="00F549F4" w:rsidP="00F549F4">
      <w:pPr>
        <w:pStyle w:val="2"/>
        <w:numPr>
          <w:ilvl w:val="0"/>
          <w:numId w:val="7"/>
        </w:numPr>
        <w:spacing w:before="0" w:after="120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>замер поступающей продукции со скважин на АГЗУ УПН;</w:t>
      </w:r>
    </w:p>
    <w:p w14:paraId="70874997" w14:textId="77777777" w:rsidR="00F549F4" w:rsidRPr="009019D6" w:rsidRDefault="00F549F4" w:rsidP="00F549F4">
      <w:pPr>
        <w:pStyle w:val="2"/>
        <w:numPr>
          <w:ilvl w:val="0"/>
          <w:numId w:val="7"/>
        </w:numPr>
        <w:spacing w:before="0" w:after="120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 xml:space="preserve">подготовка и сдача товарной нефти; </w:t>
      </w:r>
    </w:p>
    <w:p w14:paraId="111F271C" w14:textId="77777777" w:rsidR="00F549F4" w:rsidRPr="009019D6" w:rsidRDefault="00F549F4" w:rsidP="00F549F4">
      <w:pPr>
        <w:pStyle w:val="2"/>
        <w:numPr>
          <w:ilvl w:val="0"/>
          <w:numId w:val="7"/>
        </w:numPr>
        <w:spacing w:before="0" w:after="120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 xml:space="preserve">подготовка попутной пластовой воды для ее закачки в продуктивные пласты; </w:t>
      </w:r>
    </w:p>
    <w:p w14:paraId="732C1D62" w14:textId="77777777" w:rsidR="00F549F4" w:rsidRPr="009019D6" w:rsidRDefault="00F549F4" w:rsidP="00F549F4">
      <w:pPr>
        <w:pStyle w:val="2"/>
        <w:numPr>
          <w:ilvl w:val="0"/>
          <w:numId w:val="7"/>
        </w:numPr>
        <w:spacing w:before="0" w:after="120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>потребление попутного нефтяного газа на собственные нужды, сдача избыточного попутного нефтяного газа на объекты утилизации после ввода в эксплуатацию газопровода.</w:t>
      </w:r>
    </w:p>
    <w:p w14:paraId="7E702BFD" w14:textId="77777777" w:rsidR="00F549F4" w:rsidRPr="009019D6" w:rsidRDefault="00F549F4" w:rsidP="00F549F4">
      <w:pPr>
        <w:pStyle w:val="af0"/>
        <w:spacing w:before="0"/>
        <w:ind w:firstLine="709"/>
        <w:rPr>
          <w:rFonts w:cs="Arial"/>
          <w:szCs w:val="22"/>
        </w:rPr>
      </w:pPr>
      <w:r w:rsidRPr="009019D6">
        <w:rPr>
          <w:rFonts w:cs="Arial"/>
          <w:szCs w:val="22"/>
        </w:rPr>
        <w:t xml:space="preserve">Технология подготовки нефти на УПН предусматривает следующие требования: </w:t>
      </w:r>
    </w:p>
    <w:p w14:paraId="30547EA0" w14:textId="77777777" w:rsidR="00F549F4" w:rsidRPr="009019D6" w:rsidRDefault="00F549F4" w:rsidP="00F549F4">
      <w:pPr>
        <w:pStyle w:val="2"/>
        <w:numPr>
          <w:ilvl w:val="0"/>
          <w:numId w:val="8"/>
        </w:numPr>
        <w:spacing w:before="0" w:after="120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 xml:space="preserve">герметизацию и надежность эксплуатации всех объектов системы подготовки нефти; </w:t>
      </w:r>
    </w:p>
    <w:p w14:paraId="348A8163" w14:textId="77777777" w:rsidR="00F549F4" w:rsidRPr="009019D6" w:rsidRDefault="00F549F4" w:rsidP="00F549F4">
      <w:pPr>
        <w:pStyle w:val="2"/>
        <w:numPr>
          <w:ilvl w:val="0"/>
          <w:numId w:val="8"/>
        </w:numPr>
        <w:spacing w:before="0" w:after="120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>замер поступающей на УПН с нефтепромыслов продукции;</w:t>
      </w:r>
    </w:p>
    <w:p w14:paraId="409294D2" w14:textId="77777777" w:rsidR="00F549F4" w:rsidRPr="009019D6" w:rsidRDefault="00F549F4" w:rsidP="00F549F4">
      <w:pPr>
        <w:pStyle w:val="2"/>
        <w:numPr>
          <w:ilvl w:val="0"/>
          <w:numId w:val="8"/>
        </w:numPr>
        <w:spacing w:before="0" w:after="120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>контроль технологических параметров работы оборудования;</w:t>
      </w:r>
    </w:p>
    <w:p w14:paraId="52641EAB" w14:textId="77777777" w:rsidR="00F549F4" w:rsidRPr="009019D6" w:rsidRDefault="00F549F4" w:rsidP="00F549F4">
      <w:pPr>
        <w:pStyle w:val="2"/>
        <w:numPr>
          <w:ilvl w:val="0"/>
          <w:numId w:val="8"/>
        </w:numPr>
        <w:spacing w:before="0" w:after="120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>контроль параметров сырой и товарной нефти;</w:t>
      </w:r>
    </w:p>
    <w:p w14:paraId="65F972EA" w14:textId="77777777" w:rsidR="00F549F4" w:rsidRPr="009019D6" w:rsidRDefault="00F549F4" w:rsidP="00F549F4">
      <w:pPr>
        <w:pStyle w:val="2"/>
        <w:numPr>
          <w:ilvl w:val="0"/>
          <w:numId w:val="8"/>
        </w:numPr>
        <w:spacing w:before="0" w:after="120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>дегазацию нефти;</w:t>
      </w:r>
    </w:p>
    <w:p w14:paraId="2DBA7152" w14:textId="77777777" w:rsidR="00F549F4" w:rsidRPr="009019D6" w:rsidRDefault="00F549F4" w:rsidP="00F549F4">
      <w:pPr>
        <w:pStyle w:val="2"/>
        <w:numPr>
          <w:ilvl w:val="0"/>
          <w:numId w:val="8"/>
        </w:numPr>
        <w:spacing w:before="0" w:after="120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 xml:space="preserve">обеспечение подготовки товарной нефти в соответствии с требованиями СТ РК 1347–2005 (ГОСТ Р 51858–2002, </w:t>
      </w:r>
      <w:r w:rsidRPr="009019D6">
        <w:rPr>
          <w:rFonts w:ascii="Arial" w:hAnsi="Arial" w:cs="Arial"/>
          <w:sz w:val="22"/>
          <w:szCs w:val="22"/>
          <w:lang w:val="en-US"/>
        </w:rPr>
        <w:t>MOD</w:t>
      </w:r>
      <w:r w:rsidRPr="009019D6">
        <w:rPr>
          <w:rFonts w:ascii="Arial" w:hAnsi="Arial" w:cs="Arial"/>
          <w:sz w:val="22"/>
          <w:szCs w:val="22"/>
        </w:rPr>
        <w:t>);</w:t>
      </w:r>
    </w:p>
    <w:p w14:paraId="649A295C" w14:textId="77777777" w:rsidR="00F549F4" w:rsidRPr="009019D6" w:rsidRDefault="00F549F4" w:rsidP="00F549F4">
      <w:pPr>
        <w:pStyle w:val="2"/>
        <w:numPr>
          <w:ilvl w:val="0"/>
          <w:numId w:val="8"/>
        </w:numPr>
        <w:spacing w:before="0" w:after="120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>подготовку сточной воды для закачки в систему поддержания пластового давления (ППД);</w:t>
      </w:r>
    </w:p>
    <w:p w14:paraId="09318EB5" w14:textId="77777777" w:rsidR="00F549F4" w:rsidRPr="009019D6" w:rsidRDefault="00F549F4" w:rsidP="00F549F4">
      <w:pPr>
        <w:pStyle w:val="2"/>
        <w:numPr>
          <w:ilvl w:val="0"/>
          <w:numId w:val="8"/>
        </w:numPr>
        <w:spacing w:before="0" w:after="120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>учет объемов подготовленной нефти и сточной воды;</w:t>
      </w:r>
    </w:p>
    <w:p w14:paraId="4D3C78E4" w14:textId="77777777" w:rsidR="00F549F4" w:rsidRPr="009019D6" w:rsidRDefault="00F549F4" w:rsidP="00F549F4">
      <w:pPr>
        <w:pStyle w:val="2"/>
        <w:numPr>
          <w:ilvl w:val="0"/>
          <w:numId w:val="8"/>
        </w:numPr>
        <w:spacing w:before="0" w:after="120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lastRenderedPageBreak/>
        <w:t>учет объемов попутного газа, потребляемого на собственные нужды при подготовке нефти;</w:t>
      </w:r>
    </w:p>
    <w:p w14:paraId="23F69314" w14:textId="77777777" w:rsidR="00F549F4" w:rsidRPr="009019D6" w:rsidRDefault="00F549F4" w:rsidP="00F549F4">
      <w:pPr>
        <w:pStyle w:val="2"/>
        <w:numPr>
          <w:ilvl w:val="0"/>
          <w:numId w:val="8"/>
        </w:numPr>
        <w:spacing w:before="0" w:after="120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>автоматизацию и телемеханизацию технологических процессов;</w:t>
      </w:r>
    </w:p>
    <w:p w14:paraId="45752E59" w14:textId="77777777" w:rsidR="00F549F4" w:rsidRPr="009019D6" w:rsidRDefault="00F549F4" w:rsidP="00F549F4">
      <w:pPr>
        <w:pStyle w:val="2"/>
        <w:numPr>
          <w:ilvl w:val="0"/>
          <w:numId w:val="8"/>
        </w:numPr>
        <w:spacing w:before="0" w:after="120"/>
        <w:rPr>
          <w:rFonts w:ascii="Arial" w:hAnsi="Arial" w:cs="Arial"/>
          <w:sz w:val="22"/>
          <w:szCs w:val="22"/>
        </w:rPr>
      </w:pPr>
      <w:r w:rsidRPr="009019D6">
        <w:rPr>
          <w:rFonts w:ascii="Arial" w:hAnsi="Arial" w:cs="Arial"/>
          <w:sz w:val="22"/>
          <w:szCs w:val="22"/>
        </w:rPr>
        <w:t xml:space="preserve">минимальные технологические потери нефти и газа. </w:t>
      </w:r>
    </w:p>
    <w:p w14:paraId="3B7FDC22" w14:textId="77777777" w:rsidR="00F549F4" w:rsidRPr="009019D6" w:rsidRDefault="00F549F4" w:rsidP="00F549F4">
      <w:pPr>
        <w:pStyle w:val="af0"/>
        <w:spacing w:before="0"/>
        <w:ind w:firstLine="567"/>
        <w:rPr>
          <w:rFonts w:cs="Arial"/>
          <w:szCs w:val="22"/>
        </w:rPr>
      </w:pPr>
      <w:r w:rsidRPr="009019D6">
        <w:rPr>
          <w:rFonts w:cs="Arial"/>
          <w:szCs w:val="22"/>
        </w:rPr>
        <w:t>Нефтяная эмульсия по нефтесборным  коллекторам  от ГЗУ-1 и от ЗУ «Спутник АМ 40-8-400», размещаемый  на площадке УПН, поступает на нефтегазовый сепаратор НГС-1-1,6-2000-2 объемом 25 м</w:t>
      </w:r>
      <w:r w:rsidRPr="009019D6">
        <w:rPr>
          <w:rFonts w:cs="Arial"/>
          <w:szCs w:val="22"/>
          <w:vertAlign w:val="superscript"/>
        </w:rPr>
        <w:t>3</w:t>
      </w:r>
      <w:r w:rsidRPr="009019D6">
        <w:rPr>
          <w:rFonts w:cs="Arial"/>
          <w:szCs w:val="22"/>
        </w:rPr>
        <w:t>, в котором происходит разделение нефти и газа (</w:t>
      </w:r>
      <w:r w:rsidRPr="009019D6">
        <w:rPr>
          <w:rFonts w:cs="Arial"/>
          <w:szCs w:val="22"/>
          <w:lang w:val="en-US"/>
        </w:rPr>
        <w:t>I</w:t>
      </w:r>
      <w:r w:rsidRPr="009019D6">
        <w:rPr>
          <w:rFonts w:cs="Arial"/>
          <w:szCs w:val="22"/>
        </w:rPr>
        <w:t>I-я ступень сепарации нефти). Давление в нефтегазовом сепараторе контролируется регулятором давления, уровень жидкости контролируется регулятором уровня, контроль температуры осуществляется местными приборами.</w:t>
      </w:r>
    </w:p>
    <w:p w14:paraId="332CC8FD" w14:textId="77777777" w:rsidR="00F549F4" w:rsidRDefault="00F549F4" w:rsidP="00F549F4">
      <w:pPr>
        <w:pStyle w:val="af0"/>
        <w:spacing w:before="0"/>
        <w:ind w:firstLine="567"/>
        <w:rPr>
          <w:rFonts w:cs="Arial"/>
          <w:szCs w:val="22"/>
        </w:rPr>
      </w:pPr>
      <w:r w:rsidRPr="009019D6">
        <w:rPr>
          <w:rFonts w:cs="Arial"/>
          <w:szCs w:val="22"/>
        </w:rPr>
        <w:t>Выделившийся в нефтегазовом сепараторе газ направляется в газовый сепаратор ГС1-2,5-600-2 объемом 0,27 м</w:t>
      </w:r>
      <w:r w:rsidRPr="009019D6">
        <w:rPr>
          <w:rFonts w:cs="Arial"/>
          <w:szCs w:val="22"/>
          <w:vertAlign w:val="superscript"/>
        </w:rPr>
        <w:t>3</w:t>
      </w:r>
      <w:r w:rsidRPr="009019D6">
        <w:rPr>
          <w:rFonts w:cs="Arial"/>
          <w:szCs w:val="22"/>
        </w:rPr>
        <w:t>, где осуществляется очистка нефтяного газа от капельной жидкости и механических примесей, унесенных газом при сепарации нефти. Уровень уловленной жидкости в газовом сепараторе регулируется отсечным клапаном, с электроприводом. Уловленная жидкость отводится в дренажную подземную емкость ЕП-63-3000-1-2 объемом 63 м</w:t>
      </w:r>
      <w:r w:rsidRPr="009019D6">
        <w:rPr>
          <w:rFonts w:cs="Arial"/>
          <w:szCs w:val="22"/>
          <w:vertAlign w:val="superscript"/>
        </w:rPr>
        <w:t>3</w:t>
      </w:r>
      <w:r w:rsidRPr="009019D6">
        <w:rPr>
          <w:rFonts w:cs="Arial"/>
          <w:szCs w:val="22"/>
        </w:rPr>
        <w:t xml:space="preserve"> (ДЕ-1). Очищенный от влаги газ в качестве топлива, подается на подогреватели нефти ПП-0,63А, а остатки газа сжигаются на факельной установке УФМ-50 (до ввода газопровода). </w:t>
      </w:r>
    </w:p>
    <w:p w14:paraId="495CCB86" w14:textId="77777777" w:rsidR="00F549F4" w:rsidRPr="009019D6" w:rsidRDefault="00F549F4" w:rsidP="00F549F4">
      <w:pPr>
        <w:spacing w:before="240" w:after="120"/>
        <w:ind w:firstLine="567"/>
        <w:rPr>
          <w:rFonts w:ascii="Arial" w:hAnsi="Arial" w:cs="Arial"/>
          <w:b/>
          <w:i/>
          <w:color w:val="000000"/>
        </w:rPr>
      </w:pPr>
      <w:r w:rsidRPr="009019D6">
        <w:rPr>
          <w:rFonts w:ascii="Arial" w:hAnsi="Arial" w:cs="Arial"/>
          <w:b/>
          <w:i/>
          <w:color w:val="000000"/>
        </w:rPr>
        <w:t>Компрессорная станция (КС)</w:t>
      </w:r>
    </w:p>
    <w:p w14:paraId="07F8A7FA" w14:textId="77777777" w:rsidR="00F549F4" w:rsidRPr="009019D6" w:rsidRDefault="00F549F4" w:rsidP="00F549F4">
      <w:pPr>
        <w:ind w:firstLine="567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>Компрессорная станция предназначена для компримировании газа. Давление на входе в компрессор 0,1-0,2 Мпа, на выходе из компрессора 7,0 Мпа. Компрессорная установка AJAX-2802 LE в блочном исполнении является интегрированным мотор-компрессором с одним коленчатым валом и служит для сжатия газа.</w:t>
      </w:r>
    </w:p>
    <w:p w14:paraId="38DEDB9F" w14:textId="77777777" w:rsidR="00F549F4" w:rsidRPr="009019D6" w:rsidRDefault="00F549F4" w:rsidP="00F549F4">
      <w:pPr>
        <w:spacing w:before="240" w:after="120"/>
        <w:ind w:firstLine="567"/>
        <w:rPr>
          <w:rFonts w:ascii="Arial" w:hAnsi="Arial" w:cs="Arial"/>
          <w:b/>
          <w:i/>
          <w:color w:val="000000"/>
        </w:rPr>
      </w:pPr>
      <w:r w:rsidRPr="009019D6">
        <w:rPr>
          <w:rFonts w:ascii="Arial" w:hAnsi="Arial" w:cs="Arial"/>
          <w:b/>
          <w:i/>
          <w:color w:val="000000"/>
        </w:rPr>
        <w:t>Блок измерительных линий (БИЛ)</w:t>
      </w:r>
    </w:p>
    <w:p w14:paraId="589C36D5" w14:textId="77777777" w:rsidR="00F549F4" w:rsidRPr="009019D6" w:rsidRDefault="00F549F4" w:rsidP="00F549F4">
      <w:pPr>
        <w:ind w:firstLine="567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>Блок измерительных линий предназначен для учета транспортируемого попутного нефтяного газа на входе в узел коммерческого учета газа. На блоке предусмотрено измерение температуры и давление газа перед запорной арматурой. Блок измерительных линий установлен в районе УКПГ АО МНК «КазМунайТениз». Предусматрено отсечение БИЛ при выходе параметров среды за предельные значения, определяемые установками:</w:t>
      </w:r>
    </w:p>
    <w:p w14:paraId="7BF05B92" w14:textId="77777777" w:rsidR="00F549F4" w:rsidRPr="009019D6" w:rsidRDefault="00F549F4" w:rsidP="00F549F4">
      <w:pPr>
        <w:ind w:firstLine="567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>- падение давления в газовом сепараторе ГС-2;</w:t>
      </w:r>
    </w:p>
    <w:p w14:paraId="4EF5FA35" w14:textId="77777777" w:rsidR="00F549F4" w:rsidRPr="009019D6" w:rsidRDefault="00F549F4" w:rsidP="00F549F4">
      <w:pPr>
        <w:ind w:firstLine="567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>- превышение давления в газовом сепараторе ГС-2;</w:t>
      </w:r>
    </w:p>
    <w:p w14:paraId="4D8C9AFF" w14:textId="77777777" w:rsidR="00F549F4" w:rsidRPr="009019D6" w:rsidRDefault="00F549F4" w:rsidP="00F549F4">
      <w:pPr>
        <w:ind w:firstLine="567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>- падение давления в газопроводе;</w:t>
      </w:r>
    </w:p>
    <w:p w14:paraId="2622F703" w14:textId="77777777" w:rsidR="00F549F4" w:rsidRPr="009019D6" w:rsidRDefault="00F549F4" w:rsidP="00F549F4">
      <w:pPr>
        <w:ind w:firstLine="567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>- превышение давления в газопроводе.</w:t>
      </w:r>
    </w:p>
    <w:p w14:paraId="266B07C8" w14:textId="77777777" w:rsidR="00F549F4" w:rsidRPr="009019D6" w:rsidRDefault="00F549F4" w:rsidP="00F549F4">
      <w:pPr>
        <w:ind w:firstLine="567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 xml:space="preserve">Блок измерительных линий поставляется в блочном исполнении; помимо счетчиков, узел оснащается поточным хроматографом для обеспечения оперативного контроля компонентного состава газа, а также поточным анализатором точки росы по влаге и углеводородам. В состав БИЛ входят 2 измерительные линии, с возможностью «горячей замены». </w:t>
      </w:r>
    </w:p>
    <w:p w14:paraId="73164763" w14:textId="77777777" w:rsidR="00F549F4" w:rsidRPr="009019D6" w:rsidRDefault="00F549F4" w:rsidP="00F549F4">
      <w:pPr>
        <w:ind w:firstLine="567"/>
        <w:jc w:val="both"/>
        <w:rPr>
          <w:rFonts w:ascii="Arial" w:hAnsi="Arial" w:cs="Arial"/>
        </w:rPr>
      </w:pPr>
      <w:r w:rsidRPr="009019D6">
        <w:rPr>
          <w:rFonts w:ascii="Arial" w:hAnsi="Arial" w:cs="Arial"/>
        </w:rPr>
        <w:t xml:space="preserve">Продувочные свечи предназначены для продувки участков во время ремонтных работ, либо монтажа оборудования, а также при повышении давлении в газопроводе, устанавливаются на проектируемый газопровод и выводятся от площадок ГС-1 и компрессорной установки (КУ). </w:t>
      </w:r>
    </w:p>
    <w:p w14:paraId="38BDA8F6" w14:textId="77777777" w:rsidR="00F549F4" w:rsidRPr="009019D6" w:rsidRDefault="00F549F4" w:rsidP="00F549F4">
      <w:pPr>
        <w:pStyle w:val="af0"/>
        <w:spacing w:before="240"/>
        <w:ind w:firstLine="567"/>
        <w:rPr>
          <w:rFonts w:cs="Arial"/>
          <w:b/>
          <w:i/>
          <w:szCs w:val="22"/>
        </w:rPr>
      </w:pPr>
      <w:r w:rsidRPr="009019D6">
        <w:rPr>
          <w:rFonts w:cs="Arial"/>
          <w:b/>
          <w:i/>
          <w:szCs w:val="22"/>
        </w:rPr>
        <w:t>Газопоршневая электростанция (ЭГГ)</w:t>
      </w:r>
    </w:p>
    <w:p w14:paraId="5F07B2EB" w14:textId="77777777" w:rsidR="00F549F4" w:rsidRPr="009019D6" w:rsidRDefault="00F549F4" w:rsidP="00F549F4">
      <w:pPr>
        <w:pStyle w:val="af0"/>
        <w:ind w:firstLine="567"/>
        <w:rPr>
          <w:rFonts w:cs="Arial"/>
          <w:szCs w:val="22"/>
        </w:rPr>
      </w:pPr>
      <w:r w:rsidRPr="009019D6">
        <w:rPr>
          <w:rFonts w:cs="Arial"/>
          <w:szCs w:val="22"/>
        </w:rPr>
        <w:lastRenderedPageBreak/>
        <w:t>В качестве источника электроэнергии построено газопоршневая электростанция в составе четырех газопоршневых установок мощностью по 1288 кВА каждая номинальным напряжение 6 кВ. ГПЭС расположены на специально выделенной площадке площадью 3025 метров (55х55 метров). На площадке ГПУ размещены рядно с интервалом между блок-модулями 4 метра. ГПУ состоит из: генератора, двигателя генератора, системы охлаждения и панели управления. Также блок-модуль ГПУ включает в себя все необходимые вспомогательные системы, такие как: освещение, вентиляция и пожарообнаружение. В качестве ГПУ был выбран генератор SR4В компании Caterpillar с системой возбуждения на постоянных магнитах. В качестве двигателя применен четырехтактный газовый двигатель того же производителя. Каждое ГПУ включают в свой состав панель управления, которая обеспечивает автоматический контроль и управление генераторами, а также связь с вводными ячейками закрытого распределительного устройства номинальным напряжением 6 кВ (ЗРУ-6кВ). Для взаимодействия ГПУ между собой и вводными ячейками ЗРУ-6кВ, в комплект поставки ГПЭС входит главная панель управления, которая поставляется отдельно и размещена в здании операторной. Питание цепей контроля и управления панелей ГПУ и главной панели управления осуществляется от источника бесперебойного питания. Питание силовых цепей панели управления, таких как системы охлаждения генератора и вспомогательных систем освещения, обогрева и вентиляции осуществляется от главного распределительного щита ГРЩ, размещенного в помещении ЗРУ-6кВ.</w:t>
      </w:r>
    </w:p>
    <w:p w14:paraId="7B4FEAFB" w14:textId="77777777" w:rsidR="009208C8" w:rsidRDefault="009208C8" w:rsidP="00F457A1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3C8DA8E" w14:textId="08B17420" w:rsidR="0046112B" w:rsidRPr="0046112B" w:rsidRDefault="0046112B" w:rsidP="00F457A1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6112B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Раздел «Охрана окружающей среды»</w:t>
      </w:r>
    </w:p>
    <w:p w14:paraId="4EED8F2A" w14:textId="77777777" w:rsidR="00F549F4" w:rsidRPr="000E5FC6" w:rsidRDefault="0046112B" w:rsidP="00F549F4">
      <w:pPr>
        <w:jc w:val="center"/>
        <w:rPr>
          <w:rFonts w:ascii="Arial" w:hAnsi="Arial" w:cs="Arial"/>
          <w:b/>
          <w:i/>
          <w:iCs/>
        </w:rPr>
      </w:pPr>
      <w:r w:rsidRPr="0046112B">
        <w:rPr>
          <w:rFonts w:ascii="Times New Roman" w:hAnsi="Times New Roman" w:cs="Times New Roman"/>
          <w:sz w:val="24"/>
          <w:szCs w:val="24"/>
        </w:rPr>
        <w:t xml:space="preserve">1) </w:t>
      </w:r>
      <w:r w:rsidR="00F549F4" w:rsidRPr="000E5FC6">
        <w:rPr>
          <w:rFonts w:ascii="Arial" w:hAnsi="Arial" w:cs="Arial"/>
          <w:b/>
          <w:bCs/>
        </w:rPr>
        <w:t>Рабочий проект: «Установка подготовки нефти м/р Кульжан. Расширение»</w:t>
      </w:r>
    </w:p>
    <w:p w14:paraId="0A9A0B36" w14:textId="77777777" w:rsidR="00F549F4" w:rsidRPr="000E5FC6" w:rsidRDefault="00F549F4" w:rsidP="00F549F4">
      <w:pPr>
        <w:ind w:firstLine="709"/>
        <w:jc w:val="both"/>
        <w:rPr>
          <w:rFonts w:ascii="Arial" w:hAnsi="Arial" w:cs="Arial"/>
        </w:rPr>
      </w:pPr>
      <w:r w:rsidRPr="000E5FC6">
        <w:rPr>
          <w:rFonts w:ascii="Arial" w:hAnsi="Arial" w:cs="Arial"/>
        </w:rPr>
        <w:t xml:space="preserve">Настоящим проектом на месторождении Кульжан предусматривается расширение мощности установки подготовки нефти с 600 до 1000 т/сутки. Данным проектом предусматривается строительство следующих объектов: </w:t>
      </w:r>
    </w:p>
    <w:p w14:paraId="52ACDEFF" w14:textId="77777777" w:rsidR="00F549F4" w:rsidRPr="00A92FED" w:rsidRDefault="00F549F4" w:rsidP="00F549F4">
      <w:pPr>
        <w:pStyle w:val="20"/>
        <w:rPr>
          <w:lang w:val="ru-RU"/>
        </w:rPr>
      </w:pPr>
      <w:r w:rsidRPr="00A92FED">
        <w:rPr>
          <w:lang w:val="ru-RU"/>
        </w:rPr>
        <w:t>дополнительный технологический резервуар – РВС, объемом 1000м</w:t>
      </w:r>
      <w:r w:rsidRPr="00A92FED">
        <w:rPr>
          <w:vertAlign w:val="superscript"/>
          <w:lang w:val="ru-RU"/>
        </w:rPr>
        <w:t>3</w:t>
      </w:r>
      <w:r w:rsidRPr="00A92FED">
        <w:rPr>
          <w:lang w:val="ru-RU"/>
        </w:rPr>
        <w:t>;</w:t>
      </w:r>
    </w:p>
    <w:p w14:paraId="4CF3C84F" w14:textId="77777777" w:rsidR="00F549F4" w:rsidRPr="000E5FC6" w:rsidRDefault="00F549F4" w:rsidP="00F549F4">
      <w:pPr>
        <w:pStyle w:val="a3"/>
        <w:numPr>
          <w:ilvl w:val="0"/>
          <w:numId w:val="9"/>
        </w:numPr>
        <w:shd w:val="clear" w:color="auto" w:fill="FFFFFF"/>
        <w:tabs>
          <w:tab w:val="left" w:pos="8931"/>
        </w:tabs>
        <w:spacing w:after="0" w:line="240" w:lineRule="auto"/>
        <w:ind w:left="0" w:firstLine="426"/>
        <w:jc w:val="both"/>
        <w:rPr>
          <w:rFonts w:ascii="Arial" w:hAnsi="Arial" w:cs="Arial"/>
          <w:lang w:val="ru-RU"/>
        </w:rPr>
      </w:pPr>
      <w:r w:rsidRPr="000E5FC6">
        <w:rPr>
          <w:rFonts w:ascii="Arial" w:hAnsi="Arial" w:cs="Arial"/>
          <w:lang w:val="ru-RU"/>
        </w:rPr>
        <w:t xml:space="preserve">винтовая газовая компрессорная установка </w:t>
      </w:r>
      <w:r w:rsidRPr="000E5FC6">
        <w:rPr>
          <w:rFonts w:ascii="Arial" w:hAnsi="Arial" w:cs="Arial"/>
        </w:rPr>
        <w:t>RC</w:t>
      </w:r>
      <w:r w:rsidRPr="000E5FC6">
        <w:rPr>
          <w:rFonts w:ascii="Arial" w:hAnsi="Arial" w:cs="Arial"/>
          <w:lang w:val="ru-RU"/>
        </w:rPr>
        <w:t>200</w:t>
      </w:r>
      <w:r w:rsidRPr="000E5FC6">
        <w:rPr>
          <w:rFonts w:ascii="Arial" w:hAnsi="Arial" w:cs="Arial"/>
        </w:rPr>
        <w:t>B</w:t>
      </w:r>
      <w:r w:rsidRPr="000E5FC6">
        <w:rPr>
          <w:rFonts w:ascii="Arial" w:hAnsi="Arial" w:cs="Arial"/>
          <w:lang w:val="ru-RU"/>
        </w:rPr>
        <w:t>.</w:t>
      </w:r>
    </w:p>
    <w:p w14:paraId="1ADCA498" w14:textId="11C24BEA" w:rsidR="0046112B" w:rsidRDefault="0046112B" w:rsidP="00F549F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AF73EB" w14:textId="3310F7CF" w:rsidR="0046112B" w:rsidRDefault="0046112B" w:rsidP="0046112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FADE8F" w14:textId="77777777" w:rsidR="00F549F4" w:rsidRPr="000E5FC6" w:rsidRDefault="0046112B" w:rsidP="00F549F4">
      <w:pPr>
        <w:jc w:val="center"/>
        <w:rPr>
          <w:rFonts w:ascii="Arial" w:hAnsi="Arial" w:cs="Arial"/>
          <w:b/>
          <w:i/>
          <w:iCs/>
        </w:rPr>
      </w:pPr>
      <w:r w:rsidRPr="0046112B">
        <w:rPr>
          <w:rFonts w:ascii="Times New Roman" w:hAnsi="Times New Roman" w:cs="Times New Roman"/>
          <w:sz w:val="24"/>
          <w:szCs w:val="24"/>
        </w:rPr>
        <w:t xml:space="preserve">2) </w:t>
      </w:r>
      <w:r w:rsidR="00F549F4" w:rsidRPr="000E5FC6">
        <w:rPr>
          <w:rFonts w:ascii="Arial" w:hAnsi="Arial" w:cs="Arial"/>
          <w:b/>
          <w:bCs/>
        </w:rPr>
        <w:t>Рабочий проект: «Пункт сдачи нефти месторождения Кульжан. Расширение»</w:t>
      </w:r>
    </w:p>
    <w:p w14:paraId="2E38F00A" w14:textId="77777777" w:rsidR="00F549F4" w:rsidRPr="000E5FC6" w:rsidRDefault="00F549F4" w:rsidP="00F549F4">
      <w:pPr>
        <w:ind w:firstLine="709"/>
        <w:jc w:val="both"/>
        <w:rPr>
          <w:rFonts w:ascii="Arial" w:hAnsi="Arial" w:cs="Arial"/>
        </w:rPr>
      </w:pPr>
      <w:r w:rsidRPr="000E5FC6">
        <w:rPr>
          <w:rFonts w:ascii="Arial" w:hAnsi="Arial" w:cs="Arial"/>
        </w:rPr>
        <w:t>Настоящим проектом на Пункте сдачи нефти предусматривается увеличение мощности производства - до 960 м3/сутки и объема хранения нефти до – 6 000 м3.:</w:t>
      </w:r>
    </w:p>
    <w:p w14:paraId="595D6C2C" w14:textId="77777777" w:rsidR="00F549F4" w:rsidRPr="000E5FC6" w:rsidRDefault="00F549F4" w:rsidP="00F549F4">
      <w:pPr>
        <w:shd w:val="clear" w:color="auto" w:fill="FFFFFF"/>
        <w:tabs>
          <w:tab w:val="left" w:pos="8931"/>
        </w:tabs>
        <w:ind w:firstLine="284"/>
        <w:jc w:val="both"/>
        <w:rPr>
          <w:rFonts w:ascii="Arial" w:hAnsi="Arial" w:cs="Arial"/>
        </w:rPr>
      </w:pPr>
      <w:r w:rsidRPr="000E5FC6">
        <w:rPr>
          <w:rFonts w:ascii="Arial" w:hAnsi="Arial" w:cs="Arial"/>
        </w:rPr>
        <w:t>- данным проектом предусматривается строительство дополнительного резервуара – РВС, объемом 2000 м</w:t>
      </w:r>
      <w:r w:rsidRPr="000E5FC6">
        <w:rPr>
          <w:rFonts w:ascii="Arial" w:hAnsi="Arial" w:cs="Arial"/>
          <w:vertAlign w:val="superscript"/>
        </w:rPr>
        <w:t>3</w:t>
      </w:r>
      <w:r w:rsidRPr="000E5FC6">
        <w:rPr>
          <w:rFonts w:ascii="Arial" w:hAnsi="Arial" w:cs="Arial"/>
        </w:rPr>
        <w:t xml:space="preserve">. </w:t>
      </w:r>
    </w:p>
    <w:p w14:paraId="590689CA" w14:textId="700BCB31" w:rsidR="0046112B" w:rsidRPr="0046112B" w:rsidRDefault="0046112B" w:rsidP="00F549F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055FF3" w14:textId="77777777" w:rsidR="00265731" w:rsidRPr="00265731" w:rsidRDefault="00265731" w:rsidP="00265731">
      <w:pPr>
        <w:pStyle w:val="TimesNewRoman1256"/>
        <w:spacing w:after="0"/>
        <w:rPr>
          <w:szCs w:val="24"/>
        </w:rPr>
      </w:pPr>
    </w:p>
    <w:p w14:paraId="06732077" w14:textId="77777777" w:rsidR="00265731" w:rsidRDefault="00265731" w:rsidP="009558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E08900" w14:textId="77777777" w:rsidR="00265731" w:rsidRPr="00265731" w:rsidRDefault="00265731" w:rsidP="009558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65731" w:rsidRPr="00265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09E"/>
    <w:multiLevelType w:val="hybridMultilevel"/>
    <w:tmpl w:val="99189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50E2F"/>
    <w:multiLevelType w:val="hybridMultilevel"/>
    <w:tmpl w:val="8DAEE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024A7"/>
    <w:multiLevelType w:val="hybridMultilevel"/>
    <w:tmpl w:val="F3E083D0"/>
    <w:lvl w:ilvl="0" w:tplc="22A69F5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6E60C2F"/>
    <w:multiLevelType w:val="hybridMultilevel"/>
    <w:tmpl w:val="4BD6D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A6F8B"/>
    <w:multiLevelType w:val="hybridMultilevel"/>
    <w:tmpl w:val="322040AA"/>
    <w:lvl w:ilvl="0" w:tplc="FFFFFFFF">
      <w:start w:val="1"/>
      <w:numFmt w:val="bullet"/>
      <w:pStyle w:val="2"/>
      <w:lvlText w:val=""/>
      <w:lvlJc w:val="left"/>
      <w:pPr>
        <w:ind w:left="1077" w:hanging="360"/>
      </w:pPr>
      <w:rPr>
        <w:rFonts w:ascii="Symbol" w:hAnsi="Symbol" w:hint="default"/>
        <w:sz w:val="22"/>
        <w:szCs w:val="2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2650093"/>
    <w:multiLevelType w:val="multilevel"/>
    <w:tmpl w:val="52B8D8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6F25C2"/>
    <w:multiLevelType w:val="hybridMultilevel"/>
    <w:tmpl w:val="333E4EF2"/>
    <w:styleLink w:val="1ai"/>
    <w:lvl w:ilvl="0" w:tplc="B15CBA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62193F"/>
    <w:multiLevelType w:val="singleLevel"/>
    <w:tmpl w:val="AA6EB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413826"/>
    <w:multiLevelType w:val="hybridMultilevel"/>
    <w:tmpl w:val="6F7456F0"/>
    <w:lvl w:ilvl="0" w:tplc="9204317C">
      <w:start w:val="1"/>
      <w:numFmt w:val="bullet"/>
      <w:pStyle w:val="20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3012A4">
      <w:numFmt w:val="bullet"/>
      <w:lvlText w:val="•"/>
      <w:lvlJc w:val="left"/>
      <w:pPr>
        <w:ind w:left="2475" w:hanging="675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8766023">
    <w:abstractNumId w:val="2"/>
  </w:num>
  <w:num w:numId="2" w16cid:durableId="1221290494">
    <w:abstractNumId w:val="6"/>
  </w:num>
  <w:num w:numId="3" w16cid:durableId="1116950325">
    <w:abstractNumId w:val="7"/>
  </w:num>
  <w:num w:numId="4" w16cid:durableId="739981930">
    <w:abstractNumId w:val="5"/>
  </w:num>
  <w:num w:numId="5" w16cid:durableId="1788350862">
    <w:abstractNumId w:val="3"/>
  </w:num>
  <w:num w:numId="6" w16cid:durableId="859851131">
    <w:abstractNumId w:val="4"/>
  </w:num>
  <w:num w:numId="7" w16cid:durableId="881475326">
    <w:abstractNumId w:val="0"/>
  </w:num>
  <w:num w:numId="8" w16cid:durableId="1714816396">
    <w:abstractNumId w:val="1"/>
  </w:num>
  <w:num w:numId="9" w16cid:durableId="1097672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49"/>
    <w:rsid w:val="00012B95"/>
    <w:rsid w:val="000A70D1"/>
    <w:rsid w:val="000E29BA"/>
    <w:rsid w:val="000F0589"/>
    <w:rsid w:val="001041CC"/>
    <w:rsid w:val="00265731"/>
    <w:rsid w:val="002B6449"/>
    <w:rsid w:val="003629E9"/>
    <w:rsid w:val="0046112B"/>
    <w:rsid w:val="006D5F8A"/>
    <w:rsid w:val="00700089"/>
    <w:rsid w:val="007E497C"/>
    <w:rsid w:val="00830007"/>
    <w:rsid w:val="00913956"/>
    <w:rsid w:val="009208C8"/>
    <w:rsid w:val="00955866"/>
    <w:rsid w:val="00B828DC"/>
    <w:rsid w:val="00B84279"/>
    <w:rsid w:val="00BD39E4"/>
    <w:rsid w:val="00C452C6"/>
    <w:rsid w:val="00E267B0"/>
    <w:rsid w:val="00F457A1"/>
    <w:rsid w:val="00F549F4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A553"/>
  <w15:chartTrackingRefBased/>
  <w15:docId w15:val="{3415FF74-FDAA-4A57-A749-2F0207C2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Hoofdstuk,Part,OG Heading 1,h1,Заголовок 1 Знак1 Знак,Заголовок 1 Знак Знак Знак,Заголовок 1 Знак Знак Знак Знак Знак Знак,Заголовок 1 Знак Знак Знак Знак Знак,Заголовок 1 Знак1,Заголовок 1 Знак Знак,РАЗДЕЛ,ГЛАВА,H1,новая страница,Мой стиль "/>
    <w:basedOn w:val="a"/>
    <w:next w:val="a"/>
    <w:link w:val="10"/>
    <w:qFormat/>
    <w:rsid w:val="00265731"/>
    <w:pPr>
      <w:keepNext/>
      <w:spacing w:before="240" w:after="60" w:line="240" w:lineRule="auto"/>
      <w:outlineLvl w:val="0"/>
    </w:pPr>
    <w:rPr>
      <w:rFonts w:ascii="Times New Roman" w:eastAsia="Times/Kazakh" w:hAnsi="Times New Roman" w:cs="Times/Kazakh"/>
      <w:b/>
      <w:kern w:val="28"/>
      <w:sz w:val="28"/>
      <w:szCs w:val="2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828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a3">
    <w:name w:val="List Paragraph"/>
    <w:aliases w:val="_список,strich,2nd Tier Header,маркированный,Citation List,текст ГЕО,список,Nawa Bullets,CAFC Bullets,Beran Bullets,Bullet Points,Заголовок2,Заголовок первого уровня"/>
    <w:basedOn w:val="a"/>
    <w:link w:val="a4"/>
    <w:uiPriority w:val="34"/>
    <w:qFormat/>
    <w:rsid w:val="000F0589"/>
    <w:pPr>
      <w:ind w:left="720"/>
      <w:contextualSpacing/>
    </w:pPr>
  </w:style>
  <w:style w:type="table" w:styleId="a5">
    <w:name w:val="Table Grid"/>
    <w:aliases w:val="ПНОО,Таблица для проекта"/>
    <w:basedOn w:val="a1"/>
    <w:rsid w:val="00F457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uiPriority w:val="11"/>
    <w:qFormat/>
    <w:rsid w:val="00F457A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val="ru-RU" w:eastAsia="ru-RU"/>
      <w14:ligatures w14:val="none"/>
    </w:rPr>
  </w:style>
  <w:style w:type="character" w:customStyle="1" w:styleId="a7">
    <w:name w:val="Подзаголовок Знак"/>
    <w:basedOn w:val="a0"/>
    <w:link w:val="a6"/>
    <w:uiPriority w:val="11"/>
    <w:rsid w:val="00F457A1"/>
    <w:rPr>
      <w:rFonts w:ascii="Times New Roman" w:eastAsia="Times New Roman" w:hAnsi="Times New Roman" w:cs="Times New Roman"/>
      <w:b/>
      <w:kern w:val="0"/>
      <w:sz w:val="24"/>
      <w:szCs w:val="20"/>
      <w:lang w:val="ru-RU" w:eastAsia="ru-RU"/>
      <w14:ligatures w14:val="none"/>
    </w:rPr>
  </w:style>
  <w:style w:type="numbering" w:styleId="1ai">
    <w:name w:val="Outline List 1"/>
    <w:basedOn w:val="a2"/>
    <w:unhideWhenUsed/>
    <w:rsid w:val="00F457A1"/>
    <w:pPr>
      <w:numPr>
        <w:numId w:val="2"/>
      </w:numPr>
    </w:pPr>
  </w:style>
  <w:style w:type="character" w:customStyle="1" w:styleId="a4">
    <w:name w:val="Абзац списка Знак"/>
    <w:aliases w:val="_список Знак,strich Знак,2nd Tier Header Знак,маркированный Знак,Citation List Знак,текст ГЕО Знак,список Знак,Nawa Bullets Знак,CAFC Bullets Знак,Beran Bullets Знак,Bullet Points Знак,Заголовок2 Знак,Заголовок первого уровня Знак"/>
    <w:link w:val="a3"/>
    <w:uiPriority w:val="34"/>
    <w:rsid w:val="00F457A1"/>
  </w:style>
  <w:style w:type="paragraph" w:styleId="a8">
    <w:name w:val="footnote text"/>
    <w:basedOn w:val="a"/>
    <w:link w:val="a9"/>
    <w:rsid w:val="0046112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character" w:customStyle="1" w:styleId="a9">
    <w:name w:val="Текст сноски Знак"/>
    <w:basedOn w:val="a0"/>
    <w:link w:val="a8"/>
    <w:rsid w:val="0046112B"/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paragraph" w:styleId="aa">
    <w:name w:val="caption"/>
    <w:aliases w:val="название таблицы,Название объекта Знак1,Название объекта Знак1 Знак2 Знак,Название объекта Знак2 Знак Знак1 Знак,Название объекта Знак1 Знак1 Знак Знак1 Знак,Название объекта Знак2 Знак Знак Знак Знак Знак,Название объекта Знак1 Знак2"/>
    <w:basedOn w:val="a"/>
    <w:next w:val="a"/>
    <w:link w:val="ab"/>
    <w:qFormat/>
    <w:rsid w:val="0046112B"/>
    <w:pPr>
      <w:spacing w:after="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ab">
    <w:name w:val="Название объекта Знак"/>
    <w:aliases w:val="название таблицы Знак,Название объекта Знак1 Знак,Название объекта Знак1 Знак2 Знак Знак,Название объекта Знак2 Знак Знак1 Знак Знак,Название объекта Знак1 Знак1 Знак Знак1 Знак Знак,Название объекта Знак1 Знак2 Знак1"/>
    <w:link w:val="aa"/>
    <w:rsid w:val="0046112B"/>
    <w:rPr>
      <w:rFonts w:ascii="Times New Roman" w:eastAsia="SimSu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customStyle="1" w:styleId="2H6100005">
    <w:name w:val="2H6100005"/>
    <w:basedOn w:val="a"/>
    <w:rsid w:val="00955866"/>
    <w:pPr>
      <w:keepNext/>
      <w:keepLines/>
      <w:suppressAutoHyphens/>
      <w:spacing w:before="360" w:after="240" w:line="240" w:lineRule="atLeast"/>
      <w:jc w:val="center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ltable0">
    <w:name w:val="l_table0"/>
    <w:basedOn w:val="a"/>
    <w:rsid w:val="00955866"/>
    <w:pPr>
      <w:spacing w:after="0" w:line="240" w:lineRule="atLeast"/>
      <w:ind w:left="120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2H6100805">
    <w:name w:val="2H6100805"/>
    <w:basedOn w:val="a"/>
    <w:rsid w:val="00955866"/>
    <w:pPr>
      <w:keepNext/>
      <w:keepLines/>
      <w:suppressAutoHyphens/>
      <w:spacing w:before="360" w:after="240" w:line="240" w:lineRule="atLeast"/>
      <w:jc w:val="center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TimesNewRoman1256">
    <w:name w:val="Стиль Times New Roman По ширине Первая строка:  125 см после: 6..."/>
    <w:basedOn w:val="a"/>
    <w:rsid w:val="00265731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:lang w:val="ru-RU"/>
      <w14:ligatures w14:val="none"/>
    </w:rPr>
  </w:style>
  <w:style w:type="paragraph" w:styleId="ac">
    <w:name w:val="Body Text"/>
    <w:basedOn w:val="a"/>
    <w:link w:val="ad"/>
    <w:rsid w:val="00265731"/>
    <w:pPr>
      <w:spacing w:after="0" w:line="240" w:lineRule="auto"/>
    </w:pPr>
    <w:rPr>
      <w:rFonts w:ascii="Times New Roman" w:eastAsia="Times/Kazakh" w:hAnsi="Times New Roman" w:cs="Times/Kazakh"/>
      <w:kern w:val="0"/>
      <w:szCs w:val="20"/>
      <w:lang w:val="ru-RU"/>
      <w14:ligatures w14:val="none"/>
    </w:rPr>
  </w:style>
  <w:style w:type="character" w:customStyle="1" w:styleId="ad">
    <w:name w:val="Основной текст Знак"/>
    <w:basedOn w:val="a0"/>
    <w:link w:val="ac"/>
    <w:rsid w:val="00265731"/>
    <w:rPr>
      <w:rFonts w:ascii="Times New Roman" w:eastAsia="Times/Kazakh" w:hAnsi="Times New Roman" w:cs="Times/Kazakh"/>
      <w:kern w:val="0"/>
      <w:szCs w:val="20"/>
      <w:lang w:val="ru-RU"/>
      <w14:ligatures w14:val="none"/>
    </w:rPr>
  </w:style>
  <w:style w:type="character" w:customStyle="1" w:styleId="10">
    <w:name w:val="Заголовок 1 Знак"/>
    <w:aliases w:val="Hoofdstuk Знак,Part Знак,OG Heading 1 Знак,h1 Знак,Заголовок 1 Знак1 Знак Знак,Заголовок 1 Знак Знак Знак Знак,Заголовок 1 Знак Знак Знак Знак Знак Знак Знак,Заголовок 1 Знак Знак Знак Знак Знак Знак1,Заголовок 1 Знак1 Знак1,РАЗДЕЛ Знак"/>
    <w:basedOn w:val="a0"/>
    <w:link w:val="1"/>
    <w:rsid w:val="00265731"/>
    <w:rPr>
      <w:rFonts w:ascii="Times New Roman" w:eastAsia="Times/Kazakh" w:hAnsi="Times New Roman" w:cs="Times/Kazakh"/>
      <w:b/>
      <w:kern w:val="28"/>
      <w:sz w:val="28"/>
      <w:szCs w:val="20"/>
      <w:lang w:val="ru-RU"/>
      <w14:ligatures w14:val="none"/>
    </w:rPr>
  </w:style>
  <w:style w:type="paragraph" w:customStyle="1" w:styleId="ae">
    <w:name w:val="текст"/>
    <w:basedOn w:val="a"/>
    <w:link w:val="af"/>
    <w:rsid w:val="0083000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f">
    <w:name w:val="текст Знак"/>
    <w:link w:val="ae"/>
    <w:rsid w:val="00830007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af0">
    <w:name w:val="Мой текст"/>
    <w:basedOn w:val="a"/>
    <w:link w:val="Char"/>
    <w:qFormat/>
    <w:rsid w:val="009208C8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Cs w:val="20"/>
      <w:lang w:val="ru-RU" w:eastAsia="ru-RU"/>
      <w14:ligatures w14:val="none"/>
    </w:rPr>
  </w:style>
  <w:style w:type="character" w:customStyle="1" w:styleId="Char">
    <w:name w:val="Мой текст Char"/>
    <w:link w:val="af0"/>
    <w:rsid w:val="009208C8"/>
    <w:rPr>
      <w:rFonts w:ascii="Arial" w:eastAsia="Times New Roman" w:hAnsi="Arial" w:cs="Times New Roman"/>
      <w:kern w:val="0"/>
      <w:szCs w:val="20"/>
      <w:lang w:val="ru-RU" w:eastAsia="ru-RU"/>
      <w14:ligatures w14:val="none"/>
    </w:rPr>
  </w:style>
  <w:style w:type="paragraph" w:customStyle="1" w:styleId="2">
    <w:name w:val="Мой список2"/>
    <w:qFormat/>
    <w:rsid w:val="00F549F4"/>
    <w:pPr>
      <w:widowControl w:val="0"/>
      <w:numPr>
        <w:numId w:val="6"/>
      </w:numPr>
      <w:shd w:val="clear" w:color="auto" w:fill="FFFFFF"/>
      <w:tabs>
        <w:tab w:val="left" w:pos="709"/>
      </w:tabs>
      <w:autoSpaceDE w:val="0"/>
      <w:autoSpaceDN w:val="0"/>
      <w:adjustRightInd w:val="0"/>
      <w:spacing w:before="60" w:after="0" w:line="240" w:lineRule="auto"/>
      <w:ind w:left="709" w:hanging="357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20">
    <w:name w:val="List Bullet 2"/>
    <w:basedOn w:val="a"/>
    <w:next w:val="a"/>
    <w:autoRedefine/>
    <w:qFormat/>
    <w:rsid w:val="00F549F4"/>
    <w:pPr>
      <w:widowControl w:val="0"/>
      <w:numPr>
        <w:numId w:val="9"/>
      </w:numPr>
      <w:spacing w:after="0" w:line="240" w:lineRule="auto"/>
      <w:ind w:left="0" w:firstLine="426"/>
      <w:jc w:val="both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Saltanat Sarkulova</dc:creator>
  <cp:keywords/>
  <dc:description/>
  <cp:lastModifiedBy>CNC</cp:lastModifiedBy>
  <cp:revision>9</cp:revision>
  <dcterms:created xsi:type="dcterms:W3CDTF">2024-05-22T19:19:00Z</dcterms:created>
  <dcterms:modified xsi:type="dcterms:W3CDTF">2025-07-17T06:30:00Z</dcterms:modified>
</cp:coreProperties>
</file>