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EDD" w:rsidRDefault="00B05EDD" w:rsidP="00B05EDD">
      <w:pPr>
        <w:pStyle w:val="a3"/>
        <w:spacing w:line="240" w:lineRule="auto"/>
        <w:jc w:val="center"/>
        <w:outlineLvl w:val="0"/>
        <w:rPr>
          <w:b/>
          <w:bCs/>
        </w:rPr>
      </w:pPr>
      <w:r w:rsidRPr="00E61A6C">
        <w:rPr>
          <w:b/>
          <w:bCs/>
        </w:rPr>
        <w:t>КРАТКОЕ НЕТЕХНИЧЕСКОЕ РЕЗЮМЕ</w:t>
      </w:r>
    </w:p>
    <w:p w:rsidR="00E021A6" w:rsidRPr="00E021A6" w:rsidRDefault="00E021A6" w:rsidP="00E021A6">
      <w:pPr>
        <w:autoSpaceDE/>
        <w:autoSpaceDN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1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объекта: АО АК «</w:t>
      </w:r>
      <w:proofErr w:type="spellStart"/>
      <w:r w:rsidRPr="00E021A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Алтыналмас</w:t>
      </w:r>
      <w:proofErr w:type="spellEnd"/>
      <w:r w:rsidRPr="00E021A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021A6" w:rsidRPr="00E021A6" w:rsidRDefault="00E021A6" w:rsidP="00E021A6">
      <w:pPr>
        <w:autoSpaceDE/>
        <w:autoSpaceDN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РК, </w:t>
      </w:r>
      <w:proofErr w:type="spellStart"/>
      <w:r w:rsidRPr="00E021A6">
        <w:rPr>
          <w:rFonts w:ascii="Times New Roman" w:eastAsia="Times New Roman" w:hAnsi="Times New Roman" w:cs="Times New Roman"/>
          <w:sz w:val="24"/>
          <w:szCs w:val="24"/>
          <w:lang w:eastAsia="ru-RU"/>
        </w:rPr>
        <w:t>г.Алматы</w:t>
      </w:r>
      <w:proofErr w:type="spellEnd"/>
      <w:r w:rsidRPr="00E02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21A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Бостандыкский</w:t>
      </w:r>
      <w:proofErr w:type="spellEnd"/>
      <w:r w:rsidRPr="00E02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площадь Республики, дом 15.</w:t>
      </w:r>
    </w:p>
    <w:p w:rsidR="00E021A6" w:rsidRPr="00E021A6" w:rsidRDefault="00E021A6" w:rsidP="00E021A6">
      <w:pPr>
        <w:autoSpaceDE/>
        <w:autoSpaceDN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1A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Бизнес-идентификационный номер: 950640000810.</w:t>
      </w:r>
    </w:p>
    <w:p w:rsidR="00E021A6" w:rsidRPr="00E021A6" w:rsidRDefault="00E021A6" w:rsidP="00E021A6">
      <w:pPr>
        <w:autoSpaceDE/>
        <w:autoSpaceDN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1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«Строительство берегового водозабора на озере Балхаш для обслуживания месторождения «Пустынное»» разработан на основании:</w:t>
      </w:r>
    </w:p>
    <w:p w:rsidR="00E021A6" w:rsidRPr="00E021A6" w:rsidRDefault="00E021A6" w:rsidP="00E021A6">
      <w:pPr>
        <w:autoSpaceDE/>
        <w:autoSpaceDN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1A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задания на проектирование;</w:t>
      </w:r>
    </w:p>
    <w:p w:rsidR="00E021A6" w:rsidRP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архитектурно-планировочного задания.</w:t>
      </w:r>
    </w:p>
    <w:p w:rsidR="00E021A6" w:rsidRP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Местоположение объекта – </w:t>
      </w:r>
      <w:proofErr w:type="spellStart"/>
      <w:r w:rsidRPr="00E0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Актогайский</w:t>
      </w:r>
      <w:proofErr w:type="spellEnd"/>
      <w:r w:rsidRPr="00E0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Карагандинская область.</w:t>
      </w:r>
    </w:p>
    <w:p w:rsidR="00E021A6" w:rsidRP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Участок сооружения расположен в прибрежной зоне </w:t>
      </w:r>
      <w:proofErr w:type="spellStart"/>
      <w:r w:rsidRPr="00E0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оз.Балхаш</w:t>
      </w:r>
      <w:proofErr w:type="spellEnd"/>
      <w:r w:rsidRPr="00E0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поверхности </w:t>
      </w:r>
      <w:proofErr w:type="spellStart"/>
      <w:r w:rsidRPr="00E0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пологонаклонной</w:t>
      </w:r>
      <w:proofErr w:type="spellEnd"/>
      <w:r w:rsidRPr="00E0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0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межсопочной</w:t>
      </w:r>
      <w:proofErr w:type="spellEnd"/>
      <w:r w:rsidRPr="00E0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равнины, ограниченной со стороны озера полосой пляжа протяженностью 270...290 м, сформировавшейся между обнажениями коренных пород. Пирс расположен на северном берегу оз. Балхаш, которое образовано во впадине тектонического происхождения, среди полупустынь Юго-Восточного и Центрального Казахстана. </w:t>
      </w:r>
    </w:p>
    <w:p w:rsidR="00B05EDD" w:rsidRPr="00E61A6C" w:rsidRDefault="00B05EDD" w:rsidP="000063A5">
      <w:pPr>
        <w:pStyle w:val="a3"/>
        <w:spacing w:line="240" w:lineRule="auto"/>
        <w:ind w:firstLine="567"/>
        <w:rPr>
          <w:b/>
          <w:bCs/>
        </w:rPr>
      </w:pPr>
      <w:r w:rsidRPr="00E61A6C">
        <w:rPr>
          <w:b/>
          <w:bCs/>
        </w:rPr>
        <w:t xml:space="preserve">В соответствии </w:t>
      </w:r>
      <w:r>
        <w:rPr>
          <w:b/>
          <w:bCs/>
        </w:rPr>
        <w:t>с Экологическим Кодексом</w:t>
      </w:r>
      <w:r w:rsidRPr="00F94B68">
        <w:rPr>
          <w:b/>
          <w:bCs/>
        </w:rPr>
        <w:t xml:space="preserve"> РК от 2 января 2021 года № 400-VI ЗКР </w:t>
      </w:r>
      <w:r>
        <w:rPr>
          <w:b/>
          <w:bCs/>
        </w:rPr>
        <w:t>объект относится к I</w:t>
      </w:r>
      <w:r w:rsidR="00E021A6">
        <w:rPr>
          <w:b/>
          <w:bCs/>
          <w:lang w:val="en-US"/>
        </w:rPr>
        <w:t>V</w:t>
      </w:r>
      <w:r w:rsidRPr="00E61A6C">
        <w:rPr>
          <w:b/>
          <w:bCs/>
        </w:rPr>
        <w:t xml:space="preserve"> категории.</w:t>
      </w:r>
    </w:p>
    <w:p w:rsidR="00B05EDD" w:rsidRDefault="00B05EDD" w:rsidP="000063A5">
      <w:pPr>
        <w:pStyle w:val="a3"/>
        <w:spacing w:line="240" w:lineRule="auto"/>
        <w:ind w:firstLine="567"/>
      </w:pPr>
      <w:r w:rsidRPr="00E61A6C">
        <w:t xml:space="preserve">Намечаемый </w:t>
      </w:r>
      <w:proofErr w:type="gramStart"/>
      <w:r w:rsidRPr="00E61A6C">
        <w:t>объём работ</w:t>
      </w:r>
      <w:proofErr w:type="gramEnd"/>
      <w:r w:rsidRPr="00E61A6C">
        <w:t xml:space="preserve"> и эксплуатация предприятия будет осуществляться за пределами особо охраняемых природных территорий, вне их охранных зон, за пределами земель оздоровительного, рекреационного и историко-культурного назначения.</w:t>
      </w:r>
    </w:p>
    <w:p w:rsidR="00B05EDD" w:rsidRDefault="00E021A6" w:rsidP="00B05EDD">
      <w:pPr>
        <w:pStyle w:val="a3"/>
        <w:spacing w:line="240" w:lineRule="auto"/>
        <w:ind w:firstLine="0"/>
        <w:jc w:val="center"/>
      </w:pPr>
      <w:r>
        <w:rPr>
          <w:noProof/>
          <w:color w:val="000000"/>
          <w:sz w:val="20"/>
          <w:szCs w:val="20"/>
        </w:rPr>
        <w:drawing>
          <wp:inline distT="0" distB="0" distL="0" distR="0" wp14:anchorId="596F5F93" wp14:editId="20B28044">
            <wp:extent cx="5940425" cy="3085167"/>
            <wp:effectExtent l="0" t="0" r="3175" b="1270"/>
            <wp:docPr id="32" name="image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 preferRelativeResize="0"/>
                  </pic:nvPicPr>
                  <pic:blipFill>
                    <a:blip r:embed="rId5"/>
                    <a:srcRect t="9641" r="994" b="923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51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5EDD" w:rsidRDefault="00B05EDD" w:rsidP="00B05EDD">
      <w:pPr>
        <w:pStyle w:val="a3"/>
        <w:spacing w:line="240" w:lineRule="auto"/>
        <w:ind w:firstLine="0"/>
        <w:jc w:val="center"/>
      </w:pPr>
      <w:r>
        <w:t>Рис. 1. Карта района расположения объекта</w:t>
      </w:r>
    </w:p>
    <w:p w:rsidR="00B05EDD" w:rsidRDefault="00B05EDD" w:rsidP="00B05EDD">
      <w:pPr>
        <w:pStyle w:val="a3"/>
        <w:spacing w:line="240" w:lineRule="auto"/>
      </w:pPr>
    </w:p>
    <w:p w:rsid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Проектом предусматривается реконструкция существующего железобетонного пирса. Технико-экономические показатели: площадь существующего пирса – 1069,2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площадь проектируемого дренажного колодца №1 – 98,52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площадь проектируемого дренажного колодца №2 – 98,52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площадь проектируемого фильтрационного поля площадью 740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которая планируется из крупного фракция щебня для того, чтобы крупные рыбы, ил и механические примеси не могли пройти через подземную трубу для забора воды. Никаких дополнительных других операции при реализации намечаемой деятельности не проводится. </w:t>
      </w:r>
    </w:p>
    <w:p w:rsid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Шпунтованная перемычка.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по забивке шпунтовых свай начинаем с западной стороны объекта строительство водоводов насосной станции. Вокруг пирса делается отсыпка. Шпунт забивается по схеме. Работы ведутся в две линии из шпунтовых свай. Внутри засыпается временная дорога. Засыпка местным грунтом. Называется коффердам.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Параллельные шпунтовые сваи с креплением растяжками и засыпкой дороги грунтом (в данном случае одинарный консольный шпунт недостаточно). Растяжки устанавливают через 4 м. Глубина забивки свай в грунт, без учета тектонического насыпного грунта. Над поверхностью воды сваи выступают на 2 м, этим создается экран. </w:t>
      </w:r>
    </w:p>
    <w:p w:rsid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Осушение участка строительства водоводов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Дамба-перемычка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двухстороняя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выполняется из шпунта «Ларсена» на время строительства. Насосы необходимы для откачки воды. Указанная производительность насоса составляет 700 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/ч и является достаточной для осушения участка в полном объеме в течение недели. С помощью насосной системы необходимо контролировать притоки воды. После проведения осушения участка строительства, ведутся строительно-монтажные работы на осушённом грунте. Строительно-монтажные работы по выполнению земляных работ, котлованы, траншеи, в последующем монтажу водоводов, дренажных колодцев и прочее.</w:t>
      </w:r>
    </w:p>
    <w:p w:rsid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 период строительства</w:t>
      </w:r>
    </w:p>
    <w:p w:rsid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67ogyecgqzx7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Запланированные сроки проведения строительных работ – 6 месяцев. </w:t>
      </w:r>
    </w:p>
    <w:p w:rsid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ug9w25otpw0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источниками воздействия на окружающую среду при строительных работах будут следующие виды деятельности:</w:t>
      </w:r>
    </w:p>
    <w:p w:rsidR="00E021A6" w:rsidRDefault="00E021A6" w:rsidP="00E021A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</w:pPr>
      <w:bookmarkStart w:id="2" w:name="_ipwax4gqduwv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засыпка грунта (8045,4 т);</w:t>
      </w:r>
    </w:p>
    <w:p w:rsidR="00E021A6" w:rsidRDefault="00E021A6" w:rsidP="00E021A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погрузочно-разгрузочные работы (перегрузки инертных материалов) - щебень, песок, (песок - 332,67 т, щебень до 40 мм - 38875,90 т);</w:t>
      </w:r>
    </w:p>
    <w:p w:rsidR="00E021A6" w:rsidRDefault="00E021A6" w:rsidP="00E021A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сварочные работы в рамках производства монтажа металлических конструкций при помощи передвижного поста ручной дуговой сварки штучными электродами. В качестве сварочного материала используются электроды марки АНО-4 - 208.231 кг; сварочная проволока – 35.6544 кг; ацетилен-кислородная смесь - 619.29 кг; пропан-бутановая смесь - 54.3744 кг. Газовая резка - 440.12 часов;</w:t>
      </w:r>
    </w:p>
    <w:p w:rsidR="00E021A6" w:rsidRDefault="00E021A6" w:rsidP="00E021A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покрасочные работы выполняются с целью антикоррозионной защиты металлических элементов. Для малярных работ используются следующие материалы: грунтовка глифталевая ГФ-021 - 0.0143 т; растворитель Р-4 - 0.02765 т; лак ХП-734 – 0.67724 т;</w:t>
      </w:r>
    </w:p>
    <w:p w:rsidR="00E021A6" w:rsidRDefault="00E021A6" w:rsidP="00E021A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гидроизоляция с использованием битума и мастики общим объёмом 8.149 т;</w:t>
      </w:r>
    </w:p>
    <w:p w:rsidR="00E021A6" w:rsidRDefault="00E021A6" w:rsidP="00E021A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сварка пластиковых и полимерных труб - 404.63 часов;</w:t>
      </w:r>
    </w:p>
    <w:p w:rsidR="00E021A6" w:rsidRDefault="00E021A6" w:rsidP="00E021A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станки для резки арматуры - 0.78 часов; машины шлифовальные – 14.73 часа; пилы электрические цепные – 53.49 часа.</w:t>
      </w:r>
    </w:p>
    <w:p w:rsid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этих видов работ будут производиться следующие виды воздействия на окружающую среду:</w:t>
      </w:r>
    </w:p>
    <w:p w:rsidR="00E021A6" w:rsidRDefault="00E021A6" w:rsidP="00E021A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выбросы загрязняющих веществ в атмосферу;</w:t>
      </w:r>
    </w:p>
    <w:p w:rsidR="00E021A6" w:rsidRDefault="00E021A6" w:rsidP="00E021A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отходов производства и потребления;</w:t>
      </w:r>
    </w:p>
    <w:p w:rsidR="00E021A6" w:rsidRDefault="00E021A6" w:rsidP="00E021A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факторы воздействия – шум, вибрация.</w:t>
      </w:r>
    </w:p>
    <w:p w:rsid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 период эксплуатации</w:t>
      </w:r>
    </w:p>
    <w:p w:rsid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период эксплуатации источники выбросов ЗВ отсутствуют.</w:t>
      </w:r>
    </w:p>
    <w:p w:rsidR="000063A5" w:rsidRDefault="000063A5" w:rsidP="00B05EDD">
      <w:pPr>
        <w:pStyle w:val="a3"/>
        <w:spacing w:line="240" w:lineRule="auto"/>
      </w:pPr>
    </w:p>
    <w:p w:rsidR="00B05EDD" w:rsidRPr="00E53D2F" w:rsidRDefault="00B05EDD" w:rsidP="00B05EDD">
      <w:pPr>
        <w:pStyle w:val="a3"/>
        <w:spacing w:line="240" w:lineRule="auto"/>
        <w:rPr>
          <w:b/>
          <w:bCs/>
        </w:rPr>
      </w:pPr>
      <w:r w:rsidRPr="00E53D2F">
        <w:rPr>
          <w:b/>
          <w:bCs/>
        </w:rPr>
        <w:t>Сведения о сырьевой базе, потребности в топливе, воде, тепловой и электрической энергии, комплексном использовании сырья, отходов производства, вторичных энергоресурсов</w:t>
      </w:r>
    </w:p>
    <w:p w:rsid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период строительства расход строительных материалов составит: грунт – 8045,4 т; щебень – 38875,90 т; песок – 332,67 т; электроды АНО-4 - 208.231 кг; сварочная проволока – 35.6544 кг; ацетилен-кислородная смесь - 619.29 кг; пропан-бутановая смесь - 54.3744 кг; грунтовка глифталевая ГФ-021 - 0.0143 т; растворитель Р-4 - 0.02765 т; лак ХП-734 – 0.67724 т; битума и мастики общим объёмом 8.149 т. Приобретение сырья для производства планируется на внутреннем рынке и из ближнего зарубежья в соответствии с рыночными ценами. Сроки использования будут соответствовать сроку проведения строительных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работ. </w:t>
      </w:r>
    </w:p>
    <w:p w:rsidR="00B05EDD" w:rsidRDefault="00B05EDD" w:rsidP="00B05EDD">
      <w:pPr>
        <w:pStyle w:val="a3"/>
        <w:spacing w:line="240" w:lineRule="auto"/>
      </w:pPr>
    </w:p>
    <w:p w:rsidR="00B05EDD" w:rsidRDefault="00B05EDD" w:rsidP="00B05EDD">
      <w:pPr>
        <w:pStyle w:val="a3"/>
        <w:spacing w:line="240" w:lineRule="auto"/>
        <w:rPr>
          <w:b/>
          <w:bCs/>
        </w:rPr>
      </w:pPr>
      <w:r w:rsidRPr="000970F2">
        <w:rPr>
          <w:b/>
          <w:bCs/>
        </w:rPr>
        <w:t>Краткое описание возможных рациональных вариантов осуществления намечаемой деятельности и обоснование выбранного варианта</w:t>
      </w:r>
    </w:p>
    <w:p w:rsid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Проектом предусматривается реконструкция существующего железобетонного пирса. Технико-экономические показатели: площадь существующего пирса – 1069,2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площадь проектируемого дренажного колодца №1 – 98,52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площадь проектируемого дренажного колодца №2 – 98,52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площадь проектируемого фильтрационного поля площадью 740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которая планируется из крупного фракция щебня для того, чтобы крупные рыбы, ил и механические примеси не могли пройти через подземную трубу для забора воды. Никаких дополнительных других операции при реализации намечаемой деятельности не проводится. </w:t>
      </w:r>
    </w:p>
    <w:p w:rsidR="00B05EDD" w:rsidRDefault="00B05EDD" w:rsidP="00B05EDD">
      <w:pPr>
        <w:pStyle w:val="a3"/>
        <w:spacing w:line="240" w:lineRule="auto"/>
      </w:pPr>
    </w:p>
    <w:p w:rsidR="00B05EDD" w:rsidRDefault="00B05EDD" w:rsidP="00B05EDD">
      <w:pPr>
        <w:pStyle w:val="a3"/>
        <w:spacing w:line="240" w:lineRule="auto"/>
        <w:rPr>
          <w:b/>
          <w:bCs/>
        </w:rPr>
      </w:pPr>
      <w:r w:rsidRPr="000970F2">
        <w:rPr>
          <w:b/>
          <w:bCs/>
        </w:rPr>
        <w:t>Информация о компонентах природной среды и иных объектах, которые могут быть подвержены существенным воздействиям намечаемой деятельности</w:t>
      </w:r>
    </w:p>
    <w:p w:rsidR="00B05EDD" w:rsidRPr="000970F2" w:rsidRDefault="00B05EDD" w:rsidP="00B05EDD">
      <w:pPr>
        <w:pStyle w:val="a3"/>
        <w:spacing w:line="240" w:lineRule="auto"/>
        <w:rPr>
          <w:b/>
          <w:bCs/>
        </w:rPr>
      </w:pPr>
      <w:r w:rsidRPr="000970F2">
        <w:rPr>
          <w:b/>
          <w:bCs/>
        </w:rPr>
        <w:t>Жизнь и (или) здоровье людей, условия их проживания и деятельности</w:t>
      </w:r>
    </w:p>
    <w:p w:rsidR="00B05EDD" w:rsidRPr="000970F2" w:rsidRDefault="00B05EDD" w:rsidP="00B05EDD">
      <w:pPr>
        <w:pStyle w:val="a3"/>
        <w:spacing w:line="240" w:lineRule="auto"/>
      </w:pPr>
      <w:r w:rsidRPr="000970F2">
        <w:t>Проведение планируемых работ не вызовет нежелательной нагрузки на социально-бытовую инфраструктуру населенных пунктов района.</w:t>
      </w:r>
    </w:p>
    <w:p w:rsidR="00B05EDD" w:rsidRPr="000970F2" w:rsidRDefault="00B05EDD" w:rsidP="00B05EDD">
      <w:pPr>
        <w:pStyle w:val="a3"/>
        <w:spacing w:line="240" w:lineRule="auto"/>
      </w:pPr>
      <w:r w:rsidRPr="000970F2">
        <w:t>Дополнительный экономический эффект в районе может быть получен за счет привлечения местных подрядчиков для выполнения определенных видов работ: транспортные услуги, поставка материалов.</w:t>
      </w:r>
    </w:p>
    <w:p w:rsidR="00B05EDD" w:rsidRPr="000970F2" w:rsidRDefault="00B05EDD" w:rsidP="00B05EDD">
      <w:pPr>
        <w:pStyle w:val="a3"/>
        <w:spacing w:line="240" w:lineRule="auto"/>
      </w:pPr>
      <w:r w:rsidRPr="000970F2">
        <w:t>Планируемые работы, не приведут к значительному загрязнению окружающей природной среды, что не отобразится негативно на здоровье населения.</w:t>
      </w:r>
    </w:p>
    <w:p w:rsid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Выбранный вариант реализации проекта направлен на улучшение экологической среды. Проектом предусматривается реконструкция существующего железобетонного пирса, которая позволит крупным рыбам, илу и механическим примесям не пройти через подземную трубу для забора воды. Никаких дополнительных других операции при реализации намечаемой деятельности не проводится.</w:t>
      </w:r>
    </w:p>
    <w:p w:rsidR="00B05EDD" w:rsidRDefault="00B05EDD" w:rsidP="00B05EDD">
      <w:pPr>
        <w:pStyle w:val="a3"/>
        <w:spacing w:line="240" w:lineRule="auto"/>
        <w:rPr>
          <w:b/>
          <w:bCs/>
        </w:rPr>
      </w:pPr>
    </w:p>
    <w:p w:rsidR="00B05EDD" w:rsidRDefault="00B05EDD" w:rsidP="00B05EDD">
      <w:pPr>
        <w:pStyle w:val="a3"/>
        <w:spacing w:line="240" w:lineRule="auto"/>
        <w:rPr>
          <w:b/>
          <w:bCs/>
        </w:rPr>
      </w:pPr>
      <w:r w:rsidRPr="000970F2">
        <w:rPr>
          <w:b/>
          <w:bCs/>
        </w:rPr>
        <w:t>Биоразнообразие (в том числе растительный и животный мир, генетические ресурсы, природные, ареалы растений и диких животных, пути миграции диких животных, экосистемы)</w:t>
      </w:r>
    </w:p>
    <w:p w:rsid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Выбранный вариант реализации проекта направлен на улучшение экологической среды. Проектом предусматривается реконструкция существующего железобетонного пирса, которая позволит крупным рыбам, илу и механическим примесям не пройти через подземную трубу для забора воды. Никаких дополнительных других операции при реализации намечаемой деятельности не проводится.</w:t>
      </w:r>
    </w:p>
    <w:p w:rsidR="00B05EDD" w:rsidRDefault="00B05EDD" w:rsidP="00B05EDD">
      <w:pPr>
        <w:pStyle w:val="a3"/>
        <w:spacing w:line="240" w:lineRule="auto"/>
      </w:pPr>
    </w:p>
    <w:p w:rsidR="00B05EDD" w:rsidRPr="000970F2" w:rsidRDefault="00B05EDD" w:rsidP="00B05EDD">
      <w:pPr>
        <w:pStyle w:val="a3"/>
        <w:spacing w:line="240" w:lineRule="auto"/>
        <w:rPr>
          <w:b/>
          <w:bCs/>
        </w:rPr>
      </w:pPr>
      <w:r w:rsidRPr="000970F2">
        <w:rPr>
          <w:b/>
          <w:bCs/>
        </w:rPr>
        <w:t>Земли (в том числе изъятие земель), почвы (в том числе включая органический состав, эрозию, уплотнение, иные формы деградации)</w:t>
      </w:r>
    </w:p>
    <w:p w:rsid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материалы доставляются на предприятие сторонними организациями по мере необходимости работ. Хранение материалов на территории строительной площадки осуществляется непродолжительное время до момента использования материалов в строительных целях. Заправка автотранспорта на территории строительной площадки не осуществляется, что снижает воздействие почвы и земельные ресурсы.</w:t>
      </w:r>
    </w:p>
    <w:p w:rsid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рассматриваемой территории реликтовая растительность, а также растительность, занесенная в Красную Книгу РК, отсутствует. Вырубка зеленых насаждений на территории строительства не предусматривается.</w:t>
      </w:r>
    </w:p>
    <w:p w:rsidR="00B05EDD" w:rsidRDefault="00B05EDD" w:rsidP="00B05EDD">
      <w:pPr>
        <w:pStyle w:val="a3"/>
        <w:spacing w:line="240" w:lineRule="auto"/>
      </w:pPr>
    </w:p>
    <w:p w:rsidR="00B05EDD" w:rsidRDefault="00B05EDD" w:rsidP="00B05EDD">
      <w:pPr>
        <w:pStyle w:val="a3"/>
        <w:spacing w:line="240" w:lineRule="auto"/>
        <w:rPr>
          <w:b/>
          <w:bCs/>
        </w:rPr>
      </w:pPr>
      <w:r w:rsidRPr="00E5574B">
        <w:rPr>
          <w:b/>
          <w:bCs/>
        </w:rPr>
        <w:t xml:space="preserve">Воды (в том числе </w:t>
      </w:r>
      <w:proofErr w:type="spellStart"/>
      <w:r w:rsidRPr="00E5574B">
        <w:rPr>
          <w:b/>
          <w:bCs/>
        </w:rPr>
        <w:t>гидроморфологические</w:t>
      </w:r>
      <w:proofErr w:type="spellEnd"/>
      <w:r w:rsidRPr="00E5574B">
        <w:rPr>
          <w:b/>
          <w:bCs/>
        </w:rPr>
        <w:t xml:space="preserve"> изменения, количество и качество вод)</w:t>
      </w:r>
    </w:p>
    <w:p w:rsidR="00B05EDD" w:rsidRDefault="00E021A6" w:rsidP="00B05EDD">
      <w:pPr>
        <w:pStyle w:val="a3"/>
        <w:spacing w:line="240" w:lineRule="auto"/>
        <w:rPr>
          <w:color w:val="000000"/>
        </w:rPr>
      </w:pPr>
      <w:r>
        <w:rPr>
          <w:color w:val="000000"/>
        </w:rPr>
        <w:t xml:space="preserve">АО «АК </w:t>
      </w:r>
      <w:proofErr w:type="spellStart"/>
      <w:r>
        <w:rPr>
          <w:color w:val="000000"/>
        </w:rPr>
        <w:t>Алтыналмас</w:t>
      </w:r>
      <w:proofErr w:type="spellEnd"/>
      <w:r>
        <w:rPr>
          <w:color w:val="000000"/>
        </w:rPr>
        <w:t xml:space="preserve">» имеет Разрешение на специальное водопользование № </w:t>
      </w:r>
      <w:r>
        <w:rPr>
          <w:color w:val="000000"/>
        </w:rPr>
        <w:lastRenderedPageBreak/>
        <w:t>KZ49VTE00223768 от 08.02.2024 г.</w:t>
      </w:r>
    </w:p>
    <w:p w:rsidR="00E021A6" w:rsidRDefault="00E021A6" w:rsidP="00B05EDD">
      <w:pPr>
        <w:pStyle w:val="a3"/>
        <w:spacing w:line="240" w:lineRule="auto"/>
      </w:pPr>
    </w:p>
    <w:p w:rsidR="00B05EDD" w:rsidRPr="00E5574B" w:rsidRDefault="00B05EDD" w:rsidP="00B05EDD">
      <w:pPr>
        <w:pStyle w:val="a3"/>
        <w:spacing w:line="240" w:lineRule="auto"/>
        <w:rPr>
          <w:b/>
          <w:bCs/>
        </w:rPr>
      </w:pPr>
      <w:r w:rsidRPr="00E5574B">
        <w:rPr>
          <w:b/>
          <w:bCs/>
        </w:rPr>
        <w:t>Атмосферный воздух</w:t>
      </w:r>
    </w:p>
    <w:p w:rsid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Интегральная оценка составляет 2 балла на период СМР, категория значимости воздействия на атмосферный воздух присваивается низкой. Последствия испытываются, но величина воздействия достаточна низка в пределах допустимых стандартов. </w:t>
      </w:r>
    </w:p>
    <w:p w:rsidR="00B05EDD" w:rsidRDefault="00B05EDD" w:rsidP="00B05EDD">
      <w:pPr>
        <w:pStyle w:val="a3"/>
        <w:spacing w:line="240" w:lineRule="auto"/>
      </w:pPr>
    </w:p>
    <w:p w:rsidR="00B05EDD" w:rsidRPr="00E5574B" w:rsidRDefault="00B05EDD" w:rsidP="00B05EDD">
      <w:pPr>
        <w:pStyle w:val="a3"/>
        <w:spacing w:line="240" w:lineRule="auto"/>
        <w:rPr>
          <w:b/>
          <w:bCs/>
        </w:rPr>
      </w:pPr>
      <w:r w:rsidRPr="00E5574B">
        <w:rPr>
          <w:b/>
          <w:bCs/>
        </w:rPr>
        <w:t>Материальные активы, объекты историко-культурного наследия (в том числе архитектурные и археологические), ландшафты</w:t>
      </w:r>
    </w:p>
    <w:p w:rsid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Проектом предусматривается реконструкция существующего железобетонного пирса, никаких материальных активов, объектов историко-культурного наследия (в том числе архитектурные и археологические) ранее обнаружено не было.</w:t>
      </w:r>
    </w:p>
    <w:p w:rsidR="00B05EDD" w:rsidRDefault="00B05EDD" w:rsidP="00B05EDD">
      <w:pPr>
        <w:pStyle w:val="a3"/>
        <w:spacing w:line="240" w:lineRule="auto"/>
      </w:pPr>
    </w:p>
    <w:p w:rsidR="00B05EDD" w:rsidRDefault="00B05EDD" w:rsidP="00B05EDD">
      <w:pPr>
        <w:pStyle w:val="a3"/>
        <w:spacing w:line="240" w:lineRule="auto"/>
        <w:rPr>
          <w:b/>
          <w:bCs/>
        </w:rPr>
      </w:pPr>
      <w:r w:rsidRPr="00E5574B">
        <w:rPr>
          <w:b/>
          <w:bCs/>
        </w:rPr>
        <w:t>Отходы производства и потребления</w:t>
      </w:r>
      <w:r>
        <w:rPr>
          <w:b/>
          <w:bCs/>
        </w:rPr>
        <w:t>.</w:t>
      </w:r>
    </w:p>
    <w:p w:rsidR="00E021A6" w:rsidRPr="00E021A6" w:rsidRDefault="00E021A6" w:rsidP="00E021A6">
      <w:pPr>
        <w:keepNext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предприятии в процессе </w:t>
      </w:r>
      <w:r w:rsidRPr="00E02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строительных работ</w:t>
      </w:r>
      <w:r w:rsidRPr="00E0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образуется 3 вида отходов. Из которых 1 вид – опасные отходы и 2 вида – неопасных.</w:t>
      </w:r>
    </w:p>
    <w:p w:rsidR="00E021A6" w:rsidRPr="00E021A6" w:rsidRDefault="00E021A6" w:rsidP="00E021A6">
      <w:pPr>
        <w:keepNext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1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Смешанные коммунальные отходы (20 03 01).</w:t>
      </w:r>
      <w:r w:rsidRPr="00E0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Образуются в результате жизнедеятельности рабочего персонала. Временно накапливаются в металлические контейнеры с крышкой, размещённые на участке территории с твёрдым (водонепроницаемым) покрытием и сплошным ограждением и по мере накопления контейнера отход систематически передается специальным организациям. </w:t>
      </w:r>
    </w:p>
    <w:p w:rsidR="00E021A6" w:rsidRP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" w:name="_k17k8o3vu6tk" w:colFirst="0" w:colLast="0"/>
      <w:bookmarkEnd w:id="3"/>
      <w:r w:rsidRPr="00E021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  <w:lang w:eastAsia="ru-RU"/>
        </w:rPr>
        <w:t>Упаковка, содержащая остатки или загрязненная опасными веществами (15 01 10*)</w:t>
      </w:r>
      <w:r w:rsidRPr="00E021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Pr="00E0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Образуется в результате лакокрасочных работ.</w:t>
      </w:r>
      <w:r w:rsidRPr="00E021A6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</w:t>
      </w:r>
      <w:r w:rsidRPr="00E0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 накапливается на специально отведённом участке строительной площадки с твёрдым (водонепроницаемым) покрытием и сплошным ограждением и по мере накопления отход систематически передается специальным организациям.</w:t>
      </w:r>
      <w:r w:rsidRPr="00E02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E021A6" w:rsidRP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1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Огарки электродов (12 01 13). </w:t>
      </w:r>
      <w:r w:rsidRPr="00E0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Образуются в результате проведения сварочных работ, собираются в контейнеры с крышкой, расположенные на площадке строительства. По мере накопления транспортировочной партии отход передается специализированным организациям по договору.</w:t>
      </w:r>
    </w:p>
    <w:p w:rsidR="00B05EDD" w:rsidRDefault="00B05EDD" w:rsidP="00B05EDD">
      <w:pPr>
        <w:pStyle w:val="a3"/>
        <w:spacing w:line="240" w:lineRule="auto"/>
        <w:rPr>
          <w:b/>
          <w:bCs/>
        </w:rPr>
      </w:pPr>
    </w:p>
    <w:p w:rsidR="00A71E0B" w:rsidRPr="00A71E0B" w:rsidRDefault="00A71E0B" w:rsidP="00A71E0B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Объемы накопления отходов </w:t>
      </w:r>
    </w:p>
    <w:tbl>
      <w:tblPr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7"/>
        <w:gridCol w:w="4030"/>
        <w:gridCol w:w="1779"/>
      </w:tblGrid>
      <w:tr w:rsidR="00E021A6" w:rsidTr="00350350">
        <w:tc>
          <w:tcPr>
            <w:tcW w:w="3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keepNext/>
              <w:keepLines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отходов</w:t>
            </w:r>
          </w:p>
        </w:tc>
        <w:tc>
          <w:tcPr>
            <w:tcW w:w="4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keepNext/>
              <w:keepLines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Объем накопленных отходов на существующее положение, тонн/год</w:t>
            </w:r>
          </w:p>
        </w:tc>
        <w:tc>
          <w:tcPr>
            <w:tcW w:w="1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keepNext/>
              <w:keepLines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Лимит накопления, тонн/год</w:t>
            </w:r>
          </w:p>
        </w:tc>
      </w:tr>
      <w:tr w:rsidR="00E021A6" w:rsidTr="00350350">
        <w:tc>
          <w:tcPr>
            <w:tcW w:w="3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keepNext/>
              <w:keepLines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keepNext/>
              <w:keepLines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keepNext/>
              <w:keepLines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021A6" w:rsidTr="00350350">
        <w:tc>
          <w:tcPr>
            <w:tcW w:w="3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keepNext/>
              <w:keepLines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021A6" w:rsidRDefault="00E021A6" w:rsidP="00350350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0.856</w:t>
            </w:r>
          </w:p>
        </w:tc>
      </w:tr>
      <w:tr w:rsidR="00E021A6" w:rsidTr="00350350">
        <w:tc>
          <w:tcPr>
            <w:tcW w:w="3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 отходов производства</w:t>
            </w:r>
          </w:p>
        </w:tc>
        <w:tc>
          <w:tcPr>
            <w:tcW w:w="4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021A6" w:rsidRDefault="00E021A6" w:rsidP="00350350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0.068</w:t>
            </w:r>
          </w:p>
        </w:tc>
      </w:tr>
      <w:tr w:rsidR="00E021A6" w:rsidTr="00350350">
        <w:tc>
          <w:tcPr>
            <w:tcW w:w="3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отходов потребления</w:t>
            </w:r>
          </w:p>
        </w:tc>
        <w:tc>
          <w:tcPr>
            <w:tcW w:w="4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021A6" w:rsidRDefault="00E021A6" w:rsidP="00350350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0.788</w:t>
            </w:r>
          </w:p>
        </w:tc>
      </w:tr>
      <w:tr w:rsidR="00E021A6" w:rsidTr="00350350">
        <w:tc>
          <w:tcPr>
            <w:tcW w:w="953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Опасные отходы</w:t>
            </w:r>
          </w:p>
        </w:tc>
      </w:tr>
      <w:tr w:rsidR="00E021A6" w:rsidTr="00350350">
        <w:tc>
          <w:tcPr>
            <w:tcW w:w="3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Упаковка, содержащая остатки или загрязненная опасными веществами - 15 01 10*</w:t>
            </w:r>
          </w:p>
        </w:tc>
        <w:tc>
          <w:tcPr>
            <w:tcW w:w="4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0.065</w:t>
            </w:r>
          </w:p>
        </w:tc>
      </w:tr>
      <w:tr w:rsidR="00E021A6" w:rsidTr="00350350">
        <w:tc>
          <w:tcPr>
            <w:tcW w:w="953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опасные отходы</w:t>
            </w:r>
          </w:p>
        </w:tc>
      </w:tr>
      <w:tr w:rsidR="00E021A6" w:rsidTr="00350350">
        <w:tc>
          <w:tcPr>
            <w:tcW w:w="37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Смешанные коммунальные отходы - 20 03 01</w:t>
            </w:r>
          </w:p>
        </w:tc>
        <w:tc>
          <w:tcPr>
            <w:tcW w:w="40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21A6" w:rsidRDefault="00E021A6" w:rsidP="003503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0.788</w:t>
            </w:r>
          </w:p>
        </w:tc>
      </w:tr>
      <w:tr w:rsidR="00E021A6" w:rsidTr="00350350">
        <w:tc>
          <w:tcPr>
            <w:tcW w:w="3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Огарки сварочных электродов - 12 01 13</w:t>
            </w:r>
          </w:p>
        </w:tc>
        <w:tc>
          <w:tcPr>
            <w:tcW w:w="4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21A6" w:rsidRDefault="00E021A6" w:rsidP="003503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0.003</w:t>
            </w:r>
          </w:p>
        </w:tc>
      </w:tr>
      <w:tr w:rsidR="00E021A6" w:rsidTr="00350350">
        <w:tc>
          <w:tcPr>
            <w:tcW w:w="953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Зеркальные</w:t>
            </w:r>
          </w:p>
        </w:tc>
      </w:tr>
      <w:tr w:rsidR="00E021A6" w:rsidTr="00350350">
        <w:tc>
          <w:tcPr>
            <w:tcW w:w="3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1A6" w:rsidRDefault="00E021A6" w:rsidP="003503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021A6" w:rsidRDefault="00E021A6" w:rsidP="00B05EDD">
      <w:pPr>
        <w:pStyle w:val="a3"/>
        <w:spacing w:line="240" w:lineRule="auto"/>
        <w:rPr>
          <w:b/>
          <w:bCs/>
        </w:rPr>
      </w:pPr>
    </w:p>
    <w:p w:rsidR="00E021A6" w:rsidRDefault="00E021A6" w:rsidP="00E021A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период эксплуатации отходы производства и потребления отсутствуют.</w:t>
      </w:r>
    </w:p>
    <w:p w:rsidR="00E021A6" w:rsidRDefault="00E021A6" w:rsidP="00B05EDD">
      <w:pPr>
        <w:pStyle w:val="a3"/>
        <w:spacing w:line="240" w:lineRule="auto"/>
        <w:rPr>
          <w:b/>
          <w:bCs/>
        </w:rPr>
      </w:pPr>
      <w:bookmarkStart w:id="4" w:name="_GoBack"/>
      <w:bookmarkEnd w:id="4"/>
    </w:p>
    <w:p w:rsidR="00B05EDD" w:rsidRPr="00BC19A1" w:rsidRDefault="00B05EDD" w:rsidP="00B05EDD">
      <w:pPr>
        <w:pStyle w:val="a3"/>
        <w:spacing w:line="240" w:lineRule="auto"/>
        <w:rPr>
          <w:b/>
          <w:bCs/>
        </w:rPr>
      </w:pPr>
      <w:r w:rsidRPr="00BC19A1">
        <w:rPr>
          <w:b/>
          <w:bCs/>
        </w:rPr>
        <w:t>Аварийные ситуации.</w:t>
      </w:r>
    </w:p>
    <w:p w:rsidR="00B05EDD" w:rsidRPr="00E5574B" w:rsidRDefault="00B05EDD" w:rsidP="00B05EDD">
      <w:pPr>
        <w:pStyle w:val="a3"/>
        <w:spacing w:line="240" w:lineRule="auto"/>
      </w:pPr>
      <w:r w:rsidRPr="00BC19A1">
        <w:lastRenderedPageBreak/>
        <w:t>Наиболее вероятными</w:t>
      </w:r>
      <w:r w:rsidRPr="00E5574B">
        <w:t xml:space="preserve"> аварийными ситуациями, которые могут возникнуть в результате намечаемой деятельности и существенным образом повлиять на сложившуюся экологическую ситуацию, являются:</w:t>
      </w:r>
    </w:p>
    <w:p w:rsidR="00B05EDD" w:rsidRPr="00E5574B" w:rsidRDefault="00B05EDD" w:rsidP="00B05EDD">
      <w:pPr>
        <w:pStyle w:val="a3"/>
        <w:spacing w:line="240" w:lineRule="auto"/>
      </w:pPr>
      <w:r w:rsidRPr="00E5574B">
        <w:t>•</w:t>
      </w:r>
      <w:r w:rsidRPr="00E5574B">
        <w:tab/>
        <w:t>технологические отказы, обусловленные нарушением норм технологического режима производства или отдельных технологических процессов;</w:t>
      </w:r>
    </w:p>
    <w:p w:rsidR="00B05EDD" w:rsidRPr="00E5574B" w:rsidRDefault="00B05EDD" w:rsidP="00B05EDD">
      <w:pPr>
        <w:pStyle w:val="a3"/>
        <w:spacing w:line="240" w:lineRule="auto"/>
      </w:pPr>
      <w:r w:rsidRPr="00E5574B">
        <w:t>•</w:t>
      </w:r>
      <w:r w:rsidRPr="00E5574B">
        <w:tab/>
        <w:t xml:space="preserve">механические отказы, вызванные или полным </w:t>
      </w:r>
      <w:proofErr w:type="gramStart"/>
      <w:r w:rsidRPr="00E5574B">
        <w:t>разрушением</w:t>
      </w:r>
      <w:proofErr w:type="gramEnd"/>
      <w:r w:rsidRPr="00E5574B">
        <w:t xml:space="preserve"> или износом технологического оборудования или его деталей;</w:t>
      </w:r>
    </w:p>
    <w:p w:rsidR="00B05EDD" w:rsidRPr="00E5574B" w:rsidRDefault="00B05EDD" w:rsidP="00B05EDD">
      <w:pPr>
        <w:pStyle w:val="a3"/>
        <w:spacing w:line="240" w:lineRule="auto"/>
      </w:pPr>
      <w:r w:rsidRPr="00E5574B">
        <w:t>•</w:t>
      </w:r>
      <w:r w:rsidRPr="00E5574B">
        <w:tab/>
        <w:t>чрезвычайные события, о</w:t>
      </w:r>
      <w:r>
        <w:t>бусловленные пожарами, взрывами.</w:t>
      </w:r>
    </w:p>
    <w:p w:rsidR="00B05EDD" w:rsidRPr="00E5574B" w:rsidRDefault="00B05EDD" w:rsidP="00B05EDD">
      <w:pPr>
        <w:pStyle w:val="a3"/>
        <w:spacing w:line="240" w:lineRule="auto"/>
      </w:pPr>
      <w:r w:rsidRPr="00E5574B">
        <w:t>Для предотвращения аварийных ситуаций в большинстве случаев требуется систематический контроль за выполнением технических инструкций и мероприятий по охране труда и пожарной профилактике.</w:t>
      </w:r>
    </w:p>
    <w:p w:rsidR="00B05EDD" w:rsidRDefault="00B05EDD" w:rsidP="00B05EDD">
      <w:pPr>
        <w:pStyle w:val="a3"/>
        <w:spacing w:line="240" w:lineRule="auto"/>
      </w:pPr>
      <w:r w:rsidRPr="00E5574B">
        <w:t>Своевременное применение запроектированных мероприятий по локализации и ликвидации последствий аварийных ситуаций позволит дополнительно уменьшить их возможные негативные влияния на окружающую среду, снизить уровни экологического риска.</w:t>
      </w:r>
    </w:p>
    <w:p w:rsidR="00B05EDD" w:rsidRDefault="00B05EDD" w:rsidP="00B05EDD">
      <w:pPr>
        <w:pStyle w:val="a3"/>
        <w:spacing w:line="240" w:lineRule="auto"/>
      </w:pPr>
      <w:r>
        <w:t xml:space="preserve">Основными мерами предупреждения вышеперечисленных ситуаций является строгое исполнение технологической и производственной дисциплины, выполнение проектных решений и оперативный контроль. </w:t>
      </w:r>
    </w:p>
    <w:p w:rsidR="00B05EDD" w:rsidRDefault="00B05EDD" w:rsidP="00B05EDD">
      <w:pPr>
        <w:pStyle w:val="a3"/>
        <w:spacing w:line="240" w:lineRule="auto"/>
      </w:pPr>
      <w:r>
        <w:t>Для того, чтобы минимизировать процент возникновения аварийных ситуаций нужно проводить следующие мероприятия:</w:t>
      </w:r>
    </w:p>
    <w:p w:rsidR="00B05EDD" w:rsidRDefault="00B05EDD" w:rsidP="00B05EDD">
      <w:pPr>
        <w:pStyle w:val="a3"/>
        <w:spacing w:line="240" w:lineRule="auto"/>
      </w:pPr>
      <w:r>
        <w:t>•</w:t>
      </w:r>
      <w:r>
        <w:tab/>
        <w:t>Периодическая проверка оборудования на предмет износа и нарушения его деятельности;</w:t>
      </w:r>
    </w:p>
    <w:p w:rsidR="00B05EDD" w:rsidRDefault="00B05EDD" w:rsidP="00B05EDD">
      <w:pPr>
        <w:pStyle w:val="a3"/>
        <w:spacing w:line="240" w:lineRule="auto"/>
      </w:pPr>
      <w:r>
        <w:t>•</w:t>
      </w:r>
      <w:r>
        <w:tab/>
        <w:t>Правильная эксплуатация технологического оборудования;</w:t>
      </w:r>
    </w:p>
    <w:p w:rsidR="00B05EDD" w:rsidRDefault="00B05EDD" w:rsidP="00B05EDD">
      <w:pPr>
        <w:pStyle w:val="a3"/>
        <w:spacing w:line="240" w:lineRule="auto"/>
      </w:pPr>
      <w:r>
        <w:t>•</w:t>
      </w:r>
      <w:r>
        <w:tab/>
        <w:t>Соблюдение правил пожарной безопасности;</w:t>
      </w:r>
    </w:p>
    <w:p w:rsidR="00B05EDD" w:rsidRDefault="00B05EDD" w:rsidP="00B05EDD">
      <w:pPr>
        <w:pStyle w:val="a3"/>
        <w:spacing w:line="240" w:lineRule="auto"/>
      </w:pPr>
      <w:r>
        <w:t>•</w:t>
      </w:r>
      <w:r>
        <w:tab/>
        <w:t>Соблюдение правил временного хранения и транспортировки отходов производства и потребления.</w:t>
      </w:r>
    </w:p>
    <w:p w:rsidR="006C41F6" w:rsidRDefault="00E021A6"/>
    <w:sectPr w:rsidR="006C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03F01"/>
    <w:multiLevelType w:val="multilevel"/>
    <w:tmpl w:val="70B2DB7E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E6431C"/>
    <w:multiLevelType w:val="hybridMultilevel"/>
    <w:tmpl w:val="B6E4E8FE"/>
    <w:lvl w:ilvl="0" w:tplc="0419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2" w15:restartNumberingAfterBreak="0">
    <w:nsid w:val="0CB935DA"/>
    <w:multiLevelType w:val="multilevel"/>
    <w:tmpl w:val="7A92A6FE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B234AF"/>
    <w:multiLevelType w:val="hybridMultilevel"/>
    <w:tmpl w:val="B40A70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8E494A"/>
    <w:multiLevelType w:val="hybridMultilevel"/>
    <w:tmpl w:val="E392D7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0469F9"/>
    <w:multiLevelType w:val="hybridMultilevel"/>
    <w:tmpl w:val="6A605638"/>
    <w:lvl w:ilvl="0" w:tplc="04190001">
      <w:start w:val="1"/>
      <w:numFmt w:val="bullet"/>
      <w:lvlText w:val=""/>
      <w:lvlJc w:val="left"/>
      <w:pPr>
        <w:tabs>
          <w:tab w:val="num" w:pos="1321"/>
        </w:tabs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6" w15:restartNumberingAfterBreak="0">
    <w:nsid w:val="42A32859"/>
    <w:multiLevelType w:val="hybridMultilevel"/>
    <w:tmpl w:val="1786B3CA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3E0609"/>
    <w:multiLevelType w:val="hybridMultilevel"/>
    <w:tmpl w:val="5560B0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B560AB"/>
    <w:multiLevelType w:val="hybridMultilevel"/>
    <w:tmpl w:val="8BBAC88C"/>
    <w:lvl w:ilvl="0" w:tplc="0419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9" w15:restartNumberingAfterBreak="0">
    <w:nsid w:val="65293120"/>
    <w:multiLevelType w:val="hybridMultilevel"/>
    <w:tmpl w:val="A1B62E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CF3395C"/>
    <w:multiLevelType w:val="hybridMultilevel"/>
    <w:tmpl w:val="91723114"/>
    <w:lvl w:ilvl="0" w:tplc="C5DE537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DD"/>
    <w:rsid w:val="00001AB9"/>
    <w:rsid w:val="000063A5"/>
    <w:rsid w:val="0035462A"/>
    <w:rsid w:val="008D7C3F"/>
    <w:rsid w:val="00A71E0B"/>
    <w:rsid w:val="00B05EDD"/>
    <w:rsid w:val="00BC19A1"/>
    <w:rsid w:val="00E0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D1111-2EDE-4EA4-8EDD-EF73DA97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05EDD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ный"/>
    <w:basedOn w:val="a"/>
    <w:link w:val="a4"/>
    <w:qFormat/>
    <w:rsid w:val="00B05EDD"/>
    <w:pPr>
      <w:spacing w:line="276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роектный Знак"/>
    <w:basedOn w:val="a0"/>
    <w:link w:val="a3"/>
    <w:rsid w:val="00B05E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B05ED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aliases w:val="Paragraph,Citation List,Resume Title,List Paragraph Char Char,b1,Number_1,SGLText List Paragraph,new,lp1,Normal Sentence,Colorful List - Accent 11,ListPar1,List Paragraph2,List Paragraph11,list1,Figure_name,HEAD 3,n"/>
    <w:basedOn w:val="a"/>
    <w:link w:val="a6"/>
    <w:uiPriority w:val="34"/>
    <w:qFormat/>
    <w:rsid w:val="00A71E0B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aliases w:val="Paragraph Знак,Citation List Знак,Resume Title Знак,List Paragraph Char Char Знак,b1 Знак,Number_1 Знак,SGLText List Paragraph Знак,new Знак,lp1 Знак,Normal Sentence Знак,Colorful List - Accent 11 Знак,ListPar1 Знак,list1 Знак,n Знак"/>
    <w:link w:val="a5"/>
    <w:uiPriority w:val="34"/>
    <w:qFormat/>
    <w:rsid w:val="00A71E0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Конакова</dc:creator>
  <cp:keywords/>
  <dc:description/>
  <cp:lastModifiedBy>Юлия Конакова</cp:lastModifiedBy>
  <cp:revision>5</cp:revision>
  <dcterms:created xsi:type="dcterms:W3CDTF">2025-06-30T04:33:00Z</dcterms:created>
  <dcterms:modified xsi:type="dcterms:W3CDTF">2025-08-19T04:26:00Z</dcterms:modified>
</cp:coreProperties>
</file>