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D8A" w:rsidRPr="008A4598" w:rsidRDefault="00127D8A" w:rsidP="001F215F">
      <w:pPr>
        <w:pStyle w:val="a7"/>
        <w:jc w:val="both"/>
        <w:rPr>
          <w:b/>
          <w:caps w:val="0"/>
          <w:sz w:val="22"/>
          <w:szCs w:val="22"/>
        </w:rPr>
      </w:pPr>
      <w:r w:rsidRPr="008A4598">
        <w:rPr>
          <w:b/>
          <w:caps w:val="0"/>
          <w:sz w:val="22"/>
          <w:szCs w:val="22"/>
        </w:rPr>
        <w:t>Краткое нетехническое резюме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ТОО «Тасбулат Ойл Корпорэйшн» является юридическим лицом, зарегистрированным на территории Республики Казахстан, имеет государственную лицензию на право пользования недрами, добычу углеводородного сырья на месторождениях Тасбулат, Туркменой и Актас.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Форма собственности: Частная.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Вид основной деятельности: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Основным видом деятельности является недропользование на основании контракта №ГКИ169 на проведение добычи углеводородного сырья нефтегазоконденсатного месторождения Тасбулат заключенным 28.01.98 г., между Государственным Комитетом РК по инвестициям и ТОО «Тасбулат Ойл Корпорэйшн».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Разведка и добыча углеводородного сырья на нефтегазовом месторождении Туркменой, расположенном на территории Мангистауского района Мангистауской области на основании контракта №614 от 12.12.2000 г., между Агентством РК по инвестициям и ТОО «Тасбулат Ойл Корпорэйшн».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Разведка и добыча углеводородного сырья на нефтегазовом месторождении Актас, расположенном на территории Каракиянского района Мангистауской области на основании контракта №613 от 12.12.2000 г., между Агентством РК по инвестициям и ТОО «Тасбулат Ойл Корпорэйшн».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Перечень структурных подразделений предприятия, основных и вспомогательных производств, участков: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 состав объектов лицензионной блоков ТОО «Тасбулат Ойл Корпорэйшн» входят:</w:t>
      </w:r>
    </w:p>
    <w:p w:rsidR="00127D8A" w:rsidRPr="008A4598" w:rsidRDefault="00127D8A" w:rsidP="001F215F">
      <w:pPr>
        <w:pStyle w:val="1"/>
        <w:widowControl/>
        <w:rPr>
          <w:sz w:val="22"/>
          <w:szCs w:val="22"/>
        </w:rPr>
      </w:pPr>
      <w:r w:rsidRPr="008A4598">
        <w:rPr>
          <w:sz w:val="22"/>
          <w:szCs w:val="22"/>
        </w:rPr>
        <w:t>нефтяное месторождение Тасбулат;</w:t>
      </w:r>
    </w:p>
    <w:p w:rsidR="00127D8A" w:rsidRPr="008A4598" w:rsidRDefault="00127D8A" w:rsidP="001F215F">
      <w:pPr>
        <w:pStyle w:val="1"/>
        <w:widowControl/>
        <w:rPr>
          <w:sz w:val="22"/>
          <w:szCs w:val="22"/>
        </w:rPr>
      </w:pPr>
      <w:r w:rsidRPr="008A4598">
        <w:rPr>
          <w:sz w:val="22"/>
          <w:szCs w:val="22"/>
        </w:rPr>
        <w:t>нефтяное месторождение Туркменой;</w:t>
      </w:r>
    </w:p>
    <w:p w:rsidR="00127D8A" w:rsidRPr="008A4598" w:rsidRDefault="00127D8A" w:rsidP="001F215F">
      <w:pPr>
        <w:pStyle w:val="1"/>
        <w:widowControl/>
        <w:rPr>
          <w:sz w:val="22"/>
          <w:szCs w:val="22"/>
        </w:rPr>
      </w:pPr>
      <w:r w:rsidRPr="008A4598">
        <w:rPr>
          <w:sz w:val="22"/>
          <w:szCs w:val="22"/>
        </w:rPr>
        <w:t>нефтяное месторождение Актас;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На месторождении Молдыбай добыча нефти в настоящее время не ведется.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Место расположения и размер площади объектов.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Общая площадь контрактной территории - месторождений Тасбулат - Туркменой - Актас составляет 19820,4 га.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 состав лицензионных блоков ТОО «Тасбулат Ойл Корпорэйшн» входят месторождения Тасбулат, Актас, Туркменой, которые располагаются в районе активной нефте-газодобычи. Добываемая на этих месторождениях нефть поступает по трубопроводу в магистральный нефтепровод Жана-Озен-Самара.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Руководство деятельностью ТОО «Тасбулат Ойл Корпорэйшн» осуществляется из головного офиса в г. Актау. Вахтовый лагерь и производственный офис располагаются на месторождении Тасбулат.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Вахтовый поселок и офис в г. Актау соединены между собой и производственными объектами посредством радио-, телефонной, спутниковой и компьютерной связи.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Снабжение технической водой осуществляется из водовода волжской воды Астрахань-Мангистау. Доставка бутилированной питьевой воды осуществляется автомобильным транспортом из г. Актау до вахтового лагеря.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Персонал месторождений, в количестве </w:t>
      </w:r>
      <w:r w:rsidR="00DF1A6C">
        <w:rPr>
          <w:caps w:val="0"/>
          <w:sz w:val="22"/>
          <w:szCs w:val="22"/>
        </w:rPr>
        <w:t>19</w:t>
      </w:r>
      <w:r w:rsidRPr="008A4598">
        <w:rPr>
          <w:caps w:val="0"/>
          <w:sz w:val="22"/>
          <w:szCs w:val="22"/>
        </w:rPr>
        <w:t>0 человек, проживает в утепленных модульных блоках в вахтовом городке. На территории месторождения персонал работает вахтовым методом (15х15, 28х28); время работы в офисе составляет 8 часов. На территории вахтового городка находятся: административный блок - 2-х этажное здание (сборный дом), пожарное депо, столовая, мастерские, жилые и складские помещения. Все объекты обеспечены противопожарной сигнализацией.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В вахтовом поселке имеется медпункт, машина скорой помощи и квалифицированный медперсонал с круглосуточным дежурством, а также устойчивая радио-телекоммуникационная, факсимильная, спутниковая и интернет связь.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Согласно карте административно-территориального деления месторождения Тасбулат, Актас, Туркменой, Молдыбай располагаются в Каракиянском и Мангистауском районах Мангистауской области, районными центрами которых являются рабочие поселки Курык и Шетпе.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Ближайшая к месторождениям железнодорожная ветка проходит по линии Актау- Жанаозен. Вдоль железной дороги проходит автомобильная дорога республиканского значения, ЛЭП, линия телефонной связи. От автомобильной дороги Актау-Жанаозен проложена асфальтированная автодорога до вахтового лагеря Тасбулат.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Через территорию блока месторождений проходят 3 высоковольтные линии (2 ЛЭП- 220 кВ и 1 ЛЭП-110 кВ). Также имеются ЛЭП напряжением 35 кВ, связывающие газовые промыслы.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lastRenderedPageBreak/>
        <w:t>Социально-экономическое развитие данного региона происходит в жестких природно-климатических условиях. Дефицит пресной воды и низкое плодородие почв обуславливают неравномерность распределения населения по территориям областей и приуроченность населенных пунктов к нефтегазодобывающим месторождениям.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Все месторождения ТОО «Тасбулат Ойл Корпорэйшн» располагаются в районе активной нефте-, газодобычи. В непосредственной близости находятся месторождения Жетыбай, Восточный Жетыбай, Южный Жетыбай, Каменистое, Бектурлы, Юго-Восточное, Асар. Обзорная карта-схема расположения месторождений ТОО «Тасбулат Ойл Корпорэйш» представлена на рисунке 1.1.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Месторождения Актас, Туркменой, Тасболат располагаются в южной пустынной части полуострова Мангышлак на территории Мангышлакского прогиба.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Природный климатический режим района расположения месторождений формируется под воздействием арктических, иранских и туранских воздушных масс. В холодный период года над территорией господствуют воздушные массы, поступающие от западного отрога сибирского антициклона, в теплый период года они сменяются континентальными туранскими и иранскими воздушными массами. Под влиянием этих масс формируется резко континентальный, засушливый климат.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Для климатической характеристики района использованы данные метеостанции Тущибек, Узень, Аккудук.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Рассматриваемый регион относится к четвертому климатическому району, подрайону VI-А, который характеризуется большой продолжительностью теплого периода, обилием солнечных дней, малым количеством осадков. Климат района резко континентальный, сухой, с высокой активностью ветрового режима, большими колебаниями погодных условий в течение года от весьма холодной зимы до очень жаркого лета, малым количеством осадков (около 120 мм в год) и большой сухостью воздуха.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Зима (декабрь-февраль) умеренно холодная, малоснежная, преимущественно с пасмурной погодой. Устойчивые морозы начинаются в середине декабря. Самый холодный месяц январь, температура воздуха днем минус 3 ˚С – минус 5 ˚С, ночью минус 3 ˚С – минус 13 ˚С (минимальная температура – минус 36 ˚С). Днем нередко бывают оттепели с температурой воздуха до плюс 11 ˚С. Осадки почти всегда бывают в виде снега, но устойчивый снежный покров не образуется. Высота снежного покрова обычно не превышает 5 см. Средняя глубина промерзания грунта 70-100 см.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Весна (март-апрель) преимущественно с ясной погодой, температура воздуха днем плюс 5 – плюс 15 ˚С, ночью плюс 2 ˚С – плюс 8 ˚С. В апреле по ночам температура обычно положительная, но до середины апреля возможны ночные заморозки.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noProof/>
          <w:sz w:val="22"/>
          <w:szCs w:val="22"/>
        </w:rPr>
        <w:lastRenderedPageBreak/>
        <w:drawing>
          <wp:inline distT="0" distB="0" distL="0" distR="0" wp14:anchorId="3692788F" wp14:editId="2C27DAEB">
            <wp:extent cx="5939790" cy="79044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bookmarkStart w:id="0" w:name="_Toc524310890"/>
      <w:r w:rsidRPr="008A4598">
        <w:rPr>
          <w:caps w:val="0"/>
          <w:sz w:val="22"/>
          <w:szCs w:val="22"/>
        </w:rPr>
        <w:t xml:space="preserve">Рисунок </w:t>
      </w:r>
      <w:r w:rsidRPr="008A4598">
        <w:rPr>
          <w:caps w:val="0"/>
          <w:sz w:val="22"/>
          <w:szCs w:val="22"/>
        </w:rPr>
        <w:fldChar w:fldCharType="begin"/>
      </w:r>
      <w:r w:rsidRPr="008A4598">
        <w:rPr>
          <w:caps w:val="0"/>
          <w:sz w:val="22"/>
          <w:szCs w:val="22"/>
        </w:rPr>
        <w:instrText xml:space="preserve"> SEQ Рисунок \* ARABIC </w:instrText>
      </w:r>
      <w:r w:rsidRPr="008A4598">
        <w:rPr>
          <w:caps w:val="0"/>
          <w:sz w:val="22"/>
          <w:szCs w:val="22"/>
        </w:rPr>
        <w:fldChar w:fldCharType="separate"/>
      </w:r>
      <w:r w:rsidRPr="008A4598">
        <w:rPr>
          <w:caps w:val="0"/>
          <w:noProof/>
          <w:sz w:val="22"/>
          <w:szCs w:val="22"/>
        </w:rPr>
        <w:t>1</w:t>
      </w:r>
      <w:r w:rsidRPr="008A4598">
        <w:rPr>
          <w:caps w:val="0"/>
          <w:sz w:val="22"/>
          <w:szCs w:val="22"/>
        </w:rPr>
        <w:fldChar w:fldCharType="end"/>
      </w:r>
      <w:r w:rsidRPr="008A4598">
        <w:rPr>
          <w:caps w:val="0"/>
          <w:sz w:val="22"/>
          <w:szCs w:val="22"/>
        </w:rPr>
        <w:t>.1 – Обзорная карта-схема расположения месторождений ТОО «Тасбулат Ойл Корпорэйшн»</w:t>
      </w:r>
      <w:bookmarkEnd w:id="0"/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Лето (май-сентябрь) сухое и жаркое, как правило, с ясной погодой. Температура воздуха днем плюс 23 ˚С – плюс 37 ˚С (максимальная температура – плюс 43 ˚С), ночью – плюс 11 ˚С – плюс 15 ˚С. Осадки выпадают редко, преимущественно, в виде кратковременных  ливней.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lastRenderedPageBreak/>
        <w:t>Осень (октябрь-ноябрь) в октябре с ясной погодой, в ноябре – с пасмурной. Изредка выпадают моросящие дожди. Температура воздуха днем плюс 5 ˚С – плюс 13 ˚С, ночные заморозки начинаются во второй половине октября.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Район месторождения по ветровому давлению относится к III району (до 15 м/сек). По средней скорости ветра в зимний период район относится к VI району.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Атмосферные осадки по временам года распределяются неравномерно. Максимум приходится на зимне-весенний период, а с июня по октябрь осадки практически не выпадают. Максимальное количество осадков приходится на декабрь-апрель.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Среднегодовая относительная влажность воздуха района рассматриваемой территории составляет 56-75%. Наиболее высоких значений она достигает в зимне-весенний период (75%), а наиболее низких – летом (56%).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Наличие большого дефицита влажности (до 763 мб), при высоких абсолютных температурах воздуха и соответствующем температурном градиенте, создает условия для значительного испарения.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Ветер. Погода преимущественно ветреная. Ветры в течение года, в основном, северные, восточные, северо-западные и юго-восточные. Значения среднемесячных скоростей ветра колеблются от 3,8 до 5,1 м/с. Наибольшие среднемесячные скорости ветра наблюдаются в зимнее время, наименьшие – летом. Наибольшую повторяемость имеют ветры со скоростью 3-4 м/с. Средняя годовая скорость ветра составляет 4,4 м/с.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Атмосферные осадки. Режим осадков в незначительной мере зависит от взаимодействия различных по происхождению воздушных масс с рельефом местности. Рассматриваемый регион отличается большой засушливостью, что связано с малой доступностью для влажных атлантических масс воздуха, являющихся основным источником осадков.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При этом, на повышенном фоне количества осадков с марта по октябрь, выделяется два максимума: в марте-апреле и сентябре.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Летние осадки непродолжительны и носят преимущественно ливневый характер, вызывая на склонах эрозию почв. В отдельные засушливые годы на протяжении всего лета дождей не бывает вообще.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Снежный покров. Рассматриваемый район относится к зоне с неустойчивым снежным покровом. Устойчивый снежный покров образуется только в 22% всех зим, а остальные 78% наблюдается неустойчивый снежный покров.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Влажность воздуха. Среднегодовая относительная влажность воздуха составляет 7,7 мб, средние месячные ее значения изменяются от 3,6 до 13,5 мб. Наибольшая относительная влажность воздуха наблюдается в период ноябрь-март (68-78%). Годовой ход дефицита влажности аналогичен ходу температуры воздуха, наибольших значений достигает в июле (22,1 мб), наименьших в декабре-феврале (1,1-1,5 мб). Средняя годовая его величина равна 9,5 мб. </w:t>
      </w:r>
    </w:p>
    <w:p w:rsidR="00127D8A" w:rsidRPr="008A4598" w:rsidRDefault="00127D8A" w:rsidP="001F215F">
      <w:pPr>
        <w:pStyle w:val="Optimum2"/>
        <w:numPr>
          <w:ilvl w:val="0"/>
          <w:numId w:val="0"/>
        </w:numPr>
        <w:rPr>
          <w:sz w:val="22"/>
          <w:szCs w:val="22"/>
        </w:rPr>
      </w:pPr>
      <w:bookmarkStart w:id="1" w:name="_Toc141801083"/>
      <w:r w:rsidRPr="008A4598">
        <w:rPr>
          <w:sz w:val="22"/>
          <w:szCs w:val="22"/>
        </w:rPr>
        <w:t>Месторождение Тасбулат</w:t>
      </w:r>
      <w:bookmarkEnd w:id="1"/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Месторождение Тасбулат является самым крупным из месторождений, разрабатываемых компанией ТОО «Тасбулат Ойл Корпорэйшн».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Лицензионная площадь составляет 4026,4 га и обозначена на топографическом плане угловыми точками, представленными в таблице.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bookmarkStart w:id="2" w:name="_Toc101838450"/>
      <w:r w:rsidRPr="008A4598">
        <w:rPr>
          <w:caps w:val="0"/>
          <w:sz w:val="22"/>
          <w:szCs w:val="22"/>
        </w:rPr>
        <w:t>Координаты угловых точек месторождения Тасбулат</w:t>
      </w:r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2885"/>
        <w:gridCol w:w="5330"/>
      </w:tblGrid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№ точки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Широта (с.ш.)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Долгота (в.д.)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lang w:val="en-US"/>
              </w:rPr>
              <w:t>3</w:t>
            </w:r>
            <w:r w:rsidRPr="008A4598">
              <w:rPr>
                <w:rFonts w:ascii="Times New Roman" w:hAnsi="Times New Roman" w:cs="Times New Roman"/>
              </w:rPr>
              <w:t>'</w:t>
            </w:r>
            <w:r w:rsidRPr="008A4598">
              <w:rPr>
                <w:rFonts w:ascii="Times New Roman" w:hAnsi="Times New Roman" w:cs="Times New Roman"/>
                <w:lang w:val="en-US"/>
              </w:rPr>
              <w:t>28.64</w:t>
            </w:r>
            <w:r w:rsidRPr="008A4598">
              <w:rPr>
                <w:rFonts w:ascii="Times New Roman" w:hAnsi="Times New Roman" w:cs="Times New Roman"/>
              </w:rPr>
              <w:t>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1</w:t>
            </w:r>
            <w:r w:rsidRPr="008A4598">
              <w:rPr>
                <w:rFonts w:ascii="Times New Roman" w:hAnsi="Times New Roman" w:cs="Times New Roman"/>
                <w:lang w:val="en-US"/>
              </w:rPr>
              <w:t>8</w:t>
            </w:r>
            <w:r w:rsidRPr="008A4598">
              <w:rPr>
                <w:rFonts w:ascii="Times New Roman" w:hAnsi="Times New Roman" w:cs="Times New Roman"/>
              </w:rPr>
              <w:t>'</w:t>
            </w:r>
            <w:r w:rsidRPr="008A4598">
              <w:rPr>
                <w:rFonts w:ascii="Times New Roman" w:hAnsi="Times New Roman" w:cs="Times New Roman"/>
                <w:lang w:val="en-US"/>
              </w:rPr>
              <w:t>2</w:t>
            </w:r>
            <w:r w:rsidRPr="008A4598">
              <w:rPr>
                <w:rFonts w:ascii="Times New Roman" w:hAnsi="Times New Roman" w:cs="Times New Roman"/>
              </w:rPr>
              <w:t>348''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23'53.97''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18'41.53''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23'50.34''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19'31.52''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16'13.02''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</w:t>
            </w: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42'03.27''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22'42.07''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21'32.96''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21'57.81''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23'59.15''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21'38.38''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23'50.49''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22'10.93''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21'10.80''</w:t>
            </w:r>
          </w:p>
        </w:tc>
      </w:tr>
      <w:tr w:rsidR="00127D8A" w:rsidRPr="008A4598" w:rsidTr="001F215F">
        <w:trPr>
          <w:trHeight w:val="20"/>
          <w:jc w:val="center"/>
        </w:trPr>
        <w:tc>
          <w:tcPr>
            <w:tcW w:w="60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15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</w:rPr>
              <w:t>43</w:t>
            </w:r>
            <w:r w:rsidRPr="008A4598">
              <w:rPr>
                <w:rFonts w:ascii="Times New Roman" w:hAnsi="Times New Roman" w:cs="Times New Roman"/>
                <w:vertAlign w:val="superscript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22'27.77''</w:t>
            </w:r>
          </w:p>
        </w:tc>
        <w:tc>
          <w:tcPr>
            <w:tcW w:w="2852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hAnsi="Times New Roman" w:cs="Times New Roman"/>
                <w:lang w:val="en-US"/>
              </w:rPr>
              <w:t>5</w:t>
            </w:r>
            <w:r w:rsidRPr="008A4598">
              <w:rPr>
                <w:rFonts w:ascii="Times New Roman" w:hAnsi="Times New Roman" w:cs="Times New Roman"/>
              </w:rPr>
              <w:t>2</w:t>
            </w:r>
            <w:r w:rsidRPr="008A4598">
              <w:rPr>
                <w:rFonts w:ascii="Times New Roman" w:hAnsi="Times New Roman" w:cs="Times New Roman"/>
                <w:vertAlign w:val="superscript"/>
                <w:lang w:val="en-US"/>
              </w:rPr>
              <w:t>0</w:t>
            </w:r>
            <w:r w:rsidRPr="008A4598">
              <w:rPr>
                <w:rFonts w:ascii="Times New Roman" w:hAnsi="Times New Roman" w:cs="Times New Roman"/>
              </w:rPr>
              <w:t>20'13.49''</w:t>
            </w:r>
          </w:p>
        </w:tc>
      </w:tr>
    </w:tbl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 административном отношении участок, на котором располагается месторождение Тасбулат, относится к Каракиянскому району Мангистауской области.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Ближайшим населенным пунктом к месторождению Тасбулат является пос. Мунайши, расстояние до него составляет 16 км.  Поселок Жетыбай отстоит от границ месторождения на 25 км, районный центр п. Курык находится в</w:t>
      </w:r>
      <w:r w:rsidRPr="008A4598">
        <w:rPr>
          <w:caps w:val="0"/>
          <w:sz w:val="22"/>
          <w:szCs w:val="22"/>
        </w:rPr>
        <w:tab/>
        <w:t xml:space="preserve"> 80 км, областной центр г. Актау - в 125 км.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Месторождение Тасбулат было открыто в 1965 г. Залежи нефти и газа были разведаны в горизонтах Ю-1, Ю-6, Ю-10 и Ю-11. Запасы нефти и газа были утверждены ГКЗ СССР 16.05.69 г. (Протокол №5685).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В 1975 г. на месторождении были начаты поисковые работы на триасовые отложения, которые привели к открытию залежей нефти и газа в среднем триасе.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Основное направление деятельности компании в </w:t>
      </w:r>
      <w:r w:rsidR="00696FC3">
        <w:rPr>
          <w:caps w:val="0"/>
          <w:sz w:val="22"/>
          <w:szCs w:val="22"/>
        </w:rPr>
        <w:t>2026</w:t>
      </w:r>
      <w:r w:rsidRPr="008A4598">
        <w:rPr>
          <w:caps w:val="0"/>
          <w:sz w:val="22"/>
          <w:szCs w:val="22"/>
        </w:rPr>
        <w:t xml:space="preserve"> год</w:t>
      </w:r>
      <w:r w:rsidR="00696FC3">
        <w:rPr>
          <w:caps w:val="0"/>
          <w:sz w:val="22"/>
          <w:szCs w:val="22"/>
        </w:rPr>
        <w:t>у</w:t>
      </w:r>
      <w:r w:rsidRPr="008A4598">
        <w:rPr>
          <w:caps w:val="0"/>
          <w:sz w:val="22"/>
          <w:szCs w:val="22"/>
        </w:rPr>
        <w:t xml:space="preserve"> - продолжение промышленной добычи нефти на месторождении Тасбулат, проведение мероприятий по интенсификации притока.</w:t>
      </w:r>
    </w:p>
    <w:p w:rsidR="00127D8A" w:rsidRPr="008A4598" w:rsidRDefault="00127D8A" w:rsidP="001F215F">
      <w:pPr>
        <w:pStyle w:val="Optimum2"/>
        <w:numPr>
          <w:ilvl w:val="0"/>
          <w:numId w:val="0"/>
        </w:numPr>
        <w:rPr>
          <w:sz w:val="22"/>
          <w:szCs w:val="22"/>
        </w:rPr>
      </w:pPr>
      <w:bookmarkStart w:id="3" w:name="_Toc141801084"/>
      <w:r w:rsidRPr="008A4598">
        <w:rPr>
          <w:sz w:val="22"/>
          <w:szCs w:val="22"/>
        </w:rPr>
        <w:t>Месторождение Туркменой</w:t>
      </w:r>
      <w:bookmarkEnd w:id="3"/>
      <w:r w:rsidRPr="008A4598">
        <w:rPr>
          <w:sz w:val="22"/>
          <w:szCs w:val="22"/>
        </w:rPr>
        <w:t xml:space="preserve">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Месторождение Туркменой административно располагается на территории Мангистауского района Мангистауской области. Площадь геологического отвода месторождения Туркменой составляет 11842 га.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Ближайшим населенным пунктом к месторождению Туркменой является пос. Жанаозен (28 км). Примерно на таком же расстоянии находится железнодорожная станция Жетыбай. Районный центр - р.п. Шетпе расположен в 70 км. Областной центр -  город Актау расположен в 115 км от месторождения Туркменой.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Территория месторождения Туркменой обозначена на топографическом плане угловыми точками, представленными в таблице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bookmarkStart w:id="4" w:name="_Toc101838451"/>
      <w:r w:rsidRPr="008A4598">
        <w:rPr>
          <w:caps w:val="0"/>
          <w:sz w:val="22"/>
          <w:szCs w:val="22"/>
        </w:rPr>
        <w:t>Координаты угловых точек месторождения Туркменой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3792"/>
        <w:gridCol w:w="4515"/>
      </w:tblGrid>
      <w:tr w:rsidR="001F215F" w:rsidRPr="008A4598" w:rsidTr="001E1107">
        <w:trPr>
          <w:trHeight w:val="165"/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№ точки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Широта (с.ш.)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Долгота (в.д.)</w:t>
            </w:r>
          </w:p>
        </w:tc>
      </w:tr>
      <w:tr w:rsidR="001F215F" w:rsidRPr="008A4598" w:rsidTr="001E1107">
        <w:trPr>
          <w:trHeight w:val="165"/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33' 55"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27' 55"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33' 50"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28' 34.99"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33' 29.99"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30' 15.00"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32' 57.99"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31' 14.99"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32' 39.99"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31' 19.99"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32' 34.99"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30' 49.99"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32' 45.00"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29' 50.00"</w:t>
            </w:r>
          </w:p>
        </w:tc>
      </w:tr>
      <w:tr w:rsidR="001F215F" w:rsidRPr="008A4598" w:rsidTr="001E1107">
        <w:trPr>
          <w:jc w:val="center"/>
        </w:trPr>
        <w:tc>
          <w:tcPr>
            <w:tcW w:w="555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029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43о 33' 35.00"</w:t>
            </w:r>
          </w:p>
        </w:tc>
        <w:tc>
          <w:tcPr>
            <w:tcW w:w="2416" w:type="pct"/>
            <w:vAlign w:val="center"/>
          </w:tcPr>
          <w:p w:rsidR="001F215F" w:rsidRPr="008A4598" w:rsidRDefault="001F215F" w:rsidP="001E1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A4598">
              <w:rPr>
                <w:rFonts w:ascii="Times New Roman" w:eastAsia="Times New Roman" w:hAnsi="Times New Roman" w:cs="Times New Roman"/>
                <w:bCs/>
              </w:rPr>
              <w:t>52о 28' 09.99"</w:t>
            </w:r>
          </w:p>
        </w:tc>
      </w:tr>
    </w:tbl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lastRenderedPageBreak/>
        <w:t>Месторождение Туркменой открыто в октябре 1969 года. В период 1968-1976 годов установлены и доказана промышленная значимость в юрских отложениях 6 нефтяных, 2 нефтегазовых горизонтов, залегающих на глубинах 1500-2500 м.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С февраля 2003 года месторождение введено в пробную эксплуатацию. В период с мая 2004 г. по декабрь 2005 г. пробурены 6 опережающих добывающих скважин (21,22,23,24,25,30).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Компанией полностью выполнена Программа утилизации попутного газа, утвержденная МЭМР РК от 15.06.2006г.: с апреля 2007 года полностью утилизируется попутный газ путем передачи на ТОО КазГПЗ, для собственных нужд газ используется как топливо для печей подогрева нефти.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С вводом нового объекта пункта сбора нефти (ПСН) на м/р Туркменой транспортировка добытой нефти осуществляется по трубопроводу до ЦУПН.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Основное направление деятельности компании в </w:t>
      </w:r>
      <w:r w:rsidR="00DF1A6C">
        <w:rPr>
          <w:caps w:val="0"/>
          <w:sz w:val="22"/>
          <w:szCs w:val="22"/>
        </w:rPr>
        <w:t>2026 год</w:t>
      </w:r>
      <w:r w:rsidRPr="008A4598">
        <w:rPr>
          <w:caps w:val="0"/>
          <w:sz w:val="22"/>
          <w:szCs w:val="22"/>
        </w:rPr>
        <w:t xml:space="preserve"> – продолжение промышленной добычи нефти на месторождении Туркменой, проведение мероприятий по интенсификации притока.</w:t>
      </w:r>
    </w:p>
    <w:p w:rsidR="00127D8A" w:rsidRPr="008A4598" w:rsidRDefault="00127D8A" w:rsidP="001F215F">
      <w:pPr>
        <w:pStyle w:val="Optimum2"/>
        <w:numPr>
          <w:ilvl w:val="0"/>
          <w:numId w:val="0"/>
        </w:numPr>
        <w:rPr>
          <w:sz w:val="22"/>
          <w:szCs w:val="22"/>
        </w:rPr>
      </w:pPr>
      <w:bookmarkStart w:id="5" w:name="_Toc141801085"/>
      <w:r w:rsidRPr="008A4598">
        <w:rPr>
          <w:sz w:val="22"/>
          <w:szCs w:val="22"/>
        </w:rPr>
        <w:t>Месторождение Актас</w:t>
      </w:r>
      <w:bookmarkEnd w:id="5"/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Административно участок, на котором располагается месторождение Актас, попадает на территорию Каракиянского района Мангистауской области. Площадь геологического отвода месторождения составляет 39,52 га.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Территория месторождения Актас обозначена на топографическом плане угловыми точками, представленными в таблице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>Координаты угловых точек месторождения Актас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3792"/>
        <w:gridCol w:w="4515"/>
      </w:tblGrid>
      <w:tr w:rsidR="00127D8A" w:rsidRPr="008A4598" w:rsidTr="001F215F">
        <w:trPr>
          <w:trHeight w:val="165"/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№ точки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Широта (с.ш.)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4598">
              <w:rPr>
                <w:rFonts w:ascii="Times New Roman" w:eastAsia="Times New Roman" w:hAnsi="Times New Roman" w:cs="Times New Roman"/>
                <w:b/>
              </w:rPr>
              <w:t>Долгота (в.д.)</w:t>
            </w:r>
          </w:p>
        </w:tc>
      </w:tr>
      <w:tr w:rsidR="00127D8A" w:rsidRPr="008A4598" w:rsidTr="001F215F">
        <w:trPr>
          <w:trHeight w:val="165"/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27' 05"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14' 50"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27' 15"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 xml:space="preserve">о </w:t>
            </w:r>
            <w:r w:rsidRPr="008A4598">
              <w:rPr>
                <w:rFonts w:ascii="Times New Roman" w:eastAsia="Times New Roman" w:hAnsi="Times New Roman" w:cs="Times New Roman"/>
              </w:rPr>
              <w:t>15' 25"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26' 45"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 xml:space="preserve">о </w:t>
            </w:r>
            <w:r w:rsidRPr="008A4598">
              <w:rPr>
                <w:rFonts w:ascii="Times New Roman" w:eastAsia="Times New Roman" w:hAnsi="Times New Roman" w:cs="Times New Roman"/>
              </w:rPr>
              <w:t>17' 05"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25' 50"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17' 45"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25' 40"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 xml:space="preserve">о </w:t>
            </w:r>
            <w:r w:rsidRPr="008A4598">
              <w:rPr>
                <w:rFonts w:ascii="Times New Roman" w:eastAsia="Times New Roman" w:hAnsi="Times New Roman" w:cs="Times New Roman"/>
              </w:rPr>
              <w:t>17' 25"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25' 50"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16' 30"</w:t>
            </w:r>
          </w:p>
        </w:tc>
      </w:tr>
      <w:tr w:rsidR="00127D8A" w:rsidRPr="008A4598" w:rsidTr="001F215F">
        <w:trPr>
          <w:jc w:val="center"/>
        </w:trPr>
        <w:tc>
          <w:tcPr>
            <w:tcW w:w="555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29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43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 xml:space="preserve">о </w:t>
            </w:r>
            <w:r w:rsidRPr="008A4598">
              <w:rPr>
                <w:rFonts w:ascii="Times New Roman" w:eastAsia="Times New Roman" w:hAnsi="Times New Roman" w:cs="Times New Roman"/>
              </w:rPr>
              <w:t>26' 40"</w:t>
            </w:r>
          </w:p>
        </w:tc>
        <w:tc>
          <w:tcPr>
            <w:tcW w:w="2416" w:type="pct"/>
            <w:vAlign w:val="center"/>
          </w:tcPr>
          <w:p w:rsidR="00127D8A" w:rsidRPr="008A4598" w:rsidRDefault="00127D8A" w:rsidP="001F2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4598">
              <w:rPr>
                <w:rFonts w:ascii="Times New Roman" w:eastAsia="Times New Roman" w:hAnsi="Times New Roman" w:cs="Times New Roman"/>
              </w:rPr>
              <w:t>52</w:t>
            </w:r>
            <w:r w:rsidRPr="008A4598">
              <w:rPr>
                <w:rFonts w:ascii="Times New Roman" w:eastAsia="Times New Roman" w:hAnsi="Times New Roman" w:cs="Times New Roman"/>
                <w:vertAlign w:val="superscript"/>
              </w:rPr>
              <w:t>о</w:t>
            </w:r>
            <w:r w:rsidRPr="008A4598">
              <w:rPr>
                <w:rFonts w:ascii="Times New Roman" w:eastAsia="Times New Roman" w:hAnsi="Times New Roman" w:cs="Times New Roman"/>
              </w:rPr>
              <w:t xml:space="preserve"> 15' 00"</w:t>
            </w:r>
          </w:p>
        </w:tc>
      </w:tr>
    </w:tbl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Ближайшим населенным пунктом к месторождению Актас является пос. Мунайши, расстояние до него составляет около 10 км. Поселок Жетыбай находится на расстоянии 20 км, г. Жанаозен -  50 км, областной центр г. Актау - примерно в 100 км. Районный центр – пос. Курык находится на расстоянии 70 км. Район характеризуется отсутствием пресных вод. Снабжение технической водой осуществляется за счет волжской воды из водовода Астрахань - Жанаозен. </w:t>
      </w:r>
    </w:p>
    <w:p w:rsidR="00127D8A" w:rsidRPr="008A4598" w:rsidRDefault="00127D8A" w:rsidP="001F215F">
      <w:pPr>
        <w:pStyle w:val="a7"/>
        <w:jc w:val="both"/>
        <w:rPr>
          <w:caps w:val="0"/>
          <w:sz w:val="22"/>
          <w:szCs w:val="22"/>
        </w:rPr>
      </w:pPr>
      <w:r w:rsidRPr="008A4598">
        <w:rPr>
          <w:caps w:val="0"/>
          <w:sz w:val="22"/>
          <w:szCs w:val="22"/>
        </w:rPr>
        <w:t xml:space="preserve">Основное направление деятельности компании в </w:t>
      </w:r>
      <w:r w:rsidR="00696FC3">
        <w:rPr>
          <w:caps w:val="0"/>
          <w:sz w:val="22"/>
          <w:szCs w:val="22"/>
        </w:rPr>
        <w:t>2026 году</w:t>
      </w:r>
      <w:r w:rsidRPr="008A4598">
        <w:rPr>
          <w:caps w:val="0"/>
          <w:sz w:val="22"/>
          <w:szCs w:val="22"/>
        </w:rPr>
        <w:t xml:space="preserve"> – продолжение промышленной добычи нефти на месторождении Актас.</w:t>
      </w:r>
    </w:p>
    <w:p w:rsidR="00127D8A" w:rsidRPr="008A4598" w:rsidRDefault="00127D8A" w:rsidP="001F215F">
      <w:pPr>
        <w:pStyle w:val="Optimum2"/>
        <w:numPr>
          <w:ilvl w:val="0"/>
          <w:numId w:val="0"/>
        </w:numPr>
        <w:rPr>
          <w:sz w:val="22"/>
          <w:szCs w:val="22"/>
        </w:rPr>
      </w:pPr>
      <w:bookmarkStart w:id="6" w:name="_Toc141801106"/>
      <w:r w:rsidRPr="008A4598">
        <w:rPr>
          <w:sz w:val="22"/>
          <w:szCs w:val="22"/>
        </w:rPr>
        <w:t>Перспектива развития предприятия</w:t>
      </w:r>
      <w:bookmarkEnd w:id="6"/>
    </w:p>
    <w:p w:rsidR="005971DD" w:rsidRPr="001020C6" w:rsidRDefault="005971DD" w:rsidP="005971DD">
      <w:r w:rsidRPr="001020C6">
        <w:t>Перспектива развития месторождений ТОО «ТасбулатОйлКорпорэйшн» определена в:</w:t>
      </w:r>
    </w:p>
    <w:p w:rsidR="005971DD" w:rsidRPr="001020C6" w:rsidRDefault="005971DD" w:rsidP="005971DD">
      <w:pPr>
        <w:pStyle w:val="1"/>
        <w:widowControl/>
        <w:rPr>
          <w:rFonts w:eastAsiaTheme="minorHAnsi"/>
        </w:rPr>
      </w:pPr>
      <w:r w:rsidRPr="001020C6">
        <w:rPr>
          <w:rFonts w:eastAsiaTheme="minorHAnsi"/>
        </w:rPr>
        <w:t>Проекте разработки нефтяных и нефтегазовых залежей месторождения Туркменой (</w:t>
      </w:r>
      <w:r w:rsidRPr="001020C6">
        <w:t>КГН МИиР РК №27-5-1403-И от 16.07.2016 г.)</w:t>
      </w:r>
      <w:r w:rsidRPr="001020C6">
        <w:rPr>
          <w:rFonts w:eastAsiaTheme="minorHAnsi"/>
        </w:rPr>
        <w:t xml:space="preserve"> и Анализа   разработки месторождения Туркменой (Протокол ЦКРР РК № 04-0/8125-вн от 06.09.2022);</w:t>
      </w:r>
    </w:p>
    <w:p w:rsidR="005971DD" w:rsidRPr="001020C6" w:rsidRDefault="005971DD" w:rsidP="005971DD">
      <w:pPr>
        <w:pStyle w:val="1"/>
        <w:widowControl/>
        <w:rPr>
          <w:rFonts w:eastAsiaTheme="minorHAnsi"/>
        </w:rPr>
      </w:pPr>
      <w:r w:rsidRPr="001020C6">
        <w:rPr>
          <w:rFonts w:eastAsiaTheme="minorHAnsi"/>
        </w:rPr>
        <w:t>Проекте разработки нефтяных залежей месторождения Тасбулат (Протокол ЦКРР РК № 3/2 от 26.10.2018 г.;</w:t>
      </w:r>
    </w:p>
    <w:p w:rsidR="005971DD" w:rsidRPr="001020C6" w:rsidRDefault="005971DD" w:rsidP="005971DD">
      <w:pPr>
        <w:pStyle w:val="1"/>
        <w:widowControl/>
        <w:rPr>
          <w:rFonts w:eastAsiaTheme="minorHAnsi"/>
        </w:rPr>
      </w:pPr>
      <w:r w:rsidRPr="001020C6">
        <w:rPr>
          <w:rFonts w:eastAsiaTheme="minorHAnsi"/>
        </w:rPr>
        <w:t>Проекте разработки нефтяных залежей месторождения Актас (Протокол ЦКРР МЭ №16/12 от 19.08.2021г.).</w:t>
      </w:r>
    </w:p>
    <w:p w:rsidR="005971DD" w:rsidRPr="001020C6" w:rsidRDefault="005971DD" w:rsidP="005971DD">
      <w:pPr>
        <w:pStyle w:val="1"/>
        <w:widowControl/>
        <w:numPr>
          <w:ilvl w:val="0"/>
          <w:numId w:val="0"/>
        </w:numPr>
        <w:rPr>
          <w:rFonts w:eastAsiaTheme="minorHAnsi"/>
        </w:rPr>
        <w:sectPr w:rsidR="005971DD" w:rsidRPr="001020C6" w:rsidSect="001E1107">
          <w:pgSz w:w="11906" w:h="16838"/>
          <w:pgMar w:top="1134" w:right="851" w:bottom="1134" w:left="1701" w:header="709" w:footer="498" w:gutter="0"/>
          <w:cols w:space="708"/>
          <w:docGrid w:linePitch="360"/>
        </w:sectPr>
      </w:pPr>
      <w:r w:rsidRPr="001020C6">
        <w:rPr>
          <w:rFonts w:eastAsiaTheme="minorHAnsi"/>
        </w:rPr>
        <w:t xml:space="preserve">Показатели разработки месторождений приведены в таблицах </w:t>
      </w:r>
      <w:r>
        <w:rPr>
          <w:rFonts w:eastAsiaTheme="minorHAnsi"/>
        </w:rPr>
        <w:t xml:space="preserve"> ниже</w:t>
      </w:r>
    </w:p>
    <w:p w:rsidR="005971DD" w:rsidRPr="001020C6" w:rsidRDefault="005971DD" w:rsidP="005971DD"/>
    <w:p w:rsidR="005971DD" w:rsidRPr="001020C6" w:rsidRDefault="005971DD" w:rsidP="005971DD"/>
    <w:p w:rsidR="005971DD" w:rsidRPr="001020C6" w:rsidRDefault="005971DD" w:rsidP="005971DD">
      <w:pPr>
        <w:pStyle w:val="a9"/>
      </w:pPr>
      <w:r>
        <w:t>М</w:t>
      </w:r>
      <w:r w:rsidRPr="001020C6">
        <w:t>есторождение Тасбулат. Характеристика основных технологических показателей разработки</w:t>
      </w:r>
    </w:p>
    <w:p w:rsidR="005971DD" w:rsidRPr="001020C6" w:rsidRDefault="005971DD" w:rsidP="005971DD">
      <w:r w:rsidRPr="001020C6">
        <w:rPr>
          <w:noProof/>
          <w:lang w:eastAsia="ru-RU"/>
        </w:rPr>
        <w:drawing>
          <wp:inline distT="0" distB="0" distL="0" distR="0" wp14:anchorId="5EC5380E" wp14:editId="4F044E4C">
            <wp:extent cx="9185436" cy="15241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5436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D" w:rsidRPr="001020C6" w:rsidRDefault="005971DD" w:rsidP="005971DD">
      <w:pPr>
        <w:rPr>
          <w:b/>
          <w:sz w:val="20"/>
        </w:rPr>
      </w:pPr>
    </w:p>
    <w:p w:rsidR="005971DD" w:rsidRPr="001020C6" w:rsidRDefault="005971DD" w:rsidP="005971DD">
      <w:pPr>
        <w:pStyle w:val="a9"/>
      </w:pPr>
      <w:r w:rsidRPr="001020C6">
        <w:t>Месторождение Тасбулат. Характеристика фонда скважин</w:t>
      </w:r>
    </w:p>
    <w:p w:rsidR="005971DD" w:rsidRPr="001020C6" w:rsidRDefault="005971DD" w:rsidP="005971DD">
      <w:r w:rsidRPr="001020C6">
        <w:rPr>
          <w:noProof/>
          <w:lang w:eastAsia="ru-RU"/>
        </w:rPr>
        <w:drawing>
          <wp:inline distT="0" distB="0" distL="0" distR="0" wp14:anchorId="733C91F2" wp14:editId="75B7F708">
            <wp:extent cx="9251950" cy="1651635"/>
            <wp:effectExtent l="0" t="0" r="635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D" w:rsidRPr="001020C6" w:rsidRDefault="005971DD" w:rsidP="005971DD">
      <w:pPr>
        <w:rPr>
          <w:b/>
          <w:sz w:val="20"/>
          <w:szCs w:val="20"/>
        </w:rPr>
      </w:pPr>
    </w:p>
    <w:p w:rsidR="005971DD" w:rsidRPr="001020C6" w:rsidRDefault="005971DD" w:rsidP="005971DD">
      <w:pPr>
        <w:spacing w:after="200" w:line="276" w:lineRule="auto"/>
        <w:rPr>
          <w:rFonts w:eastAsia="Times New Roman" w:cs="Arial"/>
          <w:color w:val="000000"/>
          <w:szCs w:val="24"/>
          <w:lang w:eastAsia="ru-RU"/>
        </w:rPr>
      </w:pPr>
      <w:r w:rsidRPr="001020C6">
        <w:br w:type="page"/>
      </w:r>
    </w:p>
    <w:p w:rsidR="005971DD" w:rsidRPr="001020C6" w:rsidRDefault="005971DD" w:rsidP="005971DD">
      <w:pPr>
        <w:pStyle w:val="a9"/>
        <w:rPr>
          <w:rFonts w:eastAsiaTheme="minorHAnsi" w:cs="Times New Roman"/>
          <w:b/>
          <w:color w:val="auto"/>
          <w:sz w:val="20"/>
          <w:szCs w:val="20"/>
          <w:lang w:eastAsia="en-US"/>
        </w:rPr>
      </w:pPr>
      <w:r w:rsidRPr="001020C6">
        <w:lastRenderedPageBreak/>
        <w:t>Месторождение Туркменой. Характеристика основных показателей разработки по отбору нефти и жидкости в целом по месторождению</w:t>
      </w:r>
    </w:p>
    <w:p w:rsidR="005971DD" w:rsidRDefault="005971DD" w:rsidP="005971DD">
      <w:pPr>
        <w:pStyle w:val="a9"/>
      </w:pPr>
      <w:r w:rsidRPr="001020C6">
        <w:rPr>
          <w:noProof/>
        </w:rPr>
        <w:drawing>
          <wp:inline distT="0" distB="0" distL="0" distR="0" wp14:anchorId="2D8CF381" wp14:editId="1366709C">
            <wp:extent cx="9251950" cy="1191260"/>
            <wp:effectExtent l="0" t="0" r="635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0C6">
        <w:t xml:space="preserve"> </w:t>
      </w:r>
    </w:p>
    <w:p w:rsidR="005971DD" w:rsidRPr="001020C6" w:rsidRDefault="005971DD" w:rsidP="005971DD">
      <w:pPr>
        <w:pStyle w:val="a9"/>
        <w:rPr>
          <w:rFonts w:eastAsia="Arial" w:cs="Times New Roman"/>
          <w:b/>
          <w:color w:val="auto"/>
          <w:sz w:val="20"/>
          <w:szCs w:val="20"/>
          <w:lang w:eastAsia="en-US"/>
        </w:rPr>
      </w:pPr>
      <w:r w:rsidRPr="001020C6">
        <w:t xml:space="preserve">Месторождение Туркменой.  Характеристика основного фонда скважин в целом по месторождению. </w:t>
      </w:r>
    </w:p>
    <w:p w:rsidR="005971DD" w:rsidRPr="001020C6" w:rsidRDefault="005971DD" w:rsidP="005971DD">
      <w:pPr>
        <w:pStyle w:val="a9"/>
        <w:rPr>
          <w:noProof/>
        </w:rPr>
      </w:pPr>
      <w:r w:rsidRPr="001020C6">
        <w:rPr>
          <w:noProof/>
        </w:rPr>
        <w:drawing>
          <wp:inline distT="0" distB="0" distL="0" distR="0" wp14:anchorId="5BFAD4DB" wp14:editId="40C4BAA3">
            <wp:extent cx="9251950" cy="1536700"/>
            <wp:effectExtent l="0" t="0" r="635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D" w:rsidRPr="001020C6" w:rsidRDefault="005971DD" w:rsidP="005971DD">
      <w:pPr>
        <w:pStyle w:val="a9"/>
      </w:pPr>
      <w:r w:rsidRPr="001020C6">
        <w:t>Месторождение Актас. Характеристика основных показателей разработки по отбору нефти и жидкости в целом по месторождению</w:t>
      </w:r>
    </w:p>
    <w:p w:rsidR="005971DD" w:rsidRPr="001020C6" w:rsidRDefault="005971DD" w:rsidP="005971DD">
      <w:pPr>
        <w:pStyle w:val="a9"/>
      </w:pPr>
      <w:r w:rsidRPr="001020C6">
        <w:rPr>
          <w:noProof/>
        </w:rPr>
        <w:drawing>
          <wp:inline distT="0" distB="0" distL="0" distR="0" wp14:anchorId="5638DA54" wp14:editId="5E1C9D8F">
            <wp:extent cx="9251950" cy="1483360"/>
            <wp:effectExtent l="0" t="0" r="635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0C6">
        <w:t xml:space="preserve"> </w:t>
      </w:r>
    </w:p>
    <w:p w:rsidR="005971DD" w:rsidRPr="001020C6" w:rsidRDefault="005971DD" w:rsidP="005971DD">
      <w:pPr>
        <w:spacing w:after="200" w:line="276" w:lineRule="auto"/>
        <w:rPr>
          <w:rFonts w:eastAsia="Times New Roman" w:cs="Arial"/>
          <w:color w:val="000000"/>
          <w:szCs w:val="24"/>
          <w:lang w:eastAsia="ru-RU"/>
        </w:rPr>
      </w:pPr>
      <w:r w:rsidRPr="001020C6">
        <w:br w:type="page"/>
      </w:r>
    </w:p>
    <w:p w:rsidR="005971DD" w:rsidRPr="001020C6" w:rsidRDefault="005971DD" w:rsidP="005971DD">
      <w:pPr>
        <w:pStyle w:val="a9"/>
      </w:pPr>
      <w:r w:rsidRPr="001020C6">
        <w:lastRenderedPageBreak/>
        <w:t>Месторождение Актас. Характеристика основного фонда скважин в целом по месторождению</w:t>
      </w:r>
    </w:p>
    <w:p w:rsidR="005971DD" w:rsidRPr="001020C6" w:rsidRDefault="005971DD" w:rsidP="005971DD">
      <w:pPr>
        <w:rPr>
          <w:b/>
          <w:sz w:val="20"/>
          <w:szCs w:val="20"/>
        </w:rPr>
      </w:pPr>
      <w:r w:rsidRPr="001020C6">
        <w:rPr>
          <w:noProof/>
          <w:lang w:eastAsia="ru-RU"/>
        </w:rPr>
        <w:drawing>
          <wp:inline distT="0" distB="0" distL="0" distR="0" wp14:anchorId="0AD55703" wp14:editId="3577BC52">
            <wp:extent cx="9251950" cy="174625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DD" w:rsidRPr="001020C6" w:rsidRDefault="005971DD" w:rsidP="005971DD">
      <w:pPr>
        <w:sectPr w:rsidR="005971DD" w:rsidRPr="001020C6" w:rsidSect="001E1107">
          <w:pgSz w:w="16838" w:h="11906" w:orient="landscape"/>
          <w:pgMar w:top="851" w:right="1134" w:bottom="1701" w:left="1134" w:header="709" w:footer="498" w:gutter="0"/>
          <w:cols w:space="708"/>
          <w:docGrid w:linePitch="360"/>
        </w:sectPr>
      </w:pPr>
    </w:p>
    <w:p w:rsidR="0061389F" w:rsidRDefault="0061389F" w:rsidP="001F215F">
      <w:pPr>
        <w:spacing w:line="240" w:lineRule="auto"/>
        <w:rPr>
          <w:rFonts w:ascii="Times New Roman" w:hAnsi="Times New Roman" w:cs="Times New Roman"/>
        </w:rPr>
      </w:pPr>
      <w:r w:rsidRPr="0061389F">
        <w:rPr>
          <w:rFonts w:ascii="Times New Roman" w:hAnsi="Times New Roman" w:cs="Times New Roman"/>
        </w:rPr>
        <w:lastRenderedPageBreak/>
        <w:t xml:space="preserve">В соответствии с пунктом 3 статьи 147 Кодекса РК «О недрах и недропользовании» разработаны «Программы развития переработки сырого газа месторождения Тасбулат на 2026-2028гг.» с технологическими показателями 2026 г (разрешение на сжигание газа в факелах сырого газа </w:t>
      </w:r>
      <w:r>
        <w:rPr>
          <w:rFonts w:ascii="Times New Roman" w:hAnsi="Times New Roman" w:cs="Times New Roman"/>
        </w:rPr>
        <w:t>№ kz25vpc00027163 от 27.08.2025г</w:t>
      </w:r>
      <w:r w:rsidRPr="0061389F">
        <w:rPr>
          <w:rFonts w:ascii="Times New Roman" w:hAnsi="Times New Roman" w:cs="Times New Roman"/>
        </w:rPr>
        <w:t xml:space="preserve">), «Программы развития переработки сырого газа месторождения Актас на 2024-2026гг.» (разрешение на сжигание в факелах сырого газа №KZ63VPC00027158 от 26.08.2025), «Программы развития переработки сырого газа месторождения Туркменой на 2026-2028гг.» с технологическими показателями 2026 г (разрешение на сжигание в факелах сырого газа </w:t>
      </w:r>
      <w:r>
        <w:rPr>
          <w:rFonts w:ascii="Times New Roman" w:hAnsi="Times New Roman" w:cs="Times New Roman"/>
        </w:rPr>
        <w:t>№ KZ20VPC00027156 от 26.08.2025г</w:t>
      </w:r>
      <w:r w:rsidRPr="0061389F">
        <w:rPr>
          <w:rFonts w:ascii="Times New Roman" w:hAnsi="Times New Roman" w:cs="Times New Roman"/>
        </w:rPr>
        <w:t>).</w:t>
      </w:r>
    </w:p>
    <w:p w:rsidR="00127D8A" w:rsidRPr="00A128F2" w:rsidRDefault="00127D8A" w:rsidP="001F215F">
      <w:pPr>
        <w:spacing w:line="240" w:lineRule="auto"/>
        <w:rPr>
          <w:rFonts w:ascii="Times New Roman" w:hAnsi="Times New Roman" w:cs="Times New Roman"/>
        </w:rPr>
      </w:pPr>
      <w:r w:rsidRPr="00A128F2">
        <w:rPr>
          <w:rFonts w:ascii="Times New Roman" w:hAnsi="Times New Roman" w:cs="Times New Roman"/>
        </w:rPr>
        <w:t>Количество скважин, подлежащих КРС/ПРС, в том числе ГТМ и ГРП на 202</w:t>
      </w:r>
      <w:r w:rsidR="006048A5">
        <w:rPr>
          <w:rFonts w:ascii="Times New Roman" w:hAnsi="Times New Roman" w:cs="Times New Roman"/>
        </w:rPr>
        <w:t>6</w:t>
      </w:r>
      <w:r w:rsidRPr="00A128F2">
        <w:rPr>
          <w:rFonts w:ascii="Times New Roman" w:hAnsi="Times New Roman" w:cs="Times New Roman"/>
        </w:rPr>
        <w:t xml:space="preserve"> год </w:t>
      </w:r>
      <w:r w:rsidR="001F215F" w:rsidRPr="00A128F2">
        <w:rPr>
          <w:rFonts w:ascii="Times New Roman" w:hAnsi="Times New Roman" w:cs="Times New Roman"/>
        </w:rPr>
        <w:t>приведен в таблице.</w:t>
      </w:r>
    </w:p>
    <w:p w:rsidR="00127D8A" w:rsidRPr="00A128F2" w:rsidRDefault="00127D8A" w:rsidP="001F215F">
      <w:pPr>
        <w:pStyle w:val="a9"/>
        <w:rPr>
          <w:rFonts w:cs="Times New Roman"/>
          <w:sz w:val="22"/>
          <w:szCs w:val="22"/>
        </w:rPr>
      </w:pPr>
      <w:r w:rsidRPr="00A128F2">
        <w:rPr>
          <w:rFonts w:cs="Times New Roman"/>
          <w:sz w:val="22"/>
          <w:szCs w:val="22"/>
        </w:rPr>
        <w:t xml:space="preserve">Виды работ и количество скважин, на которых планируется проведение работ </w:t>
      </w:r>
    </w:p>
    <w:tbl>
      <w:tblPr>
        <w:tblStyle w:val="ab"/>
        <w:tblW w:w="9209" w:type="dxa"/>
        <w:tblLayout w:type="fixed"/>
        <w:tblLook w:val="04A0" w:firstRow="1" w:lastRow="0" w:firstColumn="1" w:lastColumn="0" w:noHBand="0" w:noVBand="1"/>
      </w:tblPr>
      <w:tblGrid>
        <w:gridCol w:w="2972"/>
        <w:gridCol w:w="1985"/>
        <w:gridCol w:w="1842"/>
        <w:gridCol w:w="2410"/>
      </w:tblGrid>
      <w:tr w:rsidR="00A128F2" w:rsidRPr="00A128F2" w:rsidTr="00A128F2">
        <w:tc>
          <w:tcPr>
            <w:tcW w:w="2972" w:type="dxa"/>
            <w:vMerge w:val="restart"/>
          </w:tcPr>
          <w:p w:rsidR="00A128F2" w:rsidRPr="00A128F2" w:rsidRDefault="00A128F2" w:rsidP="001F215F">
            <w:pPr>
              <w:pStyle w:val="a7"/>
              <w:rPr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Объект</w:t>
            </w:r>
          </w:p>
        </w:tc>
        <w:tc>
          <w:tcPr>
            <w:tcW w:w="6237" w:type="dxa"/>
            <w:gridSpan w:val="3"/>
          </w:tcPr>
          <w:p w:rsidR="00A128F2" w:rsidRPr="00A128F2" w:rsidRDefault="00A128F2" w:rsidP="001F215F">
            <w:pPr>
              <w:pStyle w:val="a7"/>
              <w:rPr>
                <w:caps w:val="0"/>
                <w:sz w:val="22"/>
                <w:szCs w:val="22"/>
              </w:rPr>
            </w:pPr>
            <w:r w:rsidRPr="00A128F2">
              <w:rPr>
                <w:b/>
                <w:caps w:val="0"/>
                <w:sz w:val="22"/>
                <w:szCs w:val="22"/>
              </w:rPr>
              <w:t>Количество скважин, требующих проведение работ, единиц</w:t>
            </w:r>
          </w:p>
        </w:tc>
      </w:tr>
      <w:tr w:rsidR="00A128F2" w:rsidRPr="00A128F2" w:rsidTr="00A128F2">
        <w:tc>
          <w:tcPr>
            <w:tcW w:w="2972" w:type="dxa"/>
            <w:vMerge/>
          </w:tcPr>
          <w:p w:rsidR="00A128F2" w:rsidRPr="00A128F2" w:rsidRDefault="00A128F2" w:rsidP="00A128F2">
            <w:pPr>
              <w:pStyle w:val="a7"/>
              <w:rPr>
                <w:caps w:val="0"/>
                <w:sz w:val="22"/>
                <w:szCs w:val="22"/>
              </w:rPr>
            </w:pPr>
          </w:p>
        </w:tc>
        <w:tc>
          <w:tcPr>
            <w:tcW w:w="1985" w:type="dxa"/>
          </w:tcPr>
          <w:p w:rsidR="00A128F2" w:rsidRPr="00A128F2" w:rsidRDefault="00A128F2" w:rsidP="006048A5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b/>
                <w:caps w:val="0"/>
                <w:sz w:val="22"/>
                <w:szCs w:val="22"/>
              </w:rPr>
              <w:t>202</w:t>
            </w:r>
            <w:r w:rsidR="006048A5">
              <w:rPr>
                <w:b/>
                <w:caps w:val="0"/>
                <w:sz w:val="22"/>
                <w:szCs w:val="22"/>
              </w:rPr>
              <w:t>6</w:t>
            </w:r>
            <w:r w:rsidRPr="00A128F2">
              <w:rPr>
                <w:b/>
                <w:caps w:val="0"/>
                <w:sz w:val="22"/>
                <w:szCs w:val="22"/>
              </w:rPr>
              <w:t>г</w:t>
            </w:r>
          </w:p>
        </w:tc>
        <w:tc>
          <w:tcPr>
            <w:tcW w:w="1842" w:type="dxa"/>
          </w:tcPr>
          <w:p w:rsidR="00A128F2" w:rsidRPr="00A128F2" w:rsidRDefault="00A128F2" w:rsidP="006048A5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b/>
                <w:caps w:val="0"/>
                <w:sz w:val="22"/>
                <w:szCs w:val="22"/>
              </w:rPr>
              <w:t>202</w:t>
            </w:r>
            <w:r w:rsidR="006048A5">
              <w:rPr>
                <w:b/>
                <w:caps w:val="0"/>
                <w:sz w:val="22"/>
                <w:szCs w:val="22"/>
              </w:rPr>
              <w:t>6</w:t>
            </w:r>
            <w:r w:rsidRPr="00A128F2">
              <w:rPr>
                <w:b/>
                <w:caps w:val="0"/>
                <w:sz w:val="22"/>
                <w:szCs w:val="22"/>
              </w:rPr>
              <w:t>г</w:t>
            </w:r>
          </w:p>
        </w:tc>
        <w:tc>
          <w:tcPr>
            <w:tcW w:w="2410" w:type="dxa"/>
          </w:tcPr>
          <w:p w:rsidR="00A128F2" w:rsidRPr="00A128F2" w:rsidRDefault="00A128F2" w:rsidP="006048A5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b/>
                <w:caps w:val="0"/>
                <w:sz w:val="22"/>
                <w:szCs w:val="22"/>
              </w:rPr>
              <w:t>202</w:t>
            </w:r>
            <w:r w:rsidR="006048A5">
              <w:rPr>
                <w:b/>
                <w:caps w:val="0"/>
                <w:sz w:val="22"/>
                <w:szCs w:val="22"/>
              </w:rPr>
              <w:t>6</w:t>
            </w:r>
            <w:r w:rsidRPr="00A128F2">
              <w:rPr>
                <w:b/>
                <w:caps w:val="0"/>
                <w:sz w:val="22"/>
                <w:szCs w:val="22"/>
              </w:rPr>
              <w:t>г</w:t>
            </w:r>
          </w:p>
        </w:tc>
      </w:tr>
      <w:tr w:rsidR="00A128F2" w:rsidRPr="00A128F2" w:rsidTr="00A128F2">
        <w:tc>
          <w:tcPr>
            <w:tcW w:w="2972" w:type="dxa"/>
            <w:vMerge/>
          </w:tcPr>
          <w:p w:rsidR="00A128F2" w:rsidRPr="00A128F2" w:rsidRDefault="00A128F2" w:rsidP="00A128F2">
            <w:pPr>
              <w:pStyle w:val="a7"/>
              <w:rPr>
                <w:caps w:val="0"/>
                <w:sz w:val="22"/>
                <w:szCs w:val="22"/>
              </w:rPr>
            </w:pPr>
          </w:p>
        </w:tc>
        <w:tc>
          <w:tcPr>
            <w:tcW w:w="1985" w:type="dxa"/>
          </w:tcPr>
          <w:p w:rsidR="00A128F2" w:rsidRPr="00A128F2" w:rsidRDefault="00A128F2" w:rsidP="00A128F2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КРС/ПРС</w:t>
            </w:r>
          </w:p>
        </w:tc>
        <w:tc>
          <w:tcPr>
            <w:tcW w:w="1842" w:type="dxa"/>
          </w:tcPr>
          <w:p w:rsidR="00A128F2" w:rsidRPr="00A128F2" w:rsidRDefault="00A128F2" w:rsidP="00A128F2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ГТМ</w:t>
            </w:r>
          </w:p>
        </w:tc>
        <w:tc>
          <w:tcPr>
            <w:tcW w:w="2410" w:type="dxa"/>
          </w:tcPr>
          <w:p w:rsidR="00A128F2" w:rsidRPr="00A128F2" w:rsidRDefault="00A128F2" w:rsidP="00A128F2">
            <w:pPr>
              <w:pStyle w:val="a7"/>
              <w:rPr>
                <w:b/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ГРП</w:t>
            </w:r>
          </w:p>
        </w:tc>
      </w:tr>
      <w:tr w:rsidR="006048A5" w:rsidRPr="00A128F2" w:rsidTr="001E1107">
        <w:tc>
          <w:tcPr>
            <w:tcW w:w="2972" w:type="dxa"/>
          </w:tcPr>
          <w:p w:rsidR="006048A5" w:rsidRPr="00A128F2" w:rsidRDefault="006048A5" w:rsidP="006048A5">
            <w:pPr>
              <w:pStyle w:val="a7"/>
              <w:rPr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м/р Тасбулат</w:t>
            </w:r>
          </w:p>
        </w:tc>
        <w:tc>
          <w:tcPr>
            <w:tcW w:w="1985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2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048A5" w:rsidRPr="00A128F2" w:rsidTr="001E1107">
        <w:tc>
          <w:tcPr>
            <w:tcW w:w="2972" w:type="dxa"/>
          </w:tcPr>
          <w:p w:rsidR="006048A5" w:rsidRPr="00A128F2" w:rsidRDefault="006048A5" w:rsidP="006048A5">
            <w:pPr>
              <w:pStyle w:val="a7"/>
              <w:rPr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м/р Актас</w:t>
            </w:r>
          </w:p>
        </w:tc>
        <w:tc>
          <w:tcPr>
            <w:tcW w:w="1985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2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048A5" w:rsidRPr="00A128F2" w:rsidTr="001E1107">
        <w:tc>
          <w:tcPr>
            <w:tcW w:w="2972" w:type="dxa"/>
          </w:tcPr>
          <w:p w:rsidR="006048A5" w:rsidRPr="00A128F2" w:rsidRDefault="006048A5" w:rsidP="006048A5">
            <w:pPr>
              <w:pStyle w:val="a7"/>
              <w:rPr>
                <w:caps w:val="0"/>
                <w:sz w:val="22"/>
                <w:szCs w:val="22"/>
              </w:rPr>
            </w:pPr>
            <w:r w:rsidRPr="00A128F2">
              <w:rPr>
                <w:caps w:val="0"/>
                <w:sz w:val="22"/>
                <w:szCs w:val="22"/>
              </w:rPr>
              <w:t>м/р Туркменой</w:t>
            </w:r>
          </w:p>
        </w:tc>
        <w:tc>
          <w:tcPr>
            <w:tcW w:w="1985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2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vAlign w:val="center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048A5" w:rsidRPr="00A128F2" w:rsidTr="001E1107">
        <w:tc>
          <w:tcPr>
            <w:tcW w:w="2972" w:type="dxa"/>
          </w:tcPr>
          <w:p w:rsidR="006048A5" w:rsidRPr="00A128F2" w:rsidRDefault="006048A5" w:rsidP="006048A5">
            <w:pPr>
              <w:pStyle w:val="a7"/>
              <w:rPr>
                <w:b/>
                <w:bCs/>
                <w:caps w:val="0"/>
                <w:sz w:val="22"/>
                <w:szCs w:val="22"/>
                <w:lang w:val="kk-KZ"/>
              </w:rPr>
            </w:pPr>
            <w:r w:rsidRPr="00A128F2">
              <w:rPr>
                <w:b/>
                <w:bCs/>
                <w:caps w:val="0"/>
                <w:sz w:val="22"/>
                <w:szCs w:val="22"/>
              </w:rPr>
              <w:t>ВСЕГО:</w:t>
            </w:r>
          </w:p>
        </w:tc>
        <w:tc>
          <w:tcPr>
            <w:tcW w:w="1985" w:type="dxa"/>
            <w:vAlign w:val="bottom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842" w:type="dxa"/>
            <w:vAlign w:val="bottom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10" w:type="dxa"/>
            <w:vAlign w:val="bottom"/>
          </w:tcPr>
          <w:p w:rsidR="006048A5" w:rsidRPr="006048A5" w:rsidRDefault="006048A5" w:rsidP="006048A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48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57764E" w:rsidRDefault="0057764E" w:rsidP="0057764E">
      <w:pPr>
        <w:pStyle w:val="a9"/>
        <w:rPr>
          <w:rFonts w:cs="Times New Roman"/>
          <w:sz w:val="22"/>
          <w:szCs w:val="22"/>
        </w:rPr>
      </w:pPr>
    </w:p>
    <w:p w:rsidR="0057764E" w:rsidRPr="0057764E" w:rsidRDefault="0057764E" w:rsidP="0057764E">
      <w:pPr>
        <w:pStyle w:val="a9"/>
        <w:rPr>
          <w:rFonts w:cs="Times New Roman"/>
          <w:sz w:val="22"/>
          <w:szCs w:val="22"/>
        </w:rPr>
      </w:pPr>
      <w:r w:rsidRPr="0057764E">
        <w:rPr>
          <w:rFonts w:cs="Times New Roman"/>
          <w:sz w:val="22"/>
          <w:szCs w:val="22"/>
        </w:rPr>
        <w:t>Количество источников выбросов загрязняющих веществ в атмосферу 2026г по ТОО «Тасбулат Ойл Корпорейшн»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960"/>
        <w:gridCol w:w="2579"/>
        <w:gridCol w:w="1937"/>
        <w:gridCol w:w="1937"/>
        <w:gridCol w:w="1938"/>
      </w:tblGrid>
      <w:tr w:rsidR="0057764E" w:rsidRPr="0057764E" w:rsidTr="0057764E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в 2025 году, единиц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в 2025 году с учетом </w:t>
            </w: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 w:eastAsia="ru-RU"/>
              </w:rPr>
              <w:t>корректировки</w:t>
            </w: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единиц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в 2026 году, единиц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Месторождение Актас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62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Месторождение Тасбулат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175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Месторождение Туркменой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393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151</w:t>
            </w:r>
          </w:p>
        </w:tc>
      </w:tr>
      <w:tr w:rsidR="0057764E" w:rsidRPr="0057764E" w:rsidTr="0057764E">
        <w:trPr>
          <w:trHeight w:val="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неорганизованные источники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64E" w:rsidRPr="0057764E" w:rsidRDefault="0057764E" w:rsidP="005776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57764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242</w:t>
            </w:r>
          </w:p>
        </w:tc>
      </w:tr>
    </w:tbl>
    <w:p w:rsidR="00AB24A0" w:rsidRDefault="00AB24A0" w:rsidP="001F215F">
      <w:pPr>
        <w:pStyle w:val="a9"/>
        <w:rPr>
          <w:rFonts w:cs="Times New Roman"/>
          <w:sz w:val="22"/>
        </w:rPr>
      </w:pPr>
    </w:p>
    <w:p w:rsidR="001E1107" w:rsidRPr="001E1107" w:rsidRDefault="001E1107" w:rsidP="001E1107">
      <w:pPr>
        <w:pStyle w:val="a9"/>
        <w:rPr>
          <w:rFonts w:cs="Times New Roman"/>
          <w:sz w:val="22"/>
          <w:szCs w:val="22"/>
        </w:rPr>
      </w:pPr>
      <w:r w:rsidRPr="001E1107">
        <w:rPr>
          <w:rFonts w:cs="Times New Roman"/>
          <w:sz w:val="22"/>
          <w:szCs w:val="22"/>
        </w:rPr>
        <w:t>Сравнительный анализ выбросов загрязняющих за предыдущие 3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1273"/>
        <w:gridCol w:w="1841"/>
        <w:gridCol w:w="1983"/>
      </w:tblGrid>
      <w:tr w:rsidR="001E1107" w:rsidRPr="001E1107" w:rsidTr="00CA137D">
        <w:trPr>
          <w:trHeight w:val="243"/>
        </w:trPr>
        <w:tc>
          <w:tcPr>
            <w:tcW w:w="2273" w:type="pct"/>
            <w:vMerge w:val="restart"/>
            <w:noWrap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81" w:type="pct"/>
            <w:vMerge w:val="restart"/>
            <w:noWrap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 изм.</w:t>
            </w:r>
          </w:p>
        </w:tc>
        <w:tc>
          <w:tcPr>
            <w:tcW w:w="985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061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2026 год</w:t>
            </w:r>
          </w:p>
        </w:tc>
      </w:tr>
      <w:tr w:rsidR="001E1107" w:rsidRPr="001E1107" w:rsidTr="00CA137D">
        <w:trPr>
          <w:trHeight w:val="255"/>
        </w:trPr>
        <w:tc>
          <w:tcPr>
            <w:tcW w:w="2273" w:type="pct"/>
            <w:vMerge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81" w:type="pct"/>
            <w:vMerge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5" w:type="pct"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61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</w:tr>
      <w:tr w:rsidR="001E1107" w:rsidRPr="001E1107" w:rsidTr="00CA137D">
        <w:trPr>
          <w:trHeight w:val="255"/>
        </w:trPr>
        <w:tc>
          <w:tcPr>
            <w:tcW w:w="2273" w:type="pct"/>
            <w:noWrap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Тасбулат</w:t>
            </w:r>
          </w:p>
        </w:tc>
        <w:tc>
          <w:tcPr>
            <w:tcW w:w="681" w:type="pct"/>
            <w:noWrap/>
            <w:vAlign w:val="center"/>
            <w:hideMark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85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Cs/>
                <w:sz w:val="20"/>
                <w:szCs w:val="20"/>
              </w:rPr>
              <w:t>478.5287972</w:t>
            </w:r>
          </w:p>
        </w:tc>
        <w:tc>
          <w:tcPr>
            <w:tcW w:w="1061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Cs/>
                <w:sz w:val="20"/>
                <w:szCs w:val="20"/>
              </w:rPr>
              <w:t>463.5803565</w:t>
            </w:r>
          </w:p>
        </w:tc>
      </w:tr>
      <w:tr w:rsidR="001E1107" w:rsidRPr="001E1107" w:rsidTr="00CA137D">
        <w:trPr>
          <w:trHeight w:val="255"/>
        </w:trPr>
        <w:tc>
          <w:tcPr>
            <w:tcW w:w="2273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Актас</w:t>
            </w:r>
          </w:p>
        </w:tc>
        <w:tc>
          <w:tcPr>
            <w:tcW w:w="681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85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hAnsi="Times New Roman" w:cs="Times New Roman"/>
                <w:bCs/>
                <w:sz w:val="20"/>
                <w:szCs w:val="20"/>
              </w:rPr>
              <w:t>74.8811232</w:t>
            </w:r>
          </w:p>
        </w:tc>
        <w:tc>
          <w:tcPr>
            <w:tcW w:w="1061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30.0569843</w:t>
            </w:r>
          </w:p>
        </w:tc>
      </w:tr>
      <w:tr w:rsidR="001E1107" w:rsidRPr="001E1107" w:rsidTr="00CA137D">
        <w:trPr>
          <w:trHeight w:val="255"/>
        </w:trPr>
        <w:tc>
          <w:tcPr>
            <w:tcW w:w="2273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Туркменой</w:t>
            </w:r>
          </w:p>
        </w:tc>
        <w:tc>
          <w:tcPr>
            <w:tcW w:w="681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85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Cs/>
                <w:sz w:val="20"/>
                <w:szCs w:val="20"/>
              </w:rPr>
              <w:t>229.99274</w:t>
            </w:r>
          </w:p>
        </w:tc>
        <w:tc>
          <w:tcPr>
            <w:tcW w:w="1061" w:type="pct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Cs/>
                <w:sz w:val="20"/>
                <w:szCs w:val="20"/>
              </w:rPr>
              <w:t>166.570904</w:t>
            </w:r>
          </w:p>
        </w:tc>
      </w:tr>
      <w:tr w:rsidR="001E1107" w:rsidRPr="001E1107" w:rsidTr="00CA137D">
        <w:trPr>
          <w:trHeight w:val="255"/>
        </w:trPr>
        <w:tc>
          <w:tcPr>
            <w:tcW w:w="2273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81" w:type="pct"/>
            <w:noWrap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1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985" w:type="pct"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783.4026604</w:t>
            </w:r>
          </w:p>
        </w:tc>
        <w:tc>
          <w:tcPr>
            <w:tcW w:w="1061" w:type="pct"/>
            <w:vAlign w:val="center"/>
          </w:tcPr>
          <w:p w:rsidR="001E1107" w:rsidRPr="001E1107" w:rsidRDefault="001E1107" w:rsidP="00CA13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110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660.208245</w:t>
            </w:r>
          </w:p>
        </w:tc>
      </w:tr>
    </w:tbl>
    <w:p w:rsidR="001E1107" w:rsidRDefault="001E1107" w:rsidP="001F215F">
      <w:pPr>
        <w:pStyle w:val="a9"/>
        <w:rPr>
          <w:rFonts w:cs="Times New Roman"/>
          <w:sz w:val="22"/>
          <w:szCs w:val="22"/>
        </w:rPr>
      </w:pPr>
    </w:p>
    <w:p w:rsidR="00127D8A" w:rsidRPr="00C210B1" w:rsidRDefault="00127D8A" w:rsidP="001F215F">
      <w:pPr>
        <w:spacing w:line="240" w:lineRule="auto"/>
        <w:rPr>
          <w:rFonts w:ascii="Times New Roman" w:hAnsi="Times New Roman" w:cs="Times New Roman"/>
          <w:highlight w:val="yellow"/>
        </w:rPr>
        <w:sectPr w:rsidR="00127D8A" w:rsidRPr="00C210B1" w:rsidSect="00734896">
          <w:pgSz w:w="11906" w:h="16838"/>
          <w:pgMar w:top="1134" w:right="851" w:bottom="1135" w:left="1701" w:header="568" w:footer="720" w:gutter="0"/>
          <w:cols w:space="708"/>
          <w:docGrid w:linePitch="360"/>
        </w:sectPr>
      </w:pPr>
    </w:p>
    <w:p w:rsidR="00D700C5" w:rsidRPr="00A520E5" w:rsidRDefault="00D700C5" w:rsidP="00D700C5">
      <w:pPr>
        <w:pStyle w:val="a7"/>
        <w:jc w:val="both"/>
        <w:rPr>
          <w:caps w:val="0"/>
          <w:sz w:val="24"/>
          <w:szCs w:val="20"/>
        </w:rPr>
      </w:pPr>
      <w:r w:rsidRPr="00D700C5">
        <w:rPr>
          <w:b/>
          <w:caps w:val="0"/>
          <w:sz w:val="24"/>
          <w:szCs w:val="20"/>
        </w:rPr>
        <w:lastRenderedPageBreak/>
        <w:t>Срок действия Программы управления отходами</w:t>
      </w:r>
      <w:r w:rsidRPr="00A520E5">
        <w:rPr>
          <w:caps w:val="0"/>
          <w:sz w:val="24"/>
          <w:szCs w:val="20"/>
        </w:rPr>
        <w:t xml:space="preserve"> с 01.01.2026 г. по 31.12.2026 г. и предусматривает образование в целом по компании ТОО «Тасбулат Ойл Корпорэйшн» 34 видов отходов и 18 мест накопления отходов, на которых расположены 1</w:t>
      </w:r>
      <w:r w:rsidRPr="00A520E5">
        <w:rPr>
          <w:caps w:val="0"/>
          <w:sz w:val="24"/>
          <w:szCs w:val="20"/>
          <w:lang w:val="kk-KZ"/>
        </w:rPr>
        <w:t>27</w:t>
      </w:r>
      <w:r w:rsidRPr="00A520E5">
        <w:rPr>
          <w:caps w:val="0"/>
          <w:sz w:val="24"/>
          <w:szCs w:val="20"/>
        </w:rPr>
        <w:t xml:space="preserve"> объектов накопления (размещение на накопления (подрядчиков)  не предусматриваются настоящим ПУО, так так СМР и бурение скважин на месторождении Актас, Тасбулат, Туркменой не планируются). Суммарное количество отходов в 2026 году приведено ниже.</w:t>
      </w:r>
    </w:p>
    <w:p w:rsidR="00D700C5" w:rsidRPr="00A520E5" w:rsidRDefault="00D700C5" w:rsidP="00D700C5">
      <w:pPr>
        <w:pStyle w:val="a7"/>
        <w:jc w:val="both"/>
        <w:rPr>
          <w:caps w:val="0"/>
          <w:sz w:val="24"/>
          <w:szCs w:val="20"/>
        </w:rPr>
      </w:pPr>
    </w:p>
    <w:tbl>
      <w:tblPr>
        <w:tblStyle w:val="ab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62"/>
        <w:gridCol w:w="2732"/>
        <w:gridCol w:w="1777"/>
        <w:gridCol w:w="1777"/>
        <w:gridCol w:w="1777"/>
      </w:tblGrid>
      <w:tr w:rsidR="00D700C5" w:rsidRPr="00A520E5" w:rsidTr="004066C2">
        <w:tc>
          <w:tcPr>
            <w:tcW w:w="12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тонн/год</w:t>
            </w:r>
          </w:p>
        </w:tc>
        <w:tc>
          <w:tcPr>
            <w:tcW w:w="27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ТасбулатОйлкКорпорейш</w:t>
            </w:r>
          </w:p>
        </w:tc>
        <w:tc>
          <w:tcPr>
            <w:tcW w:w="17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Месторождение Тасбулат</w:t>
            </w:r>
          </w:p>
        </w:tc>
        <w:tc>
          <w:tcPr>
            <w:tcW w:w="17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Месторождение Актас</w:t>
            </w:r>
          </w:p>
        </w:tc>
        <w:tc>
          <w:tcPr>
            <w:tcW w:w="17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Месторождение Туркменой</w:t>
            </w:r>
          </w:p>
        </w:tc>
      </w:tr>
      <w:tr w:rsidR="00D700C5" w:rsidRPr="00A520E5" w:rsidTr="004066C2">
        <w:tc>
          <w:tcPr>
            <w:tcW w:w="1263" w:type="dxa"/>
            <w:tcBorders>
              <w:top w:val="single" w:sz="12" w:space="0" w:color="auto"/>
            </w:tcBorders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всего:</w:t>
            </w:r>
          </w:p>
        </w:tc>
        <w:tc>
          <w:tcPr>
            <w:tcW w:w="2732" w:type="dxa"/>
            <w:tcBorders>
              <w:top w:val="single" w:sz="12" w:space="0" w:color="auto"/>
            </w:tcBorders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2362.6527</w:t>
            </w:r>
          </w:p>
        </w:tc>
        <w:tc>
          <w:tcPr>
            <w:tcW w:w="1777" w:type="dxa"/>
            <w:tcBorders>
              <w:top w:val="single" w:sz="12" w:space="0" w:color="auto"/>
            </w:tcBorders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1615.5100</w:t>
            </w:r>
          </w:p>
        </w:tc>
        <w:tc>
          <w:tcPr>
            <w:tcW w:w="1777" w:type="dxa"/>
            <w:tcBorders>
              <w:top w:val="single" w:sz="12" w:space="0" w:color="auto"/>
            </w:tcBorders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240.6252</w:t>
            </w:r>
          </w:p>
        </w:tc>
        <w:tc>
          <w:tcPr>
            <w:tcW w:w="1777" w:type="dxa"/>
            <w:tcBorders>
              <w:top w:val="single" w:sz="12" w:space="0" w:color="auto"/>
            </w:tcBorders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506.5175</w:t>
            </w:r>
          </w:p>
        </w:tc>
      </w:tr>
      <w:tr w:rsidR="00D700C5" w:rsidRPr="00A520E5" w:rsidTr="004066C2">
        <w:tc>
          <w:tcPr>
            <w:tcW w:w="1263" w:type="dxa"/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опасных</w:t>
            </w:r>
          </w:p>
        </w:tc>
        <w:tc>
          <w:tcPr>
            <w:tcW w:w="2732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2246.6428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1521.6430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232.0899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492.9099</w:t>
            </w:r>
          </w:p>
        </w:tc>
      </w:tr>
      <w:tr w:rsidR="00D700C5" w:rsidRPr="00A520E5" w:rsidTr="004066C2">
        <w:tc>
          <w:tcPr>
            <w:tcW w:w="1263" w:type="dxa"/>
            <w:vAlign w:val="center"/>
          </w:tcPr>
          <w:p w:rsidR="00D700C5" w:rsidRPr="00A520E5" w:rsidRDefault="00D700C5" w:rsidP="004066C2">
            <w:pPr>
              <w:pStyle w:val="Opt"/>
              <w:rPr>
                <w:sz w:val="20"/>
              </w:rPr>
            </w:pPr>
            <w:r w:rsidRPr="00A520E5">
              <w:rPr>
                <w:sz w:val="20"/>
              </w:rPr>
              <w:t>неопасных</w:t>
            </w:r>
          </w:p>
        </w:tc>
        <w:tc>
          <w:tcPr>
            <w:tcW w:w="2732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116.0098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93.8670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8.5353</w:t>
            </w:r>
          </w:p>
        </w:tc>
        <w:tc>
          <w:tcPr>
            <w:tcW w:w="1777" w:type="dxa"/>
            <w:vAlign w:val="bottom"/>
          </w:tcPr>
          <w:p w:rsidR="00D700C5" w:rsidRPr="006B6DB7" w:rsidRDefault="00D700C5" w:rsidP="004066C2">
            <w:pPr>
              <w:pStyle w:val="Opt"/>
              <w:rPr>
                <w:sz w:val="20"/>
              </w:rPr>
            </w:pPr>
            <w:r w:rsidRPr="006B6DB7">
              <w:rPr>
                <w:color w:val="000000"/>
                <w:sz w:val="22"/>
                <w:szCs w:val="22"/>
              </w:rPr>
              <w:t>13.6075</w:t>
            </w:r>
          </w:p>
        </w:tc>
      </w:tr>
    </w:tbl>
    <w:p w:rsidR="007060AD" w:rsidRPr="00C210B1" w:rsidRDefault="007060AD" w:rsidP="001F215F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2"/>
          <w:szCs w:val="22"/>
          <w:highlight w:val="yellow"/>
        </w:rPr>
      </w:pPr>
    </w:p>
    <w:p w:rsidR="007060AD" w:rsidRDefault="007060AD" w:rsidP="001F215F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2"/>
          <w:szCs w:val="22"/>
        </w:rPr>
      </w:pPr>
      <w:r w:rsidRPr="00C8591C">
        <w:rPr>
          <w:color w:val="000000"/>
          <w:sz w:val="22"/>
          <w:szCs w:val="22"/>
        </w:rPr>
        <w:t>Целевые показатели образования отходов по ТОО «ТасбулатОйлКорпорэйшн» приведено ниже.</w:t>
      </w:r>
    </w:p>
    <w:tbl>
      <w:tblPr>
        <w:tblW w:w="498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09"/>
        <w:gridCol w:w="941"/>
        <w:gridCol w:w="941"/>
        <w:gridCol w:w="942"/>
        <w:gridCol w:w="1329"/>
        <w:gridCol w:w="1242"/>
      </w:tblGrid>
      <w:tr w:rsidR="00D700C5" w:rsidRPr="00D700C5" w:rsidTr="00D700C5">
        <w:trPr>
          <w:trHeight w:val="604"/>
          <w:jc w:val="center"/>
        </w:trPr>
        <w:tc>
          <w:tcPr>
            <w:tcW w:w="2102" w:type="pct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отхода</w:t>
            </w:r>
          </w:p>
        </w:tc>
        <w:tc>
          <w:tcPr>
            <w:tcW w:w="2235" w:type="pct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Базовые показатели, тонн/год</w:t>
            </w:r>
          </w:p>
        </w:tc>
        <w:tc>
          <w:tcPr>
            <w:tcW w:w="6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Целевые показатели  тонн/год</w:t>
            </w:r>
          </w:p>
        </w:tc>
      </w:tr>
      <w:tr w:rsidR="00D700C5" w:rsidRPr="00D700C5" w:rsidTr="00D700C5">
        <w:trPr>
          <w:trHeight w:val="45"/>
          <w:jc w:val="center"/>
        </w:trPr>
        <w:tc>
          <w:tcPr>
            <w:tcW w:w="2102" w:type="pct"/>
            <w:vMerge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50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среднее за предыдущие 3 года</w:t>
            </w:r>
          </w:p>
        </w:tc>
        <w:tc>
          <w:tcPr>
            <w:tcW w:w="66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6</w:t>
            </w:r>
            <w:r w:rsidRPr="00D700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D700C5" w:rsidRPr="00D700C5" w:rsidTr="00D700C5">
        <w:trPr>
          <w:trHeight w:val="45"/>
          <w:jc w:val="center"/>
        </w:trPr>
        <w:tc>
          <w:tcPr>
            <w:tcW w:w="2102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Абразивный песок</w:t>
            </w:r>
          </w:p>
        </w:tc>
        <w:tc>
          <w:tcPr>
            <w:tcW w:w="507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120.0000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Буровой шлам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1191.61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1191.610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Изношенная спецодежда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0.25735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0.9600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отходы (бумага, картон)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27.2144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Коммунальные отходы (ТБО, смет с территории)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50.92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33.39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24.86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36.390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45.3116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Медицинские отходы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0.0064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Металлолом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64.38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64.380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358.5250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Нефтезагрязненный грунт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104.4000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Нефтешлам 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298.04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600.47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362.837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600.6266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Огарки сварочных электродов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0.00267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0.02372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0.0212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автомобильные шины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0.94868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18.3855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аккумуляторные батареи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0.4116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воздушные фильтры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0.0756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люминесцентные лампы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0.0056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0.0002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масла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5.940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22.3207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промасляные фильтры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0.0092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0.2065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светодиодные  LED лампы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0.0291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Отработанные топливные фильтры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0.0249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Отработанный буровой раствор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810.45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810.450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 проппанта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300.0000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ВУС (ксантовая смола)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деревянных поддонов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замазученной пленки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0.1740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обратной промывки скважин (ОПС)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170.85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357.16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401.72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309.910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588.0040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оргтехники (электронный лом)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пластика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5.2714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резины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0.1000</w:t>
            </w:r>
          </w:p>
        </w:tc>
      </w:tr>
      <w:tr w:rsidR="00D700C5" w:rsidRPr="00D700C5" w:rsidTr="00D700C5">
        <w:trPr>
          <w:trHeight w:val="306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химреагентов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4.2200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  <w:hideMark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Отходы цементного раствора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29.6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31.54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36.56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32.567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63.8000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Пищевые отходы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10.213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38.1060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Промасленная ветошь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5.4610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Строительные отходы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23.36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14.820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Тара из-под ЛКМ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0.1052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1.6038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Тара использованная (бочки металлические спрессованные)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4.501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7.46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4.787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10.7000</w:t>
            </w:r>
          </w:p>
        </w:tc>
      </w:tr>
      <w:tr w:rsidR="00D700C5" w:rsidRPr="00D700C5" w:rsidTr="00D700C5">
        <w:trPr>
          <w:trHeight w:val="55"/>
          <w:jc w:val="center"/>
        </w:trPr>
        <w:tc>
          <w:tcPr>
            <w:tcW w:w="2102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Тара использованная (бочки/мешки пластиковые)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507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715" w:type="pct"/>
            <w:shd w:val="clear" w:color="auto" w:fill="auto"/>
            <w:noWrap/>
            <w:vAlign w:val="bottom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0.765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D700C5" w:rsidRPr="00D700C5" w:rsidRDefault="00D700C5" w:rsidP="00D700C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00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7.4931</w:t>
            </w:r>
          </w:p>
        </w:tc>
      </w:tr>
    </w:tbl>
    <w:p w:rsidR="00C8591C" w:rsidRDefault="00C8591C" w:rsidP="001F215F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z w:val="22"/>
          <w:szCs w:val="22"/>
          <w:highlight w:val="yellow"/>
        </w:rPr>
      </w:pPr>
    </w:p>
    <w:p w:rsidR="00913655" w:rsidRPr="002942ED" w:rsidRDefault="005312CB" w:rsidP="003623AC">
      <w:pPr>
        <w:pStyle w:val="Optimum2"/>
        <w:numPr>
          <w:ilvl w:val="0"/>
          <w:numId w:val="0"/>
        </w:numPr>
        <w:rPr>
          <w:color w:val="000000"/>
          <w:sz w:val="22"/>
          <w:szCs w:val="22"/>
        </w:rPr>
      </w:pPr>
      <w:r w:rsidRPr="002942ED">
        <w:rPr>
          <w:color w:val="000000"/>
          <w:sz w:val="22"/>
          <w:szCs w:val="22"/>
        </w:rPr>
        <w:t>срок действия проекта нормативов сбросов 01.01.2</w:t>
      </w:r>
      <w:r w:rsidR="00D700C5">
        <w:rPr>
          <w:color w:val="000000"/>
          <w:sz w:val="22"/>
          <w:szCs w:val="22"/>
        </w:rPr>
        <w:t>6</w:t>
      </w:r>
      <w:r w:rsidRPr="002942ED">
        <w:rPr>
          <w:color w:val="000000"/>
          <w:sz w:val="22"/>
          <w:szCs w:val="22"/>
        </w:rPr>
        <w:t>-</w:t>
      </w:r>
      <w:r w:rsidR="00D700C5">
        <w:rPr>
          <w:color w:val="000000"/>
          <w:sz w:val="22"/>
          <w:szCs w:val="22"/>
        </w:rPr>
        <w:t>3</w:t>
      </w:r>
      <w:r w:rsidRPr="002942ED">
        <w:rPr>
          <w:color w:val="000000"/>
          <w:sz w:val="22"/>
          <w:szCs w:val="22"/>
        </w:rPr>
        <w:t>1.12.2</w:t>
      </w:r>
      <w:r w:rsidR="00D700C5">
        <w:rPr>
          <w:color w:val="000000"/>
          <w:sz w:val="22"/>
          <w:szCs w:val="22"/>
        </w:rPr>
        <w:t>6</w:t>
      </w:r>
    </w:p>
    <w:p w:rsidR="005312CB" w:rsidRPr="002942ED" w:rsidRDefault="005312CB" w:rsidP="005312CB">
      <w:pPr>
        <w:pStyle w:val="a9"/>
        <w:rPr>
          <w:rFonts w:cs="Times New Roman"/>
          <w:sz w:val="22"/>
          <w:szCs w:val="22"/>
        </w:rPr>
      </w:pPr>
      <w:r w:rsidRPr="002942ED">
        <w:rPr>
          <w:rFonts w:cs="Times New Roman"/>
          <w:sz w:val="22"/>
          <w:szCs w:val="22"/>
        </w:rPr>
        <w:t xml:space="preserve">На ЦУПН осуществляется подготовка нефти с месторождений Тасбулат и поступивший на ЦУПН по трубопроводу флюид с месторождений Актас и Туркменой и воды для закачки в пласт. </w:t>
      </w:r>
    </w:p>
    <w:p w:rsidR="005312CB" w:rsidRPr="002942ED" w:rsidRDefault="005312CB" w:rsidP="005312CB">
      <w:pPr>
        <w:pStyle w:val="a9"/>
        <w:rPr>
          <w:rFonts w:cs="Times New Roman"/>
          <w:sz w:val="22"/>
          <w:szCs w:val="22"/>
        </w:rPr>
      </w:pPr>
      <w:r w:rsidRPr="002942ED">
        <w:rPr>
          <w:rFonts w:cs="Times New Roman"/>
          <w:sz w:val="22"/>
          <w:szCs w:val="22"/>
        </w:rPr>
        <w:t xml:space="preserve">Производственные сточные воды, образуются на месторождении Тасбулат вследствие использования волжской воды технической (пресной) воды в технологических циклах добычи и подготовки нефти на центральный узел подготовки нефти (ЦУПН). </w:t>
      </w:r>
    </w:p>
    <w:p w:rsidR="00913655" w:rsidRDefault="005312CB" w:rsidP="005312CB">
      <w:pPr>
        <w:pStyle w:val="a9"/>
        <w:rPr>
          <w:rFonts w:cs="Times New Roman"/>
          <w:sz w:val="22"/>
          <w:szCs w:val="22"/>
        </w:rPr>
      </w:pPr>
      <w:r w:rsidRPr="002942ED">
        <w:rPr>
          <w:rFonts w:cs="Times New Roman"/>
          <w:sz w:val="22"/>
          <w:szCs w:val="22"/>
        </w:rPr>
        <w:t>Производственные сточные воды, направляемые по системе ППД для закачки в недра, образуются при использовании волжской воды для обессоливания нефти совместно с пластовыми водами. Состав производственных сточных вод близок к пластовым водам.</w:t>
      </w:r>
    </w:p>
    <w:p w:rsidR="002942ED" w:rsidRDefault="002942ED" w:rsidP="005312CB">
      <w:pPr>
        <w:pStyle w:val="a9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В Проекте НДС учтены проектные решения РП «</w:t>
      </w:r>
      <w:r w:rsidRPr="002942ED">
        <w:rPr>
          <w:rFonts w:cs="Times New Roman"/>
          <w:sz w:val="22"/>
          <w:szCs w:val="22"/>
        </w:rPr>
        <w:t>ЦУПН. Система подготовки пластовой воды. Модернизация. Месторождение Тасбулат. Мангистауская область</w:t>
      </w:r>
      <w:r>
        <w:rPr>
          <w:rFonts w:cs="Times New Roman"/>
          <w:sz w:val="22"/>
          <w:szCs w:val="22"/>
        </w:rPr>
        <w:t>»</w:t>
      </w:r>
    </w:p>
    <w:p w:rsidR="005312CB" w:rsidRDefault="005312CB" w:rsidP="005312CB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2942ED">
        <w:rPr>
          <w:rFonts w:ascii="Times New Roman" w:eastAsia="Times New Roman" w:hAnsi="Times New Roman" w:cs="Times New Roman"/>
          <w:color w:val="000000"/>
          <w:lang w:eastAsia="ru-RU"/>
        </w:rPr>
        <w:t>Инвентаризация выпусков сточных вод ТОО «Табулат Ойл Корпорэйшн»</w:t>
      </w:r>
    </w:p>
    <w:tbl>
      <w:tblPr>
        <w:tblStyle w:val="ab"/>
        <w:tblW w:w="5000" w:type="pct"/>
        <w:tblLayout w:type="fixed"/>
        <w:tblLook w:val="04A0" w:firstRow="1" w:lastRow="0" w:firstColumn="1" w:lastColumn="0" w:noHBand="0" w:noVBand="1"/>
      </w:tblPr>
      <w:tblGrid>
        <w:gridCol w:w="869"/>
        <w:gridCol w:w="1818"/>
        <w:gridCol w:w="2211"/>
        <w:gridCol w:w="1936"/>
        <w:gridCol w:w="2511"/>
      </w:tblGrid>
      <w:tr w:rsidR="00A17816" w:rsidRPr="00A17816" w:rsidTr="00A17816">
        <w:tc>
          <w:tcPr>
            <w:tcW w:w="869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17816">
              <w:rPr>
                <w:rFonts w:ascii="Times New Roman" w:hAnsi="Times New Roman"/>
                <w:b/>
                <w:bCs/>
                <w:szCs w:val="20"/>
              </w:rPr>
              <w:t>год</w:t>
            </w:r>
          </w:p>
        </w:tc>
        <w:tc>
          <w:tcPr>
            <w:tcW w:w="1818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17816">
              <w:rPr>
                <w:rFonts w:ascii="Times New Roman" w:hAnsi="Times New Roman"/>
                <w:b/>
                <w:bCs/>
                <w:szCs w:val="20"/>
              </w:rPr>
              <w:t>Наименование выпуска</w:t>
            </w:r>
          </w:p>
        </w:tc>
        <w:tc>
          <w:tcPr>
            <w:tcW w:w="2211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17816">
              <w:rPr>
                <w:rFonts w:ascii="Times New Roman" w:hAnsi="Times New Roman"/>
                <w:b/>
                <w:bCs/>
                <w:szCs w:val="20"/>
              </w:rPr>
              <w:t>Наличие и метод очистки перед сбросом</w:t>
            </w:r>
          </w:p>
        </w:tc>
        <w:tc>
          <w:tcPr>
            <w:tcW w:w="1936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17816">
              <w:rPr>
                <w:rFonts w:ascii="Times New Roman" w:hAnsi="Times New Roman"/>
                <w:b/>
                <w:bCs/>
                <w:szCs w:val="20"/>
              </w:rPr>
              <w:t>Объем отводимых сточных вод, тыс. м³/год</w:t>
            </w:r>
          </w:p>
        </w:tc>
        <w:tc>
          <w:tcPr>
            <w:tcW w:w="2511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17816">
              <w:rPr>
                <w:rFonts w:ascii="Times New Roman" w:hAnsi="Times New Roman"/>
                <w:b/>
                <w:bCs/>
                <w:szCs w:val="20"/>
              </w:rPr>
              <w:t>НДС загрязняющих веществ, отводимых со сточными водами т/год</w:t>
            </w:r>
          </w:p>
        </w:tc>
      </w:tr>
      <w:tr w:rsidR="00A17816" w:rsidRPr="00A17816" w:rsidTr="00A17816">
        <w:tc>
          <w:tcPr>
            <w:tcW w:w="869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2023</w:t>
            </w:r>
          </w:p>
        </w:tc>
        <w:tc>
          <w:tcPr>
            <w:tcW w:w="1818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Система ППД месторождения Тасбулат</w:t>
            </w:r>
          </w:p>
        </w:tc>
        <w:tc>
          <w:tcPr>
            <w:tcW w:w="2211" w:type="dxa"/>
          </w:tcPr>
          <w:p w:rsidR="00A17816" w:rsidRPr="00A17816" w:rsidDel="00EE1E4C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Блок подготовки воды БПВ 2.00.00.00</w:t>
            </w:r>
          </w:p>
        </w:tc>
        <w:tc>
          <w:tcPr>
            <w:tcW w:w="1936" w:type="dxa"/>
          </w:tcPr>
          <w:p w:rsidR="00A17816" w:rsidRPr="00A17816" w:rsidDel="00EE1E4C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18.25</w:t>
            </w:r>
          </w:p>
        </w:tc>
        <w:tc>
          <w:tcPr>
            <w:tcW w:w="2511" w:type="dxa"/>
          </w:tcPr>
          <w:p w:rsidR="00A17816" w:rsidRPr="00A17816" w:rsidDel="00EE1E4C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1641,6529</w:t>
            </w:r>
          </w:p>
        </w:tc>
      </w:tr>
      <w:tr w:rsidR="00A17816" w:rsidRPr="00A17816" w:rsidTr="00A17816">
        <w:tc>
          <w:tcPr>
            <w:tcW w:w="869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2024</w:t>
            </w:r>
          </w:p>
        </w:tc>
        <w:tc>
          <w:tcPr>
            <w:tcW w:w="1818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Система ППД месторождения Тасбулат</w:t>
            </w:r>
          </w:p>
        </w:tc>
        <w:tc>
          <w:tcPr>
            <w:tcW w:w="2211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Блок подготовки воды БПВ 2.00.00.00</w:t>
            </w:r>
          </w:p>
        </w:tc>
        <w:tc>
          <w:tcPr>
            <w:tcW w:w="1936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18,30</w:t>
            </w:r>
          </w:p>
        </w:tc>
        <w:tc>
          <w:tcPr>
            <w:tcW w:w="2511" w:type="dxa"/>
          </w:tcPr>
          <w:p w:rsidR="00A17816" w:rsidRPr="00A17816" w:rsidRDefault="00A17816" w:rsidP="004066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7816">
              <w:rPr>
                <w:rFonts w:ascii="Times New Roman" w:hAnsi="Times New Roman" w:cs="Times New Roman"/>
                <w:sz w:val="20"/>
                <w:szCs w:val="20"/>
              </w:rPr>
              <w:t>1619.098</w:t>
            </w:r>
          </w:p>
        </w:tc>
      </w:tr>
      <w:tr w:rsidR="00A17816" w:rsidRPr="00A17816" w:rsidTr="00A17816">
        <w:tc>
          <w:tcPr>
            <w:tcW w:w="869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 xml:space="preserve">2025 </w:t>
            </w:r>
          </w:p>
        </w:tc>
        <w:tc>
          <w:tcPr>
            <w:tcW w:w="1818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Система ППД месторождения Тасбулат</w:t>
            </w:r>
          </w:p>
        </w:tc>
        <w:tc>
          <w:tcPr>
            <w:tcW w:w="2211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Блок подготовки воды БПВ 2.00.00.00</w:t>
            </w:r>
          </w:p>
        </w:tc>
        <w:tc>
          <w:tcPr>
            <w:tcW w:w="1936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18,25</w:t>
            </w:r>
          </w:p>
        </w:tc>
        <w:tc>
          <w:tcPr>
            <w:tcW w:w="2511" w:type="dxa"/>
          </w:tcPr>
          <w:p w:rsidR="00A17816" w:rsidRPr="00A17816" w:rsidRDefault="00A17816" w:rsidP="004066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7816">
              <w:rPr>
                <w:rFonts w:ascii="Times New Roman" w:hAnsi="Times New Roman" w:cs="Times New Roman"/>
                <w:sz w:val="20"/>
                <w:szCs w:val="20"/>
              </w:rPr>
              <w:t>1614.778</w:t>
            </w:r>
          </w:p>
        </w:tc>
      </w:tr>
      <w:tr w:rsidR="00A17816" w:rsidRPr="00A17816" w:rsidTr="00A17816">
        <w:tc>
          <w:tcPr>
            <w:tcW w:w="869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 xml:space="preserve">2026 </w:t>
            </w:r>
          </w:p>
        </w:tc>
        <w:tc>
          <w:tcPr>
            <w:tcW w:w="1818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Система ППД месторождения Тасбулат</w:t>
            </w:r>
          </w:p>
        </w:tc>
        <w:tc>
          <w:tcPr>
            <w:tcW w:w="2211" w:type="dxa"/>
          </w:tcPr>
          <w:p w:rsidR="00A17816" w:rsidRPr="00A17816" w:rsidRDefault="00A17816" w:rsidP="004066C2">
            <w:pPr>
              <w:pStyle w:val="ad"/>
              <w:jc w:val="left"/>
              <w:rPr>
                <w:rFonts w:ascii="Times New Roman" w:hAnsi="Times New Roman"/>
                <w:szCs w:val="20"/>
              </w:rPr>
            </w:pPr>
            <w:r w:rsidRPr="00A17816">
              <w:rPr>
                <w:rFonts w:ascii="Times New Roman" w:hAnsi="Times New Roman"/>
                <w:szCs w:val="20"/>
              </w:rPr>
              <w:t>Блок подготовки воды БПВ 2.00.00.00</w:t>
            </w:r>
          </w:p>
        </w:tc>
        <w:tc>
          <w:tcPr>
            <w:tcW w:w="1936" w:type="dxa"/>
          </w:tcPr>
          <w:p w:rsidR="00A17816" w:rsidRPr="00A17816" w:rsidRDefault="00A17816" w:rsidP="004066C2">
            <w:pPr>
              <w:pStyle w:val="ad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A17816">
              <w:rPr>
                <w:rFonts w:ascii="Times New Roman" w:hAnsi="Times New Roman"/>
                <w:szCs w:val="20"/>
                <w:lang w:val="en-US"/>
              </w:rPr>
              <w:t>18.25</w:t>
            </w:r>
          </w:p>
        </w:tc>
        <w:tc>
          <w:tcPr>
            <w:tcW w:w="2511" w:type="dxa"/>
          </w:tcPr>
          <w:p w:rsidR="00A17816" w:rsidRPr="00A17816" w:rsidRDefault="008F7D5A" w:rsidP="004066C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F7D5A">
              <w:rPr>
                <w:rFonts w:ascii="Times New Roman" w:hAnsi="Times New Roman" w:cs="Times New Roman"/>
                <w:sz w:val="20"/>
                <w:szCs w:val="20"/>
              </w:rPr>
              <w:t>1590.652</w:t>
            </w:r>
            <w:bookmarkStart w:id="7" w:name="_GoBack"/>
            <w:bookmarkEnd w:id="7"/>
          </w:p>
        </w:tc>
      </w:tr>
    </w:tbl>
    <w:p w:rsidR="001F215F" w:rsidRPr="00D52B41" w:rsidRDefault="001F215F" w:rsidP="003623AC">
      <w:pPr>
        <w:pStyle w:val="Optimum2"/>
        <w:numPr>
          <w:ilvl w:val="0"/>
          <w:numId w:val="0"/>
        </w:numPr>
        <w:rPr>
          <w:sz w:val="22"/>
          <w:szCs w:val="22"/>
        </w:rPr>
      </w:pPr>
      <w:r w:rsidRPr="00D52B41">
        <w:rPr>
          <w:sz w:val="22"/>
          <w:szCs w:val="22"/>
        </w:rPr>
        <w:t xml:space="preserve">Основные природоохранные мероприятия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9744D9" w:rsidRDefault="009744D9" w:rsidP="009744D9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Оптимизация работы оборудования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Инструментальный контроль выбросов загрязняющих веществ в атмосферу непосредственно  на границе СЗЗ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Инструментальный контроль выбросов загрязняющих веществ в атмосферу непосредственно на источниках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мониторинга грунтовых вод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Повторное использование производственных сточных вод, образующихся при использовании волжской воды для обессоливания нефти, для закачки в недра, обеспечивается очистка пластовой и сточной воды на ЦУПН от механических примесей (взвешенных веществ) и нефтепродуктов посредством ввода в эксплуатацию Блока подготовки воды БПВ 2.00.00.000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Экологический мониторинг почвы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Проведение экологического мониторинга сточных вод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Мониторинг за состоянием флоры и фауны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Раздельный сбор и своевременный вывоз отходов производства и потребления на переработку и удаление на основании заключенных договоров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 xml:space="preserve">Передача на вторичное использование отходов 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Проведение работ по изучению рынка и поиска подрядчика для передачи на рециркуляцию отработанного масла, что позволит увеличить долю повторного использования отходов</w:t>
            </w:r>
          </w:p>
        </w:tc>
      </w:tr>
      <w:tr w:rsidR="001F215F" w:rsidRPr="00D52B41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Обучение сотрудников важности сокращения отходов, а также о том, как разделять и правильно утилизировать бытовые отходы (проведение образовательных сессий), организация информационных стендов с практическими советами по уменьшению отходов</w:t>
            </w:r>
          </w:p>
        </w:tc>
      </w:tr>
      <w:tr w:rsidR="001F215F" w:rsidRPr="001F215F" w:rsidTr="009744D9">
        <w:trPr>
          <w:trHeight w:val="20"/>
        </w:trPr>
        <w:tc>
          <w:tcPr>
            <w:tcW w:w="9351" w:type="dxa"/>
            <w:shd w:val="clear" w:color="auto" w:fill="auto"/>
            <w:vAlign w:val="center"/>
            <w:hideMark/>
          </w:tcPr>
          <w:p w:rsidR="001F215F" w:rsidRPr="00D52B41" w:rsidRDefault="001F215F" w:rsidP="008E3C17">
            <w:pPr>
              <w:pStyle w:val="ac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52B41">
              <w:rPr>
                <w:rFonts w:ascii="Times New Roman" w:eastAsia="Times New Roman" w:hAnsi="Times New Roman" w:cs="Times New Roman"/>
                <w:lang w:eastAsia="ru-RU"/>
              </w:rPr>
              <w:t>Разработка проектно-нормативной документации</w:t>
            </w:r>
          </w:p>
        </w:tc>
      </w:tr>
    </w:tbl>
    <w:p w:rsidR="00E26AB1" w:rsidRPr="001F215F" w:rsidRDefault="00E26AB1" w:rsidP="001F215F">
      <w:pPr>
        <w:spacing w:line="240" w:lineRule="auto"/>
        <w:rPr>
          <w:rFonts w:ascii="Times New Roman" w:hAnsi="Times New Roman" w:cs="Times New Roman"/>
        </w:rPr>
      </w:pPr>
    </w:p>
    <w:sectPr w:rsidR="00E26AB1" w:rsidRPr="001F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D07" w:rsidRDefault="00A31D07" w:rsidP="00127D8A">
      <w:pPr>
        <w:spacing w:after="0" w:line="240" w:lineRule="auto"/>
      </w:pPr>
      <w:r>
        <w:separator/>
      </w:r>
    </w:p>
  </w:endnote>
  <w:endnote w:type="continuationSeparator" w:id="0">
    <w:p w:rsidR="00A31D07" w:rsidRDefault="00A31D07" w:rsidP="0012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D07" w:rsidRDefault="00A31D07" w:rsidP="00127D8A">
      <w:pPr>
        <w:spacing w:after="0" w:line="240" w:lineRule="auto"/>
      </w:pPr>
      <w:r>
        <w:separator/>
      </w:r>
    </w:p>
  </w:footnote>
  <w:footnote w:type="continuationSeparator" w:id="0">
    <w:p w:rsidR="00A31D07" w:rsidRDefault="00A31D07" w:rsidP="00127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10E0"/>
    <w:multiLevelType w:val="hybridMultilevel"/>
    <w:tmpl w:val="A426ED12"/>
    <w:lvl w:ilvl="0" w:tplc="6E46E336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D5BBA"/>
    <w:multiLevelType w:val="hybridMultilevel"/>
    <w:tmpl w:val="7B7A55F2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D43D1"/>
    <w:multiLevelType w:val="multilevel"/>
    <w:tmpl w:val="4E081C8E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i w:val="0"/>
        <w:caps/>
        <w:dstrike w:val="0"/>
        <w:spacing w:val="0"/>
        <w:w w:val="100"/>
        <w:position w:val="0"/>
        <w:sz w:val="28"/>
        <w:vertAlign w:val="baseline"/>
      </w:rPr>
    </w:lvl>
    <w:lvl w:ilvl="1">
      <w:start w:val="1"/>
      <w:numFmt w:val="decimal"/>
      <w:pStyle w:val="Optimum2"/>
      <w:lvlText w:val="%1.%2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dstrike w:val="0"/>
        <w:sz w:val="24"/>
        <w:szCs w:val="22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dstrike w:val="0"/>
        <w:sz w:val="24"/>
        <w:vertAlign w:val="baseline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dstrike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4309"/>
        </w:tabs>
        <w:ind w:left="402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69"/>
        </w:tabs>
        <w:ind w:left="452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89"/>
        </w:tabs>
        <w:ind w:left="502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49"/>
        </w:tabs>
        <w:ind w:left="553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69"/>
        </w:tabs>
        <w:ind w:left="6109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9D"/>
    <w:rsid w:val="00127D8A"/>
    <w:rsid w:val="001A4D24"/>
    <w:rsid w:val="001E1107"/>
    <w:rsid w:val="001F215F"/>
    <w:rsid w:val="002637D0"/>
    <w:rsid w:val="002942ED"/>
    <w:rsid w:val="003623AC"/>
    <w:rsid w:val="003B1392"/>
    <w:rsid w:val="00430B9F"/>
    <w:rsid w:val="005312CB"/>
    <w:rsid w:val="00556A84"/>
    <w:rsid w:val="0057764E"/>
    <w:rsid w:val="005971DD"/>
    <w:rsid w:val="006048A5"/>
    <w:rsid w:val="0061389F"/>
    <w:rsid w:val="00695BA5"/>
    <w:rsid w:val="00696FC3"/>
    <w:rsid w:val="006B1C21"/>
    <w:rsid w:val="007060AD"/>
    <w:rsid w:val="00734896"/>
    <w:rsid w:val="007C329D"/>
    <w:rsid w:val="008A0D33"/>
    <w:rsid w:val="008A4598"/>
    <w:rsid w:val="008E3C17"/>
    <w:rsid w:val="008F7D5A"/>
    <w:rsid w:val="00913655"/>
    <w:rsid w:val="00954E11"/>
    <w:rsid w:val="009744D9"/>
    <w:rsid w:val="00A128F2"/>
    <w:rsid w:val="00A17816"/>
    <w:rsid w:val="00A31D07"/>
    <w:rsid w:val="00AB24A0"/>
    <w:rsid w:val="00C210B1"/>
    <w:rsid w:val="00C8591C"/>
    <w:rsid w:val="00CA137D"/>
    <w:rsid w:val="00D52B41"/>
    <w:rsid w:val="00D700C5"/>
    <w:rsid w:val="00DF1A6C"/>
    <w:rsid w:val="00E022CC"/>
    <w:rsid w:val="00E26AB1"/>
    <w:rsid w:val="00E9249D"/>
    <w:rsid w:val="00F7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8E399-B776-44B7-B8A5-E2EACD54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12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27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7D8A"/>
  </w:style>
  <w:style w:type="paragraph" w:styleId="a5">
    <w:name w:val="footer"/>
    <w:basedOn w:val="a"/>
    <w:link w:val="a6"/>
    <w:uiPriority w:val="99"/>
    <w:unhideWhenUsed/>
    <w:rsid w:val="00127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7D8A"/>
  </w:style>
  <w:style w:type="paragraph" w:customStyle="1" w:styleId="a7">
    <w:name w:val="ОГЛАВЛЕНИЕ"/>
    <w:basedOn w:val="a"/>
    <w:link w:val="a8"/>
    <w:qFormat/>
    <w:rsid w:val="00127D8A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customStyle="1" w:styleId="a8">
    <w:name w:val="ОГЛАВЛЕНИЕ Знак"/>
    <w:basedOn w:val="a0"/>
    <w:link w:val="a7"/>
    <w:rsid w:val="00127D8A"/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customStyle="1" w:styleId="1">
    <w:name w:val="1 Текст"/>
    <w:basedOn w:val="a"/>
    <w:link w:val="11"/>
    <w:autoRedefine/>
    <w:qFormat/>
    <w:rsid w:val="00127D8A"/>
    <w:pPr>
      <w:keepNext/>
      <w:keepLines/>
      <w:widowControl w:val="0"/>
      <w:numPr>
        <w:numId w:val="1"/>
      </w:numPr>
      <w:tabs>
        <w:tab w:val="left" w:pos="2625"/>
      </w:tabs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1">
    <w:name w:val="1 Текст Знак"/>
    <w:basedOn w:val="a0"/>
    <w:link w:val="1"/>
    <w:rsid w:val="00127D8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9">
    <w:name w:val="№ таблицы"/>
    <w:basedOn w:val="a"/>
    <w:link w:val="aa"/>
    <w:autoRedefine/>
    <w:qFormat/>
    <w:rsid w:val="00127D8A"/>
    <w:pPr>
      <w:keepNext/>
      <w:keepLines/>
      <w:spacing w:before="120" w:after="80" w:line="240" w:lineRule="auto"/>
      <w:outlineLvl w:val="4"/>
    </w:pPr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character" w:customStyle="1" w:styleId="aa">
    <w:name w:val="№ таблицы Знак"/>
    <w:link w:val="a9"/>
    <w:rsid w:val="00127D8A"/>
    <w:rPr>
      <w:rFonts w:ascii="Times New Roman" w:eastAsia="Times New Roman" w:hAnsi="Times New Roman" w:cs="Arial"/>
      <w:color w:val="000000"/>
      <w:sz w:val="24"/>
      <w:szCs w:val="24"/>
      <w:lang w:eastAsia="ru-RU"/>
    </w:rPr>
  </w:style>
  <w:style w:type="paragraph" w:customStyle="1" w:styleId="10">
    <w:name w:val="1 РАЗДЕЛ"/>
    <w:basedOn w:val="a"/>
    <w:next w:val="1"/>
    <w:autoRedefine/>
    <w:qFormat/>
    <w:rsid w:val="00127D8A"/>
    <w:pPr>
      <w:keepNext/>
      <w:keepLines/>
      <w:numPr>
        <w:numId w:val="2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111">
    <w:name w:val="1.1.1 Подпункт"/>
    <w:basedOn w:val="a"/>
    <w:autoRedefine/>
    <w:qFormat/>
    <w:rsid w:val="00127D8A"/>
    <w:pPr>
      <w:keepNext/>
      <w:keepLines/>
      <w:numPr>
        <w:ilvl w:val="2"/>
        <w:numId w:val="2"/>
      </w:numPr>
      <w:spacing w:before="360" w:after="120" w:line="240" w:lineRule="auto"/>
      <w:jc w:val="both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customStyle="1" w:styleId="1111">
    <w:name w:val="1.1.1.1 Подподпункт"/>
    <w:basedOn w:val="a"/>
    <w:autoRedefine/>
    <w:qFormat/>
    <w:rsid w:val="00127D8A"/>
    <w:pPr>
      <w:keepNext/>
      <w:keepLines/>
      <w:numPr>
        <w:ilvl w:val="3"/>
        <w:numId w:val="2"/>
      </w:numPr>
      <w:spacing w:after="0" w:line="360" w:lineRule="auto"/>
      <w:outlineLvl w:val="3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customStyle="1" w:styleId="Optimum2">
    <w:name w:val="Optimum2"/>
    <w:basedOn w:val="a"/>
    <w:autoRedefine/>
    <w:qFormat/>
    <w:rsid w:val="00127D8A"/>
    <w:pPr>
      <w:keepNext/>
      <w:keepLines/>
      <w:numPr>
        <w:ilvl w:val="1"/>
        <w:numId w:val="2"/>
      </w:numPr>
      <w:spacing w:before="360" w:after="0" w:line="240" w:lineRule="auto"/>
      <w:jc w:val="both"/>
      <w:outlineLvl w:val="1"/>
    </w:pPr>
    <w:rPr>
      <w:rFonts w:ascii="Times New Roman" w:eastAsia="Times New Roman" w:hAnsi="Times New Roman" w:cs="Times New Roman"/>
      <w:b/>
      <w:smallCaps/>
      <w:sz w:val="24"/>
      <w:szCs w:val="24"/>
      <w:lang w:eastAsia="ru-RU"/>
    </w:rPr>
  </w:style>
  <w:style w:type="table" w:styleId="ab">
    <w:name w:val="Table Grid"/>
    <w:basedOn w:val="a1"/>
    <w:uiPriority w:val="39"/>
    <w:qFormat/>
    <w:rsid w:val="00127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Opt">
    <w:name w:val="Opt_абзац"/>
    <w:basedOn w:val="a"/>
    <w:link w:val="Opt0"/>
    <w:autoRedefine/>
    <w:qFormat/>
    <w:rsid w:val="00127D8A"/>
    <w:pPr>
      <w:keepNext/>
      <w:keepLines/>
      <w:tabs>
        <w:tab w:val="left" w:pos="2625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Opt0">
    <w:name w:val="Opt_абзац Знак"/>
    <w:link w:val="Opt"/>
    <w:rsid w:val="00127D8A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127D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7D8A"/>
    <w:pPr>
      <w:widowControl w:val="0"/>
      <w:autoSpaceDE w:val="0"/>
      <w:autoSpaceDN w:val="0"/>
      <w:spacing w:before="51" w:after="0" w:line="240" w:lineRule="auto"/>
    </w:pPr>
    <w:rPr>
      <w:rFonts w:ascii="Arial" w:eastAsia="Arial" w:hAnsi="Arial" w:cs="Arial"/>
      <w:lang w:val="en-US"/>
    </w:rPr>
  </w:style>
  <w:style w:type="paragraph" w:styleId="ac">
    <w:name w:val="List Paragraph"/>
    <w:basedOn w:val="a"/>
    <w:uiPriority w:val="34"/>
    <w:qFormat/>
    <w:rsid w:val="008E3C17"/>
    <w:pPr>
      <w:ind w:left="720"/>
      <w:contextualSpacing/>
    </w:pPr>
  </w:style>
  <w:style w:type="paragraph" w:customStyle="1" w:styleId="ad">
    <w:name w:val="Обычный таблиц"/>
    <w:basedOn w:val="a"/>
    <w:qFormat/>
    <w:rsid w:val="005312CB"/>
    <w:pPr>
      <w:spacing w:after="0" w:line="240" w:lineRule="auto"/>
      <w:jc w:val="both"/>
    </w:pPr>
    <w:rPr>
      <w:rFonts w:ascii="Arial" w:eastAsia="Times New Roman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6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3404</Words>
  <Characters>19406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Tatyana Pushinka</cp:lastModifiedBy>
  <cp:revision>33</cp:revision>
  <dcterms:created xsi:type="dcterms:W3CDTF">2024-03-19T14:26:00Z</dcterms:created>
  <dcterms:modified xsi:type="dcterms:W3CDTF">2025-10-01T13:52:00Z</dcterms:modified>
</cp:coreProperties>
</file>