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5A4" w14:textId="74B05DE3" w:rsidR="00012B95" w:rsidRDefault="00B84279" w:rsidP="00B84279">
      <w:pPr>
        <w:jc w:val="center"/>
        <w:rPr>
          <w:rFonts w:ascii="Arial" w:hAnsi="Arial" w:cs="Arial"/>
          <w:b/>
          <w:bCs/>
          <w:color w:val="000000"/>
          <w:spacing w:val="2"/>
          <w:shd w:val="clear" w:color="auto" w:fill="FFFFFF"/>
        </w:rPr>
      </w:pPr>
      <w:r w:rsidRPr="009208C8">
        <w:rPr>
          <w:rFonts w:ascii="Arial" w:hAnsi="Arial" w:cs="Arial"/>
          <w:b/>
          <w:bCs/>
          <w:color w:val="000000"/>
          <w:spacing w:val="2"/>
          <w:shd w:val="clear" w:color="auto" w:fill="FFFFFF"/>
        </w:rPr>
        <w:t>Нетехническое резюме к проектной документации</w:t>
      </w:r>
    </w:p>
    <w:p w14:paraId="7C85FF6C" w14:textId="77777777" w:rsidR="00AE1E85" w:rsidRPr="00AE1E85" w:rsidRDefault="00AE1E85" w:rsidP="00AE1E85">
      <w:pPr>
        <w:pStyle w:val="ae"/>
        <w:spacing w:before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 w:rsidRPr="00AE1E85">
        <w:rPr>
          <w:rFonts w:ascii="Arial" w:hAnsi="Arial" w:cs="Arial"/>
          <w:b/>
          <w:sz w:val="22"/>
          <w:szCs w:val="22"/>
        </w:rPr>
        <w:t>Месторождение Северное Придорожное</w:t>
      </w:r>
    </w:p>
    <w:p w14:paraId="3BA4DDC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ТОО «Sherqala Petroleum» является недропользователем месторождения Северное Придорожное, расположенного на территории Мангистауской области, на основании Контракта на добычу углеводородов № 5300-УВС от 14.12.2023 г., со сроком действия Контракта до 14.12.2048 г.</w:t>
      </w:r>
    </w:p>
    <w:p w14:paraId="3EDBF0F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 настоящее время разработка месторождения Северное Придорожное осуществляется на основании проектного документа - «Проекта разработки месторождения Северное Придорожное», с утвержденными технологическими показателями с 2025 года до конца рентабельного периода (Протокол ЦКРР РК № 55/7 от 3 октября 2024 г.).</w:t>
      </w:r>
    </w:p>
    <w:p w14:paraId="16B8AC0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 2024 г. на основании утверждённого проектного документа была разработана и согласована с Рабочей группой МЭ РК «Программа развития переработки сырого газа на этапе промышленной разработки месторождения Северное Придорожное на 2025–2026 гг.», с технологическими показателями на 2025 год (Протокол РГ № 26/1 от 29.11.2024 г.).</w:t>
      </w:r>
    </w:p>
    <w:p w14:paraId="45ACFA3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 настоящей Программе с технологическими показателями на 2026 г. рассмотрены текущее состояние разработки месторождения Северное Придорожное, технология сбора и подготовки нефти и газа, уточнены прогнозные объёмы потребления сырого газа на собственные нужды и объемы технологически неизбежного сжигания газа, а также составлен Баланс газа по месторождению на 2026 г.</w:t>
      </w:r>
    </w:p>
    <w:p w14:paraId="1806D54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 2012 г. выполнен отчет «Пересчет запасов нефти и растворенного газа месторождения Северное Придорожное», утвержден Протоколом ГКЗ РК № 1178-12-У от 26.04.2012 г.</w:t>
      </w:r>
    </w:p>
    <w:p w14:paraId="59302C4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Таблица 1.3. Запасы нефти и растворенного газа м. Северное Придорожное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28"/>
        <w:gridCol w:w="1882"/>
        <w:gridCol w:w="2028"/>
        <w:gridCol w:w="1880"/>
      </w:tblGrid>
      <w:tr w:rsidR="00AE1E85" w:rsidRPr="00AE1E85" w14:paraId="50BAFCBF" w14:textId="77777777" w:rsidTr="005E46C8">
        <w:trPr>
          <w:trHeight w:val="397"/>
          <w:jc w:val="center"/>
        </w:trPr>
        <w:tc>
          <w:tcPr>
            <w:tcW w:w="817" w:type="pct"/>
            <w:noWrap/>
            <w:vAlign w:val="center"/>
          </w:tcPr>
          <w:p w14:paraId="2820725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Запасы</w:t>
            </w:r>
          </w:p>
        </w:tc>
        <w:tc>
          <w:tcPr>
            <w:tcW w:w="2092" w:type="pct"/>
            <w:gridSpan w:val="2"/>
            <w:noWrap/>
            <w:vAlign w:val="center"/>
          </w:tcPr>
          <w:p w14:paraId="7FCE804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Нефти, тыс. т</w:t>
            </w:r>
          </w:p>
        </w:tc>
        <w:tc>
          <w:tcPr>
            <w:tcW w:w="2091" w:type="pct"/>
            <w:gridSpan w:val="2"/>
            <w:vAlign w:val="center"/>
          </w:tcPr>
          <w:p w14:paraId="301C822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Растворенного газа, млн. м</w:t>
            </w: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</w:tr>
      <w:tr w:rsidR="00AE1E85" w:rsidRPr="00AE1E85" w14:paraId="61D2E6AA" w14:textId="77777777" w:rsidTr="005E46C8">
        <w:trPr>
          <w:trHeight w:val="397"/>
          <w:jc w:val="center"/>
        </w:trPr>
        <w:tc>
          <w:tcPr>
            <w:tcW w:w="817" w:type="pct"/>
            <w:noWrap/>
            <w:vAlign w:val="center"/>
            <w:hideMark/>
          </w:tcPr>
          <w:p w14:paraId="307F03A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</w:t>
            </w:r>
          </w:p>
        </w:tc>
        <w:tc>
          <w:tcPr>
            <w:tcW w:w="1085" w:type="pct"/>
            <w:noWrap/>
            <w:vAlign w:val="center"/>
            <w:hideMark/>
          </w:tcPr>
          <w:p w14:paraId="13BBF67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Геологические</w:t>
            </w:r>
          </w:p>
        </w:tc>
        <w:tc>
          <w:tcPr>
            <w:tcW w:w="1007" w:type="pct"/>
            <w:noWrap/>
            <w:vAlign w:val="center"/>
            <w:hideMark/>
          </w:tcPr>
          <w:p w14:paraId="2CEAC9B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Извлекаемые</w:t>
            </w:r>
          </w:p>
        </w:tc>
        <w:tc>
          <w:tcPr>
            <w:tcW w:w="1085" w:type="pct"/>
            <w:vAlign w:val="center"/>
          </w:tcPr>
          <w:p w14:paraId="4649117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Геологические</w:t>
            </w:r>
          </w:p>
        </w:tc>
        <w:tc>
          <w:tcPr>
            <w:tcW w:w="1006" w:type="pct"/>
            <w:vAlign w:val="center"/>
          </w:tcPr>
          <w:p w14:paraId="7C303E4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Извлекаемые</w:t>
            </w:r>
          </w:p>
        </w:tc>
      </w:tr>
      <w:tr w:rsidR="00AE1E85" w:rsidRPr="00AE1E85" w14:paraId="677399FA" w14:textId="77777777" w:rsidTr="005E46C8">
        <w:trPr>
          <w:trHeight w:val="397"/>
          <w:jc w:val="center"/>
        </w:trPr>
        <w:tc>
          <w:tcPr>
            <w:tcW w:w="817" w:type="pct"/>
            <w:shd w:val="clear" w:color="000000" w:fill="FFFFFF"/>
            <w:noWrap/>
            <w:vAlign w:val="center"/>
            <w:hideMark/>
          </w:tcPr>
          <w:p w14:paraId="72E7E7B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В+С</w:t>
            </w: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1</w:t>
            </w:r>
          </w:p>
        </w:tc>
        <w:tc>
          <w:tcPr>
            <w:tcW w:w="1085" w:type="pct"/>
            <w:noWrap/>
            <w:vAlign w:val="center"/>
            <w:hideMark/>
          </w:tcPr>
          <w:p w14:paraId="45B231A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2780</w:t>
            </w:r>
          </w:p>
        </w:tc>
        <w:tc>
          <w:tcPr>
            <w:tcW w:w="1007" w:type="pct"/>
            <w:noWrap/>
            <w:vAlign w:val="center"/>
            <w:hideMark/>
          </w:tcPr>
          <w:p w14:paraId="60278E0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</w:t>
            </w:r>
          </w:p>
        </w:tc>
        <w:tc>
          <w:tcPr>
            <w:tcW w:w="1085" w:type="pct"/>
            <w:vAlign w:val="center"/>
          </w:tcPr>
          <w:p w14:paraId="6880DC3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</w:t>
            </w:r>
          </w:p>
        </w:tc>
        <w:tc>
          <w:tcPr>
            <w:tcW w:w="1006" w:type="pct"/>
            <w:vAlign w:val="center"/>
          </w:tcPr>
          <w:p w14:paraId="328D07D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</w:t>
            </w:r>
          </w:p>
        </w:tc>
      </w:tr>
      <w:tr w:rsidR="00AE1E85" w:rsidRPr="00AE1E85" w14:paraId="63FDC57A" w14:textId="77777777" w:rsidTr="005E46C8">
        <w:trPr>
          <w:trHeight w:val="397"/>
          <w:jc w:val="center"/>
        </w:trPr>
        <w:tc>
          <w:tcPr>
            <w:tcW w:w="817" w:type="pct"/>
            <w:shd w:val="clear" w:color="000000" w:fill="FFFFFF"/>
            <w:noWrap/>
            <w:vAlign w:val="center"/>
            <w:hideMark/>
          </w:tcPr>
          <w:p w14:paraId="58E6ECD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1085" w:type="pct"/>
            <w:noWrap/>
            <w:vAlign w:val="center"/>
            <w:hideMark/>
          </w:tcPr>
          <w:p w14:paraId="2E1949A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</w:t>
            </w:r>
          </w:p>
        </w:tc>
        <w:tc>
          <w:tcPr>
            <w:tcW w:w="1007" w:type="pct"/>
            <w:noWrap/>
            <w:vAlign w:val="center"/>
            <w:hideMark/>
          </w:tcPr>
          <w:p w14:paraId="1B2B591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085" w:type="pct"/>
            <w:vAlign w:val="center"/>
          </w:tcPr>
          <w:p w14:paraId="6904D35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006" w:type="pct"/>
            <w:vAlign w:val="center"/>
          </w:tcPr>
          <w:p w14:paraId="792D901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14:paraId="198DD4B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Исследование состава и свойств нефти и газа месторождения Северное Придорожное проводилось с начала геологоразведочных работ. Лабораторные исследования выполнялись в лабораториях АО «КазНИПИнефть» и АО «НИПИнефтегаз» г. Актау.</w:t>
      </w:r>
    </w:p>
    <w:p w14:paraId="7126C3A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 целом, месторождение Северное Придорожное изучено по результатам исследования 10 глубинных проб нефти, а также 25 проб дегазированной нефти в поверхностных условиях (включая 11 проб после дегазации и 14 устьевых проб). Состав и свойства растворенного газа исследовались по 7 устьевым пробам.</w:t>
      </w:r>
    </w:p>
    <w:p w14:paraId="772BCC1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Таблица 1.4. Свойства нефти в поверхностных условиях м. Северное Придорожное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1362"/>
        <w:gridCol w:w="1362"/>
        <w:gridCol w:w="1377"/>
        <w:gridCol w:w="1375"/>
      </w:tblGrid>
      <w:tr w:rsidR="00AE1E85" w:rsidRPr="00AE1E85" w14:paraId="37B54BE4" w14:textId="77777777" w:rsidTr="005E46C8">
        <w:trPr>
          <w:trHeight w:hRule="exact" w:val="227"/>
        </w:trPr>
        <w:tc>
          <w:tcPr>
            <w:tcW w:w="2069" w:type="pct"/>
            <w:vMerge w:val="restart"/>
            <w:vAlign w:val="center"/>
            <w:hideMark/>
          </w:tcPr>
          <w:p w14:paraId="66411E5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458" w:type="pct"/>
            <w:gridSpan w:val="2"/>
            <w:vAlign w:val="center"/>
            <w:hideMark/>
          </w:tcPr>
          <w:p w14:paraId="6B34D76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исследованных</w:t>
            </w:r>
          </w:p>
        </w:tc>
        <w:tc>
          <w:tcPr>
            <w:tcW w:w="737" w:type="pct"/>
            <w:vMerge w:val="restart"/>
            <w:vAlign w:val="center"/>
            <w:hideMark/>
          </w:tcPr>
          <w:p w14:paraId="65394DC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Диапазон изменений</w:t>
            </w:r>
          </w:p>
        </w:tc>
        <w:tc>
          <w:tcPr>
            <w:tcW w:w="736" w:type="pct"/>
            <w:vMerge w:val="restart"/>
            <w:vAlign w:val="center"/>
            <w:hideMark/>
          </w:tcPr>
          <w:p w14:paraId="626AD68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Среднее значение</w:t>
            </w:r>
          </w:p>
        </w:tc>
      </w:tr>
      <w:tr w:rsidR="00AE1E85" w:rsidRPr="00AE1E85" w14:paraId="28DD45FB" w14:textId="77777777" w:rsidTr="005E46C8">
        <w:trPr>
          <w:trHeight w:val="170"/>
        </w:trPr>
        <w:tc>
          <w:tcPr>
            <w:tcW w:w="2069" w:type="pct"/>
            <w:vMerge/>
            <w:vAlign w:val="center"/>
            <w:hideMark/>
          </w:tcPr>
          <w:p w14:paraId="412D48EA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9" w:type="pct"/>
            <w:vAlign w:val="center"/>
            <w:hideMark/>
          </w:tcPr>
          <w:p w14:paraId="0152FFB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скв.</w:t>
            </w:r>
          </w:p>
        </w:tc>
        <w:tc>
          <w:tcPr>
            <w:tcW w:w="729" w:type="pct"/>
            <w:vAlign w:val="center"/>
            <w:hideMark/>
          </w:tcPr>
          <w:p w14:paraId="6829E17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проб</w:t>
            </w:r>
          </w:p>
        </w:tc>
        <w:tc>
          <w:tcPr>
            <w:tcW w:w="737" w:type="pct"/>
            <w:vMerge/>
            <w:vAlign w:val="center"/>
            <w:hideMark/>
          </w:tcPr>
          <w:p w14:paraId="29BC1423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14:paraId="2F5D4999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1E85" w:rsidRPr="00AE1E85" w14:paraId="62AD9161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4BD26807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Плотность нефти, г/см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729" w:type="pct"/>
            <w:vAlign w:val="center"/>
            <w:hideMark/>
          </w:tcPr>
          <w:p w14:paraId="61EDB71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7795284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737" w:type="pct"/>
            <w:vAlign w:val="center"/>
            <w:hideMark/>
          </w:tcPr>
          <w:p w14:paraId="3036CD2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0,808-0,846</w:t>
            </w:r>
          </w:p>
        </w:tc>
        <w:tc>
          <w:tcPr>
            <w:tcW w:w="736" w:type="pct"/>
            <w:vAlign w:val="center"/>
            <w:hideMark/>
          </w:tcPr>
          <w:p w14:paraId="41688B1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0,828</w:t>
            </w:r>
          </w:p>
        </w:tc>
      </w:tr>
      <w:tr w:rsidR="00AE1E85" w:rsidRPr="00AE1E85" w14:paraId="535611EF" w14:textId="77777777" w:rsidTr="005E46C8">
        <w:trPr>
          <w:trHeight w:val="170"/>
        </w:trPr>
        <w:tc>
          <w:tcPr>
            <w:tcW w:w="5000" w:type="pct"/>
            <w:gridSpan w:val="5"/>
            <w:vAlign w:val="center"/>
            <w:hideMark/>
          </w:tcPr>
          <w:p w14:paraId="37AF18C5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Вязкость нефти, мПа*с</w:t>
            </w:r>
          </w:p>
        </w:tc>
      </w:tr>
      <w:tr w:rsidR="00AE1E85" w:rsidRPr="00AE1E85" w14:paraId="3262C5DE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27FAEBE5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 50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6038838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731A11D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737" w:type="pct"/>
            <w:vAlign w:val="center"/>
            <w:hideMark/>
          </w:tcPr>
          <w:p w14:paraId="4A2AD8A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4,7-18,8</w:t>
            </w:r>
          </w:p>
        </w:tc>
        <w:tc>
          <w:tcPr>
            <w:tcW w:w="736" w:type="pct"/>
            <w:vAlign w:val="center"/>
            <w:hideMark/>
          </w:tcPr>
          <w:p w14:paraId="68C6EC4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</w:tr>
      <w:tr w:rsidR="00AE1E85" w:rsidRPr="00AE1E85" w14:paraId="6F459A6D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124DB556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 60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4A3255F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0819E27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37" w:type="pct"/>
            <w:vAlign w:val="center"/>
            <w:hideMark/>
          </w:tcPr>
          <w:p w14:paraId="6412C0D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3,4-12,9</w:t>
            </w:r>
          </w:p>
        </w:tc>
        <w:tc>
          <w:tcPr>
            <w:tcW w:w="736" w:type="pct"/>
            <w:vAlign w:val="center"/>
            <w:hideMark/>
          </w:tcPr>
          <w:p w14:paraId="3E7D7D8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</w:tr>
      <w:tr w:rsidR="00AE1E85" w:rsidRPr="00AE1E85" w14:paraId="0F5D9951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5C424780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Температура застывания,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75BDD5B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0EBD7E2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37" w:type="pct"/>
            <w:vAlign w:val="center"/>
            <w:hideMark/>
          </w:tcPr>
          <w:p w14:paraId="169CF3D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27-47</w:t>
            </w:r>
          </w:p>
        </w:tc>
        <w:tc>
          <w:tcPr>
            <w:tcW w:w="736" w:type="pct"/>
            <w:vAlign w:val="center"/>
            <w:hideMark/>
          </w:tcPr>
          <w:p w14:paraId="1E431A8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AE1E85" w:rsidRPr="00AE1E85" w14:paraId="77200F6B" w14:textId="77777777" w:rsidTr="005E46C8">
        <w:trPr>
          <w:trHeight w:val="170"/>
        </w:trPr>
        <w:tc>
          <w:tcPr>
            <w:tcW w:w="5000" w:type="pct"/>
            <w:gridSpan w:val="5"/>
            <w:vAlign w:val="center"/>
            <w:hideMark/>
          </w:tcPr>
          <w:p w14:paraId="14CF7DF6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в нефти, % масс.</w:t>
            </w:r>
          </w:p>
        </w:tc>
      </w:tr>
      <w:tr w:rsidR="00AE1E85" w:rsidRPr="00AE1E85" w14:paraId="3AC3C990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23FC7FE6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Серы</w:t>
            </w:r>
          </w:p>
        </w:tc>
        <w:tc>
          <w:tcPr>
            <w:tcW w:w="729" w:type="pct"/>
            <w:vAlign w:val="center"/>
            <w:hideMark/>
          </w:tcPr>
          <w:p w14:paraId="28C3502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67E5D6F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737" w:type="pct"/>
            <w:vAlign w:val="center"/>
            <w:hideMark/>
          </w:tcPr>
          <w:p w14:paraId="77744E1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0,01-0,11</w:t>
            </w:r>
          </w:p>
        </w:tc>
        <w:tc>
          <w:tcPr>
            <w:tcW w:w="736" w:type="pct"/>
            <w:vAlign w:val="center"/>
            <w:hideMark/>
          </w:tcPr>
          <w:p w14:paraId="43E4C76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AE1E85" w:rsidRPr="00AE1E85" w14:paraId="4E308029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041863CC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асфальтенов и смол</w:t>
            </w:r>
          </w:p>
        </w:tc>
        <w:tc>
          <w:tcPr>
            <w:tcW w:w="729" w:type="pct"/>
            <w:vAlign w:val="center"/>
            <w:hideMark/>
          </w:tcPr>
          <w:p w14:paraId="36B92B5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78C0F5E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737" w:type="pct"/>
            <w:vAlign w:val="center"/>
            <w:hideMark/>
          </w:tcPr>
          <w:p w14:paraId="1DA6B9C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1,0-6,1</w:t>
            </w:r>
          </w:p>
        </w:tc>
        <w:tc>
          <w:tcPr>
            <w:tcW w:w="736" w:type="pct"/>
            <w:vAlign w:val="center"/>
            <w:hideMark/>
          </w:tcPr>
          <w:p w14:paraId="20328BF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</w:tr>
      <w:tr w:rsidR="00AE1E85" w:rsidRPr="00AE1E85" w14:paraId="5763A5C3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35B18148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Парафина</w:t>
            </w:r>
          </w:p>
        </w:tc>
        <w:tc>
          <w:tcPr>
            <w:tcW w:w="729" w:type="pct"/>
            <w:vAlign w:val="center"/>
            <w:hideMark/>
          </w:tcPr>
          <w:p w14:paraId="75B97F9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685FEAC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737" w:type="pct"/>
            <w:vAlign w:val="center"/>
            <w:hideMark/>
          </w:tcPr>
          <w:p w14:paraId="42BE3C3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17,0-27,6</w:t>
            </w:r>
          </w:p>
        </w:tc>
        <w:tc>
          <w:tcPr>
            <w:tcW w:w="736" w:type="pct"/>
            <w:vAlign w:val="center"/>
            <w:hideMark/>
          </w:tcPr>
          <w:p w14:paraId="1719E49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</w:tr>
      <w:tr w:rsidR="00AE1E85" w:rsidRPr="00AE1E85" w14:paraId="00516596" w14:textId="77777777" w:rsidTr="005E46C8">
        <w:trPr>
          <w:trHeight w:val="170"/>
        </w:trPr>
        <w:tc>
          <w:tcPr>
            <w:tcW w:w="5000" w:type="pct"/>
            <w:gridSpan w:val="5"/>
            <w:vAlign w:val="center"/>
            <w:hideMark/>
          </w:tcPr>
          <w:p w14:paraId="24DAFE10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Объемный выход фракций, % об.</w:t>
            </w:r>
          </w:p>
        </w:tc>
      </w:tr>
      <w:tr w:rsidR="00AE1E85" w:rsidRPr="00AE1E85" w14:paraId="26AEB5D8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4DB2E0B1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температура начала кипения,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6262BEC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013E477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737" w:type="pct"/>
            <w:vAlign w:val="center"/>
            <w:hideMark/>
          </w:tcPr>
          <w:p w14:paraId="4D48724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61-120</w:t>
            </w:r>
          </w:p>
        </w:tc>
        <w:tc>
          <w:tcPr>
            <w:tcW w:w="736" w:type="pct"/>
            <w:vAlign w:val="center"/>
            <w:hideMark/>
          </w:tcPr>
          <w:p w14:paraId="6F54E3A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</w:tr>
      <w:tr w:rsidR="00AE1E85" w:rsidRPr="00AE1E85" w14:paraId="0856BC38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1782E53B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 100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13A0C00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18F3C43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737" w:type="pct"/>
            <w:vAlign w:val="center"/>
            <w:hideMark/>
          </w:tcPr>
          <w:p w14:paraId="5ABADBC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0,5-7,0</w:t>
            </w:r>
          </w:p>
        </w:tc>
        <w:tc>
          <w:tcPr>
            <w:tcW w:w="736" w:type="pct"/>
            <w:vAlign w:val="center"/>
            <w:hideMark/>
          </w:tcPr>
          <w:p w14:paraId="4D8F2A4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</w:tr>
      <w:tr w:rsidR="00AE1E85" w:rsidRPr="00AE1E85" w14:paraId="47C2840B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027F6792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 150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6CB4FA7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75FAA54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37" w:type="pct"/>
            <w:vAlign w:val="center"/>
            <w:hideMark/>
          </w:tcPr>
          <w:p w14:paraId="2BA3FFD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3,0-15,5</w:t>
            </w:r>
          </w:p>
        </w:tc>
        <w:tc>
          <w:tcPr>
            <w:tcW w:w="736" w:type="pct"/>
            <w:vAlign w:val="center"/>
            <w:hideMark/>
          </w:tcPr>
          <w:p w14:paraId="4D9AD3F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</w:tr>
      <w:tr w:rsidR="00AE1E85" w:rsidRPr="00AE1E85" w14:paraId="13D1596D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0C50879F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 200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086F884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39CBB10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37" w:type="pct"/>
            <w:vAlign w:val="center"/>
            <w:hideMark/>
          </w:tcPr>
          <w:p w14:paraId="5653644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6,0-22,7</w:t>
            </w:r>
          </w:p>
        </w:tc>
        <w:tc>
          <w:tcPr>
            <w:tcW w:w="736" w:type="pct"/>
            <w:vAlign w:val="center"/>
            <w:hideMark/>
          </w:tcPr>
          <w:p w14:paraId="583C13D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</w:t>
            </w:r>
          </w:p>
        </w:tc>
      </w:tr>
      <w:tr w:rsidR="00AE1E85" w:rsidRPr="00AE1E85" w14:paraId="4BC0EF1D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616060EB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 250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49730BA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5D9328A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37" w:type="pct"/>
            <w:vAlign w:val="center"/>
            <w:hideMark/>
          </w:tcPr>
          <w:p w14:paraId="718AD1A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16,0-34,5</w:t>
            </w:r>
          </w:p>
        </w:tc>
        <w:tc>
          <w:tcPr>
            <w:tcW w:w="736" w:type="pct"/>
            <w:vAlign w:val="center"/>
            <w:hideMark/>
          </w:tcPr>
          <w:p w14:paraId="759AB93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24,4</w:t>
            </w:r>
          </w:p>
        </w:tc>
      </w:tr>
      <w:tr w:rsidR="00AE1E85" w:rsidRPr="00AE1E85" w14:paraId="3B173A37" w14:textId="77777777" w:rsidTr="005E46C8">
        <w:trPr>
          <w:trHeight w:val="170"/>
        </w:trPr>
        <w:tc>
          <w:tcPr>
            <w:tcW w:w="2069" w:type="pct"/>
            <w:vAlign w:val="center"/>
            <w:hideMark/>
          </w:tcPr>
          <w:p w14:paraId="43A20DEB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до 300 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о</w:t>
            </w: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729" w:type="pct"/>
            <w:vAlign w:val="center"/>
            <w:hideMark/>
          </w:tcPr>
          <w:p w14:paraId="3AFCB6C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  <w:hideMark/>
          </w:tcPr>
          <w:p w14:paraId="0BFDCCC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37" w:type="pct"/>
            <w:vAlign w:val="center"/>
            <w:hideMark/>
          </w:tcPr>
          <w:p w14:paraId="22A60D9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28,0-65,6</w:t>
            </w:r>
          </w:p>
        </w:tc>
        <w:tc>
          <w:tcPr>
            <w:tcW w:w="736" w:type="pct"/>
            <w:vAlign w:val="center"/>
            <w:hideMark/>
          </w:tcPr>
          <w:p w14:paraId="57643A2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</w:tr>
    </w:tbl>
    <w:p w14:paraId="0521203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По состоянию на 01.08.2025 г. общий фонд пробуренных скважин на месторождении Северное Придорожное составляет 10 единиц. Распределение фонда скважин представлено в таблице 3.2.</w:t>
      </w:r>
    </w:p>
    <w:p w14:paraId="62DE3F8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Таблица 1.5. – Фонд скважин м.р. Северное Придорожное по состоянию на 01.08.2025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841"/>
        <w:gridCol w:w="4064"/>
        <w:gridCol w:w="654"/>
      </w:tblGrid>
      <w:tr w:rsidR="00AE1E85" w:rsidRPr="00AE1E85" w14:paraId="2936F447" w14:textId="77777777" w:rsidTr="005E46C8">
        <w:trPr>
          <w:trHeight w:val="283"/>
        </w:trPr>
        <w:tc>
          <w:tcPr>
            <w:tcW w:w="424" w:type="pct"/>
            <w:vAlign w:val="center"/>
            <w:hideMark/>
          </w:tcPr>
          <w:p w14:paraId="03377AC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07291497"/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059" w:type="pct"/>
            <w:noWrap/>
            <w:vAlign w:val="center"/>
            <w:hideMark/>
          </w:tcPr>
          <w:p w14:paraId="026D02C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Фонд</w:t>
            </w:r>
          </w:p>
        </w:tc>
        <w:tc>
          <w:tcPr>
            <w:tcW w:w="2178" w:type="pct"/>
            <w:vAlign w:val="center"/>
            <w:hideMark/>
          </w:tcPr>
          <w:p w14:paraId="2B0F41E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Номера скважин</w:t>
            </w:r>
          </w:p>
        </w:tc>
        <w:tc>
          <w:tcPr>
            <w:tcW w:w="339" w:type="pct"/>
            <w:vAlign w:val="center"/>
            <w:hideMark/>
          </w:tcPr>
          <w:p w14:paraId="0360876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Кол-во</w:t>
            </w:r>
          </w:p>
        </w:tc>
      </w:tr>
      <w:tr w:rsidR="00AE1E85" w:rsidRPr="00AE1E85" w14:paraId="669CA2F4" w14:textId="77777777" w:rsidTr="005E46C8">
        <w:trPr>
          <w:trHeight w:val="283"/>
        </w:trPr>
        <w:tc>
          <w:tcPr>
            <w:tcW w:w="424" w:type="pct"/>
            <w:noWrap/>
            <w:vAlign w:val="center"/>
            <w:hideMark/>
          </w:tcPr>
          <w:p w14:paraId="3C45FF5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9" w:type="pct"/>
            <w:vAlign w:val="center"/>
            <w:hideMark/>
          </w:tcPr>
          <w:p w14:paraId="646090C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Эксплуатационный фонд, в том числе:</w:t>
            </w:r>
          </w:p>
        </w:tc>
        <w:tc>
          <w:tcPr>
            <w:tcW w:w="2178" w:type="pct"/>
            <w:vAlign w:val="center"/>
            <w:hideMark/>
          </w:tcPr>
          <w:p w14:paraId="679E1D2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3, 4, 13, 51 </w:t>
            </w:r>
          </w:p>
        </w:tc>
        <w:tc>
          <w:tcPr>
            <w:tcW w:w="339" w:type="pct"/>
            <w:vAlign w:val="center"/>
            <w:hideMark/>
          </w:tcPr>
          <w:p w14:paraId="37D0F6E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AE1E85" w:rsidRPr="00AE1E85" w14:paraId="568F1F0A" w14:textId="77777777" w:rsidTr="005E46C8">
        <w:trPr>
          <w:trHeight w:val="283"/>
        </w:trPr>
        <w:tc>
          <w:tcPr>
            <w:tcW w:w="424" w:type="pct"/>
            <w:noWrap/>
            <w:vAlign w:val="center"/>
            <w:hideMark/>
          </w:tcPr>
          <w:p w14:paraId="22245CD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2059" w:type="pct"/>
            <w:noWrap/>
            <w:vAlign w:val="center"/>
            <w:hideMark/>
          </w:tcPr>
          <w:p w14:paraId="680A2A5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Действующие</w:t>
            </w:r>
          </w:p>
        </w:tc>
        <w:tc>
          <w:tcPr>
            <w:tcW w:w="2178" w:type="pct"/>
            <w:vAlign w:val="center"/>
            <w:hideMark/>
          </w:tcPr>
          <w:p w14:paraId="69068EE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9" w:type="pct"/>
            <w:vAlign w:val="center"/>
            <w:hideMark/>
          </w:tcPr>
          <w:p w14:paraId="3BA57BE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AE1E85" w:rsidRPr="00AE1E85" w14:paraId="1910633F" w14:textId="77777777" w:rsidTr="005E46C8">
        <w:trPr>
          <w:trHeight w:val="283"/>
        </w:trPr>
        <w:tc>
          <w:tcPr>
            <w:tcW w:w="424" w:type="pct"/>
            <w:noWrap/>
            <w:vAlign w:val="center"/>
            <w:hideMark/>
          </w:tcPr>
          <w:p w14:paraId="4BA69F7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2059" w:type="pct"/>
            <w:noWrap/>
            <w:vAlign w:val="center"/>
            <w:hideMark/>
          </w:tcPr>
          <w:p w14:paraId="52409A7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Бездействующие</w:t>
            </w:r>
          </w:p>
        </w:tc>
        <w:tc>
          <w:tcPr>
            <w:tcW w:w="2178" w:type="pct"/>
            <w:vAlign w:val="center"/>
            <w:hideMark/>
          </w:tcPr>
          <w:p w14:paraId="1372488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3, 4, 51</w:t>
            </w:r>
          </w:p>
        </w:tc>
        <w:tc>
          <w:tcPr>
            <w:tcW w:w="339" w:type="pct"/>
            <w:vAlign w:val="center"/>
            <w:hideMark/>
          </w:tcPr>
          <w:p w14:paraId="22545A1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AE1E85" w:rsidRPr="00AE1E85" w14:paraId="2AAB86C7" w14:textId="77777777" w:rsidTr="005E46C8">
        <w:trPr>
          <w:trHeight w:val="283"/>
        </w:trPr>
        <w:tc>
          <w:tcPr>
            <w:tcW w:w="424" w:type="pct"/>
            <w:noWrap/>
            <w:vAlign w:val="center"/>
            <w:hideMark/>
          </w:tcPr>
          <w:p w14:paraId="24BC214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1.3</w:t>
            </w:r>
          </w:p>
        </w:tc>
        <w:tc>
          <w:tcPr>
            <w:tcW w:w="2059" w:type="pct"/>
            <w:noWrap/>
            <w:vAlign w:val="center"/>
            <w:hideMark/>
          </w:tcPr>
          <w:p w14:paraId="6055A63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 процессе КРС</w:t>
            </w:r>
          </w:p>
        </w:tc>
        <w:tc>
          <w:tcPr>
            <w:tcW w:w="2178" w:type="pct"/>
            <w:vAlign w:val="center"/>
            <w:hideMark/>
          </w:tcPr>
          <w:p w14:paraId="50D75F4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39" w:type="pct"/>
            <w:vAlign w:val="center"/>
            <w:hideMark/>
          </w:tcPr>
          <w:p w14:paraId="716E2C6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AE1E85" w:rsidRPr="00AE1E85" w14:paraId="540BB161" w14:textId="77777777" w:rsidTr="005E46C8">
        <w:trPr>
          <w:trHeight w:val="283"/>
        </w:trPr>
        <w:tc>
          <w:tcPr>
            <w:tcW w:w="424" w:type="pct"/>
            <w:noWrap/>
            <w:vAlign w:val="center"/>
            <w:hideMark/>
          </w:tcPr>
          <w:p w14:paraId="115E3BD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1.4</w:t>
            </w:r>
          </w:p>
        </w:tc>
        <w:tc>
          <w:tcPr>
            <w:tcW w:w="2059" w:type="pct"/>
            <w:noWrap/>
            <w:vAlign w:val="center"/>
            <w:hideMark/>
          </w:tcPr>
          <w:p w14:paraId="672B504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 консервации (ожидание КРС)</w:t>
            </w:r>
          </w:p>
        </w:tc>
        <w:tc>
          <w:tcPr>
            <w:tcW w:w="2178" w:type="pct"/>
            <w:vAlign w:val="center"/>
            <w:hideMark/>
          </w:tcPr>
          <w:p w14:paraId="03B34FB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D</w:t>
            </w: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, 14, 50, 52</w:t>
            </w:r>
          </w:p>
        </w:tc>
        <w:tc>
          <w:tcPr>
            <w:tcW w:w="339" w:type="pct"/>
            <w:vAlign w:val="center"/>
            <w:hideMark/>
          </w:tcPr>
          <w:p w14:paraId="1106FC5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AE1E85" w:rsidRPr="00AE1E85" w14:paraId="22CBD74A" w14:textId="77777777" w:rsidTr="005E46C8">
        <w:trPr>
          <w:trHeight w:val="283"/>
        </w:trPr>
        <w:tc>
          <w:tcPr>
            <w:tcW w:w="424" w:type="pct"/>
            <w:noWrap/>
            <w:vAlign w:val="center"/>
            <w:hideMark/>
          </w:tcPr>
          <w:p w14:paraId="5FA0C84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059" w:type="pct"/>
            <w:vAlign w:val="center"/>
            <w:hideMark/>
          </w:tcPr>
          <w:p w14:paraId="3630372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Ликвидированный фонд</w:t>
            </w:r>
          </w:p>
        </w:tc>
        <w:tc>
          <w:tcPr>
            <w:tcW w:w="2178" w:type="pct"/>
            <w:vAlign w:val="center"/>
            <w:hideMark/>
          </w:tcPr>
          <w:p w14:paraId="72C12B4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5, 12</w:t>
            </w:r>
          </w:p>
        </w:tc>
        <w:tc>
          <w:tcPr>
            <w:tcW w:w="339" w:type="pct"/>
            <w:vAlign w:val="center"/>
            <w:hideMark/>
          </w:tcPr>
          <w:p w14:paraId="77A57D7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AE1E85" w:rsidRPr="00AE1E85" w14:paraId="2CCEB34E" w14:textId="77777777" w:rsidTr="005E46C8">
        <w:trPr>
          <w:trHeight w:val="283"/>
        </w:trPr>
        <w:tc>
          <w:tcPr>
            <w:tcW w:w="4661" w:type="pct"/>
            <w:gridSpan w:val="3"/>
            <w:noWrap/>
            <w:vAlign w:val="center"/>
            <w:hideMark/>
          </w:tcPr>
          <w:p w14:paraId="010EF240" w14:textId="77777777" w:rsidR="00AE1E85" w:rsidRPr="00AE1E85" w:rsidRDefault="00AE1E85" w:rsidP="00AE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Общий фонд</w:t>
            </w:r>
          </w:p>
        </w:tc>
        <w:tc>
          <w:tcPr>
            <w:tcW w:w="339" w:type="pct"/>
            <w:vAlign w:val="center"/>
            <w:hideMark/>
          </w:tcPr>
          <w:p w14:paraId="357035D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</w:tbl>
    <w:bookmarkEnd w:id="0"/>
    <w:p w14:paraId="10C184B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Таблица 1.6. Прогнозные объемы добычи нефти и газа по месторождению на 2026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910"/>
        <w:gridCol w:w="3880"/>
      </w:tblGrid>
      <w:tr w:rsidR="00AE1E85" w:rsidRPr="00AE1E85" w14:paraId="579C280D" w14:textId="77777777" w:rsidTr="005E46C8">
        <w:trPr>
          <w:trHeight w:val="454"/>
        </w:trPr>
        <w:tc>
          <w:tcPr>
            <w:tcW w:w="832" w:type="pct"/>
            <w:vAlign w:val="center"/>
            <w:hideMark/>
          </w:tcPr>
          <w:p w14:paraId="6B0E127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Год</w:t>
            </w:r>
          </w:p>
        </w:tc>
        <w:tc>
          <w:tcPr>
            <w:tcW w:w="2092" w:type="pct"/>
            <w:vAlign w:val="center"/>
            <w:hideMark/>
          </w:tcPr>
          <w:p w14:paraId="15E8185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Добыча нефти, тыс. т</w:t>
            </w:r>
          </w:p>
        </w:tc>
        <w:tc>
          <w:tcPr>
            <w:tcW w:w="2076" w:type="pct"/>
            <w:vAlign w:val="center"/>
            <w:hideMark/>
          </w:tcPr>
          <w:p w14:paraId="03FB37E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Добыча газа, млн м</w:t>
            </w:r>
            <w:r w:rsidRPr="00AE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</w:tr>
      <w:tr w:rsidR="00AE1E85" w:rsidRPr="00AE1E85" w14:paraId="32134A31" w14:textId="77777777" w:rsidTr="005E46C8">
        <w:trPr>
          <w:trHeight w:val="454"/>
        </w:trPr>
        <w:tc>
          <w:tcPr>
            <w:tcW w:w="832" w:type="pct"/>
            <w:noWrap/>
            <w:vAlign w:val="center"/>
            <w:hideMark/>
          </w:tcPr>
          <w:p w14:paraId="1CB96F1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2092" w:type="pct"/>
            <w:noWrap/>
            <w:vAlign w:val="center"/>
          </w:tcPr>
          <w:p w14:paraId="10E77C3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2076" w:type="pct"/>
            <w:noWrap/>
            <w:vAlign w:val="center"/>
          </w:tcPr>
          <w:p w14:paraId="1B94AF3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1,389</w:t>
            </w:r>
          </w:p>
        </w:tc>
      </w:tr>
    </w:tbl>
    <w:p w14:paraId="291218E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 xml:space="preserve">КРС — 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это капитальный ремонт скважин.</w:t>
      </w:r>
      <w:r w:rsidRPr="00AE1E85">
        <w:rPr>
          <w:rFonts w:ascii="Arial" w:eastAsia="Times New Roman" w:hAnsi="Arial" w:cs="Times New Roman"/>
          <w:kern w:val="0"/>
          <w:szCs w:val="20"/>
          <w:lang w:eastAsia="ru-RU"/>
          <w14:ligatures w14:val="none"/>
        </w:rPr>
        <w:t xml:space="preserve"> 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Это вид ремонтных работ, выполняемых в нефтегазовой отрасли для восстановления, улучшения или изменения состояния скважины. КРС относят к наиболее сложным видам ремонта, так как он затрагивает конструкцию и оборудование скважины на значительную глубину.</w:t>
      </w:r>
    </w:p>
    <w:p w14:paraId="3651833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Основные цели:</w:t>
      </w:r>
    </w:p>
    <w:p w14:paraId="702300F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устранение аварий и неисправностей оборудования в скважине;</w:t>
      </w:r>
    </w:p>
    <w:p w14:paraId="09E9AC0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восстановление герметичности обсадных колонн;</w:t>
      </w:r>
    </w:p>
    <w:p w14:paraId="6478379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ликвидация аварийных объектов (обрыв труб, прихват и др.);</w:t>
      </w:r>
    </w:p>
    <w:p w14:paraId="72F89F0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перевод скважины на другой объект (пласт);</w:t>
      </w:r>
    </w:p>
    <w:p w14:paraId="46F991D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увеличение дебита или подготовка к дальнейшей эксплуатации.</w:t>
      </w:r>
    </w:p>
    <w:p w14:paraId="6F5D4EF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График проведения КРС на месторождении Северное Придорожное в 2026 гг.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75"/>
        <w:gridCol w:w="1975"/>
        <w:gridCol w:w="1974"/>
        <w:gridCol w:w="1868"/>
      </w:tblGrid>
      <w:tr w:rsidR="00AE1E85" w:rsidRPr="00AE1E85" w14:paraId="048DD69F" w14:textId="77777777" w:rsidTr="005E46C8">
        <w:trPr>
          <w:trHeight w:val="227"/>
        </w:trPr>
        <w:tc>
          <w:tcPr>
            <w:tcW w:w="846" w:type="pct"/>
            <w:noWrap/>
            <w:vAlign w:val="center"/>
            <w:hideMark/>
          </w:tcPr>
          <w:p w14:paraId="69AAE305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скважины</w:t>
            </w:r>
          </w:p>
        </w:tc>
        <w:tc>
          <w:tcPr>
            <w:tcW w:w="1052" w:type="pct"/>
            <w:noWrap/>
            <w:vAlign w:val="center"/>
            <w:hideMark/>
          </w:tcPr>
          <w:p w14:paraId="5BD424BC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Начало КСР</w:t>
            </w:r>
          </w:p>
        </w:tc>
        <w:tc>
          <w:tcPr>
            <w:tcW w:w="1052" w:type="pct"/>
            <w:noWrap/>
            <w:vAlign w:val="center"/>
            <w:hideMark/>
          </w:tcPr>
          <w:p w14:paraId="74922C0A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Окончание КРС</w:t>
            </w:r>
          </w:p>
        </w:tc>
        <w:tc>
          <w:tcPr>
            <w:tcW w:w="1052" w:type="pct"/>
            <w:noWrap/>
            <w:vAlign w:val="center"/>
            <w:hideMark/>
          </w:tcPr>
          <w:p w14:paraId="26B0837B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Начало освоения</w:t>
            </w:r>
          </w:p>
        </w:tc>
        <w:tc>
          <w:tcPr>
            <w:tcW w:w="996" w:type="pct"/>
            <w:noWrap/>
            <w:vAlign w:val="center"/>
            <w:hideMark/>
          </w:tcPr>
          <w:p w14:paraId="5CB0C54C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Ввод в эксплуатацию</w:t>
            </w:r>
          </w:p>
        </w:tc>
      </w:tr>
      <w:tr w:rsidR="00AE1E85" w:rsidRPr="00AE1E85" w14:paraId="22FE7250" w14:textId="77777777" w:rsidTr="005E46C8">
        <w:trPr>
          <w:trHeight w:val="283"/>
        </w:trPr>
        <w:tc>
          <w:tcPr>
            <w:tcW w:w="846" w:type="pct"/>
            <w:vMerge w:val="restart"/>
            <w:noWrap/>
            <w:vAlign w:val="center"/>
            <w:hideMark/>
          </w:tcPr>
          <w:p w14:paraId="506F355A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Скважина №52</w:t>
            </w:r>
          </w:p>
        </w:tc>
        <w:tc>
          <w:tcPr>
            <w:tcW w:w="1052" w:type="pct"/>
            <w:noWrap/>
            <w:vAlign w:val="center"/>
          </w:tcPr>
          <w:p w14:paraId="555EA240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полугодие 2026</w:t>
            </w:r>
          </w:p>
        </w:tc>
        <w:tc>
          <w:tcPr>
            <w:tcW w:w="1052" w:type="pct"/>
            <w:noWrap/>
            <w:vAlign w:val="center"/>
          </w:tcPr>
          <w:p w14:paraId="2A8341F3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полугодие 2026</w:t>
            </w:r>
          </w:p>
        </w:tc>
        <w:tc>
          <w:tcPr>
            <w:tcW w:w="1052" w:type="pct"/>
            <w:noWrap/>
            <w:vAlign w:val="center"/>
            <w:hideMark/>
          </w:tcPr>
          <w:p w14:paraId="0885D2CF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6" w:type="pct"/>
            <w:noWrap/>
            <w:vAlign w:val="center"/>
            <w:hideMark/>
          </w:tcPr>
          <w:p w14:paraId="10F50646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1E85" w:rsidRPr="00AE1E85" w14:paraId="784D34E7" w14:textId="77777777" w:rsidTr="005E46C8">
        <w:trPr>
          <w:trHeight w:val="283"/>
        </w:trPr>
        <w:tc>
          <w:tcPr>
            <w:tcW w:w="846" w:type="pct"/>
            <w:vMerge/>
            <w:vAlign w:val="center"/>
            <w:hideMark/>
          </w:tcPr>
          <w:p w14:paraId="16743A76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2" w:type="pct"/>
            <w:noWrap/>
            <w:vAlign w:val="center"/>
            <w:hideMark/>
          </w:tcPr>
          <w:p w14:paraId="03F37AB7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2" w:type="pct"/>
            <w:noWrap/>
            <w:vAlign w:val="center"/>
            <w:hideMark/>
          </w:tcPr>
          <w:p w14:paraId="2EB77AA6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2" w:type="pct"/>
            <w:noWrap/>
            <w:vAlign w:val="center"/>
          </w:tcPr>
          <w:p w14:paraId="4FE906AC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полугодие 2026</w:t>
            </w:r>
          </w:p>
        </w:tc>
        <w:tc>
          <w:tcPr>
            <w:tcW w:w="996" w:type="pct"/>
            <w:noWrap/>
            <w:vAlign w:val="center"/>
          </w:tcPr>
          <w:p w14:paraId="39B1E28E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полугодие 2026</w:t>
            </w:r>
          </w:p>
        </w:tc>
      </w:tr>
      <w:tr w:rsidR="00AE1E85" w:rsidRPr="00AE1E85" w14:paraId="19DDCFC5" w14:textId="77777777" w:rsidTr="005E46C8">
        <w:trPr>
          <w:trHeight w:val="283"/>
        </w:trPr>
        <w:tc>
          <w:tcPr>
            <w:tcW w:w="846" w:type="pct"/>
            <w:vMerge w:val="restart"/>
            <w:vAlign w:val="center"/>
          </w:tcPr>
          <w:p w14:paraId="44F38185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Скважина №14</w:t>
            </w:r>
          </w:p>
        </w:tc>
        <w:tc>
          <w:tcPr>
            <w:tcW w:w="1052" w:type="pct"/>
            <w:noWrap/>
            <w:vAlign w:val="center"/>
          </w:tcPr>
          <w:p w14:paraId="4CBCB20B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1-е полугодие 2026</w:t>
            </w:r>
          </w:p>
        </w:tc>
        <w:tc>
          <w:tcPr>
            <w:tcW w:w="1052" w:type="pct"/>
            <w:noWrap/>
            <w:vAlign w:val="center"/>
          </w:tcPr>
          <w:p w14:paraId="7E072AF5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2" w:type="pct"/>
            <w:noWrap/>
            <w:vAlign w:val="center"/>
          </w:tcPr>
          <w:p w14:paraId="7407E679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6" w:type="pct"/>
            <w:noWrap/>
            <w:vAlign w:val="center"/>
          </w:tcPr>
          <w:p w14:paraId="6E219854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1E85" w:rsidRPr="00AE1E85" w14:paraId="73927D48" w14:textId="77777777" w:rsidTr="005E46C8">
        <w:trPr>
          <w:trHeight w:val="283"/>
        </w:trPr>
        <w:tc>
          <w:tcPr>
            <w:tcW w:w="846" w:type="pct"/>
            <w:vMerge/>
            <w:vAlign w:val="center"/>
          </w:tcPr>
          <w:p w14:paraId="6D7878C7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2" w:type="pct"/>
            <w:noWrap/>
            <w:vAlign w:val="center"/>
          </w:tcPr>
          <w:p w14:paraId="41BE5DAF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2" w:type="pct"/>
            <w:noWrap/>
            <w:vAlign w:val="center"/>
          </w:tcPr>
          <w:p w14:paraId="3F1CD1EC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1-е полугодие 2026</w:t>
            </w:r>
          </w:p>
        </w:tc>
        <w:tc>
          <w:tcPr>
            <w:tcW w:w="1052" w:type="pct"/>
            <w:noWrap/>
            <w:vAlign w:val="center"/>
          </w:tcPr>
          <w:p w14:paraId="4FAE3249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1-е полугодие 2026</w:t>
            </w:r>
          </w:p>
        </w:tc>
        <w:tc>
          <w:tcPr>
            <w:tcW w:w="996" w:type="pct"/>
            <w:noWrap/>
            <w:vAlign w:val="center"/>
          </w:tcPr>
          <w:p w14:paraId="68CBF568" w14:textId="77777777" w:rsidR="00AE1E85" w:rsidRPr="00AE1E85" w:rsidRDefault="00AE1E85" w:rsidP="00AE1E8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1-е полугодие 2026</w:t>
            </w:r>
          </w:p>
        </w:tc>
      </w:tr>
    </w:tbl>
    <w:p w14:paraId="55DD1F9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Существующая система сбора и подготовки нефти и газа</w:t>
      </w:r>
    </w:p>
    <w:p w14:paraId="1F11445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Сбор и подготовка нефти и газа на месторождении Северное Придорожное организованы по герметичной централизованной схеме, с учетом технологических, экономических и экологических требований.</w:t>
      </w:r>
    </w:p>
    <w:p w14:paraId="747678D7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Технологический процесс внутрипромыслового сбора, транспорта, замера и подготовки скважинной продукции на месторождении осуществляется следующим образом:</w:t>
      </w:r>
    </w:p>
    <w:p w14:paraId="0006D0C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Нефтегазовая смесь из добывающих скважин по выкидным трубопроводам Ø80 мм за счет избыточного устьевого давления от каждой скважины поступает в блок гребенки (манифольд) на площадке групповой замерной установки (ГЗУ), расположенной на установке сбора и подготовки нефти и газа (УСПНиГ). Путем переключения запорных арматур на манифольде осуществляется поочередный замер суточной добычи каждой скважины с подачей газожидкостной смеси (ГЖС) в замерной нефтегазовый сепаратор ГС-1. Продукция остальных скважин в общем потоке по трубопроводу Ø150 мм направляется в горизонтальные нефтегазовые сепараторы Е-1/Е-2, типа НГС-1,0-3000, для сбора и последующей откачки на подготовку.</w:t>
      </w:r>
    </w:p>
    <w:p w14:paraId="208377A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lastRenderedPageBreak/>
        <w:t xml:space="preserve">Поток ГЖС одной скважины из манифольда, проходя по линии Ø100 мм, поступает в вертикальный нефтегазовый сепаратор ГС-1 для сепарации попутного нефтяного газа. Объем выделившегося из сепаратора ГС-1 попутного нефтяного газа замеряется газовым счетчиком, установленным на линии выхода газа из сепаратора. Объем жидкости замеряется счетчиком жидкости, установленным на линии выхода жидкости из сепаратора ГС-1. После замеров жидкость с газом вновь соединяются в один трубопровод и сырье, объединившись с продукцией остальных скважин, подается на УПН для дальнейшей подготовки.    </w:t>
      </w:r>
    </w:p>
    <w:p w14:paraId="6E92C91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ГЖС от ГЗУ по трубопроводу Ø150 мм поступает в один из 2-х параллельно работающих нефтегазовых сепараторов Е-1/Е-2 типа НГС-1,0-3000, объемом 50 м3 каждый, где осуществляется отделение попутного газа, пластовой воды и механических примесей от нефти. Отделившийся попутный газ через верхние патрубки сепараторов Е-1/Е-2, объединившись в газосборную трубу Ø150 мм, направляется к вертикальному газовому сепаратору ГС-2 типа ГС II-4-1200, находящемуся на площадке установки подготовки газа (УПГ), для очистки газа от углеводородного конденсата и механических примесей. </w:t>
      </w:r>
    </w:p>
    <w:p w14:paraId="103A5DE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Нефть из сепараторов Е-1/Е-2 с помощью поршневых насосов Н-1 и/или Н-2, Н-3 типа НБ-50 проходит через печи подогрева нефти П-1 и/или П-2 типа ПП-0,63, перекачивается в технологические емкости Е-3 и/или Е-4 типа ГЭЭА 1-100, объемом 100 м3 каждый. </w:t>
      </w:r>
    </w:p>
    <w:p w14:paraId="2A30AD2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После откачки жидкости из сепараторов Е-1/Е-2 до минимального рабочего уровня, запорные арматуры на выходе нефти из аппаратов закрываются и производится набор ГЖС. При этом отделившийся от жидкости газ продолжает направляться по схеме на УПГ. </w:t>
      </w:r>
    </w:p>
    <w:p w14:paraId="286F62E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Нефть, набранная в Е-3 (Е-4), подвергается циркуляция по схеме: Е-3 (Е-4) Н-1   (Н-2, Н-3) П-1 (П-2) Е-3 (Е-4) на протяжении 1,5-2 часов. Нефть в П-1 (П-2) нагревается до температуры ~ 60-70 ºС. Циркуляция нефти с нагревом является способом ее подготовки для обезвоживания и обессоливания. При нагреве снижается вязкость нефти, что способствует эффективному разделению воды и солей. Это позволяет каплям воды легче сливаться друг с другом, укрупняться и утяжеляться, и отделяться от нефти за счет большего удельного веса. </w:t>
      </w:r>
    </w:p>
    <w:p w14:paraId="5432C29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После завершения циркуляции, нефть отстаивается в Е-3 (Е-4) в течение 2-2,5 часов, с последующим сбросом подтоварной воды в подземную дренажную емкость ЕД-1. </w:t>
      </w:r>
    </w:p>
    <w:p w14:paraId="3A5FDFF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Далее, после отстоя, из Е-3 (Е-4) производится отбор проб нефти для проведения физико-химических анализов. При положительных результатах нефть с помощью насоса Н-4 типа НБ-125ИЖ перекачивается в товарную емкость Е-5 типа ГЭЭА 1-100, объемом 100 м3. В случае превышения допустимых параметров нефть из Е-3 (Е-4) подвергается повторной подготовке как указано выше.</w:t>
      </w:r>
    </w:p>
    <w:p w14:paraId="0B1EE62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Из емкости Е-5 с помощью насоса Н-4 производится налив товарной нефти в нефтевозы для последующей реализации или транспортировки на Установку сдачи нефти (УСН), находящуюся в10-ти км от месторождения Северное Придорожное. Перед наливом нефть подогревается в печах П-1 (П-2) до температуры ~45-50ºС для поддержания текучести. Налив товарной нефти производится с наливного стояка. Учет количества налитой в нефтевозы товарной нефти производится с помощью корриолисового массомера марки ЭМИС-МАСС 260, установленного в приямке на линии Ø100 мм после печей П-1 (П-2).  </w:t>
      </w:r>
    </w:p>
    <w:p w14:paraId="3B7082E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Параллельно во время процессов подготовки и отгрузки нефти в емкости Е-1 (Е-2) продолжает поступать ГЖС из скважин. Таким образом обеспечивается непрерывный технологический процесс.</w:t>
      </w:r>
    </w:p>
    <w:p w14:paraId="665B4AE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 В настоящее время УСН не эксплуатируется по причине несоответствия приборов узла учета требованиям технических условий АО «КазТрансОйл», а также необходимости немалых капитальных вложений.</w:t>
      </w:r>
    </w:p>
    <w:p w14:paraId="5755A8CE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Фактически нефть реализуется на малотоннажный НПЗ (резидент РК).  </w:t>
      </w:r>
    </w:p>
    <w:p w14:paraId="0C39D0B7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Газ из вертикального газового сепаратора ГС-2 типа ГС II-4-1200 после глубокой осушки используется в качестве топлива для работы печей подогрева нефти и котлов модели «Buran Boiler», предназначенных для подогрева воды, обогрева помещений и других бытовых объектов в вахтовом поселке.</w:t>
      </w:r>
    </w:p>
    <w:p w14:paraId="2108A2D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lastRenderedPageBreak/>
        <w:t>Также на объекте УСПНиГ предусмотрена емкость пожарной воды с подогревом типа ВГУ объемом 50 м3, где осуществляется накопление и подогрев пожарной воды в холодный период года, при отрицательной температуре окружающего воздуха. Топливом для ВГУ является попутный газ.</w:t>
      </w:r>
    </w:p>
    <w:p w14:paraId="635C124E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highlight w:val="yellow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Дренаж из технологических сетей (трубопроводов) и резервуаров поступает в подземную горизонтальную дренажную емкость типа ЕП-16-2000-1-1.</w:t>
      </w:r>
    </w:p>
    <w:p w14:paraId="5E37325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Технологическая схема УСПНиГ Северное Придорожное представлена на рисунке 2. Технологическая схема УСН представлена на рисунке 3.</w:t>
      </w:r>
    </w:p>
    <w:p w14:paraId="06943FE8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Кроме того, на месторождении Северное Придорожное была построена установка подготовки газа (УПГ), предназначенная для подготовки и доведения качества газа до требований СТ РК 1666-2017.</w:t>
      </w:r>
    </w:p>
    <w:p w14:paraId="00644F2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Проектная мощность УПГ составляет 14,892 млн м3/год (40 800 м3/сут).</w:t>
      </w:r>
    </w:p>
    <w:p w14:paraId="233D0A3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УПГ была введена в эксплуатацию в декабре 2007 г. в следующем блочном составе:</w:t>
      </w:r>
    </w:p>
    <w:p w14:paraId="77BCEC2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блок очистки газа от сероводорода (БОГ);</w:t>
      </w:r>
    </w:p>
    <w:p w14:paraId="25BC105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блок осушки газа и регенерации гликоля (БОГиРГ);</w:t>
      </w:r>
    </w:p>
    <w:p w14:paraId="3ACBF62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блок компрессорных станций (БКС);</w:t>
      </w:r>
    </w:p>
    <w:p w14:paraId="3DAE3AF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блок факела совмещенного (БФС);</w:t>
      </w:r>
    </w:p>
    <w:p w14:paraId="6019BE1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- газопровод протяженностью 669 м, Ø150 мм.</w:t>
      </w:r>
    </w:p>
    <w:p w14:paraId="569DA14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Очистка попутного газа от серосодержащих компонентов осуществляется мокрым способом с применением барботажной колонны и жидкого нейтрализатора сероводорода «СульфаКон-103» (формула и химический состав «СульфаКон-103» являются коммерческой тайной производителя). БОГ состоит из барботажной колонны типа БК-1,0-25.00.000, поточного анализатора содержания сероводорода, циркуляционных насосов, печи подогрева нейтрализатора; емкости нейтрализатора и емкости для отработанного раствора.</w:t>
      </w:r>
    </w:p>
    <w:p w14:paraId="78416B2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Процесс очистки газа от серосодержащих компонентов осуществляется следующим образом: попутный газ поступает в нижнюю часть барботажной колонны, которая на 2/3 заполнена жидким нейтрализатором сероводорода. В колонне при тесном контакте газа с нейтрализатором происходит избирательная реакция между ионами сероводорода и активными веществами раствора. Далее очищенный от кислых компонентов газ проходит через поточный анализатор содержания сероводорода в газе и поступает на установку осушки газа гликолем.</w:t>
      </w:r>
    </w:p>
    <w:p w14:paraId="00B96848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Для поддержания температуры в барботажной колонне на уровне +25+30 оС в схеме предусмотрен отбор нейтрализатора с нижней части колонны циркуляционными насосами и подача его через печь подогрева типа УНТ-0,2 в среднюю часть колонны. В результате реакции нейтрализации сероводорода образуются водорастворимые соединения, которые классифицируются как полисульфиды.</w:t>
      </w:r>
    </w:p>
    <w:p w14:paraId="63E237D8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Осушка попутного газа на УПГ осуществляется методом абсорбции с применением в качестве поглотителя влаги триэтиленгликоля (ТЭГ). Содержание влаги в попутном газе до осушки составляет порядка 6,5 гр./м3 газа. После осушки газ практически сухой.</w:t>
      </w:r>
    </w:p>
    <w:p w14:paraId="7885415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БОГиРГ состоит из скруббера, абсорбционной колонны, теплообменника «гликоль-газ», фильтра, насосов откачки насыщенного ТЭГ, уравнительного резервуара-теплообменника, сепаратора, ребойлера с регенерационной колонной, насосов откачки регенерированного ТЭГ и дренажной системы.</w:t>
      </w:r>
    </w:p>
    <w:p w14:paraId="2B27C2A7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Технологический процесс осуществляется следующим образом: очищенный газ с блока очистки потоком I поступает в скруббер (газосепаратор). В скруббере при рабочем давлении 0,2-0,4 МПа отделяется капельная жидкость от газового потока. Газ пропускается снизу вверх через каплеуловитель в контактную секцию тарелок абсорбционной колонны. В абсорбционной колонне газ движется навстречу потоку II регенерированного раствора гликоля (ТЭГ) и осушаясь выходит потоком III сверху абсорбционной колонны. Далее осушенный газ через трубчатый теплообменник «гликоль-газ» подается для использования на собственные нужды промысла, а избыток – на прием модульной компрессорной станции для сдачи потребителю.</w:t>
      </w:r>
    </w:p>
    <w:p w14:paraId="2F634ED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Насыщенный влагой ТЭГ потоком IV отводится из нижней части колонны, проходит через фильтр и насосами откачки насыщенного ТЭГ АЦМС 2-40 подается в змеевик уравнительного резервуара-теплообменника, где подогревается путем обменом тепла с регенерированным ТЭГ. Затем подогретый, насыщенный влагой ТЭГ из змеевика 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lastRenderedPageBreak/>
        <w:t>резервуара-теплообменника поступает в сепаратор низкого давления, где при рабочем давлении 0,07 МПа протекает отделение от ТЭГ унесенного растворенного газа.</w:t>
      </w:r>
    </w:p>
    <w:p w14:paraId="0FD3931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Далее дегазированный поток насыщенного влагой ТЭГ поступает в ребойлер через нижнюю часть колонны, где подогревается до температуры 180-200 ºС. За счет поддержания высокой температуры в ребойлере из потока насыщенного влагой ТЭГ выпаривается поглощенная влага, которая отводится в виде пара с верха регенерационной колонны. Регенерированный ТЭГ потоком V из сборника ребойлера отводится в уравнительный резервуар-теплообменник, где отдает часть тепла насыщенному влагой ТЭГ, и насосами откачки регенерированного ТЭГ АЦМС 2-50 через теплообменник «гликоль-газ» подается наверх абсорбера.</w:t>
      </w:r>
    </w:p>
    <w:p w14:paraId="42BE100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 блоке осушки газа предусмотрена дренажная система замкнутого цикла, по которой, в случае проведения ремонтных и профилактических работ, осуществляется слив ТЭГ из технологического оборудования в подземную горизонтальную дренажную емкость типа ЕП-16-2000-1-1, откуда по мере заполнения ТЭГ возвращается в цикл погружным насосом на вход змеевика уравнительного резервуара теплообменника или откачивается передвижными средствами.</w:t>
      </w:r>
    </w:p>
    <w:p w14:paraId="1078B08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Для подачи газа в магистральный газопровод «Жанаозен-Актау», оператором которого является АО «ИЦА» (АО «НК «QazaqGaz»), проложен газопровод Ø 150 мм протяженностью 669 м. Газ в газопровод подается под давлением 1,5-1,7 МПа (в зависимости от рабочего давления в магистральном газопроводе) после компримирования на блочной компрессорной станции МКС-1, 2.</w:t>
      </w:r>
    </w:p>
    <w:p w14:paraId="0118434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Очищенный и осушенный газ на компрессорную станцию подается из технологического узла учета газа (ТУУГ) после УПГ по трубопроводу Ø159 мм с давлением 0,2-0,3 МПа. Из коллектора Ø150 мм газ поступает в буферную емкость всасывающей линии компрессора. Для охлаждения во время компримирования газ проходит через газоохладитель межступенчатый. На выходе из модульной компрессорной станции газ охлаждается в концевых охладителях АВО до температуры 20-30 °С. Выделившийся при сжатии и охлаждении конденсат накапливается в баке продувок высокого давления и периодически под давлением 1,5-2,0 МПа направляется в начало процесса подготовки нефти.</w:t>
      </w:r>
    </w:p>
    <w:p w14:paraId="1AD971F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Технологические схемы установки очистки газа и блока осушки газа и регенерации гликоля представлены на рисунках 4-5.</w:t>
      </w:r>
    </w:p>
    <w:p w14:paraId="22F566D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 связи с тем, что с 2017 г. месторождение Северное Придорожное находилось в консервации, установки подготовки газа к реализации в магистральный газопровод также были выведены в консервацию и по состоянию на дату разработки настоящей Программы не эксплуатируются.</w:t>
      </w:r>
    </w:p>
    <w:p w14:paraId="3B77639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Весь объем добываемого попутного газа после сепарации используется для собственных нужд в качестве топлива для подогревателей нефти и отопления вахтового поселка. Сброс газа на факел предусмотрен только в объемах технологически неизбежного сжигания. Учет газа ведется с помощью автоматизированных расходомеров.</w:t>
      </w:r>
    </w:p>
    <w:p w14:paraId="6E3393DE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sectPr w:rsidR="00AE1E85" w:rsidRPr="00AE1E85" w:rsidSect="00AE1E85">
          <w:footerReference w:type="default" r:id="rId5"/>
          <w:pgSz w:w="11906" w:h="16840" w:code="9"/>
          <w:pgMar w:top="1134" w:right="851" w:bottom="1134" w:left="1701" w:header="624" w:footer="709" w:gutter="0"/>
          <w:cols w:space="708"/>
          <w:docGrid w:linePitch="360"/>
        </w:sect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Вся система сбора и подготовки работает в автоматизированном режиме, с минимальным участием обслуживающего персонала, что позволяет эффективно управлять процессами и минимизировать воздействие на окружающую среду.</w:t>
      </w:r>
    </w:p>
    <w:p w14:paraId="4BBC9A3E" w14:textId="21890E20" w:rsidR="00AE1E85" w:rsidRPr="00AE1E85" w:rsidRDefault="00AE1E85" w:rsidP="00AE1E85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1769991E" wp14:editId="61DE2046">
            <wp:extent cx="5939790" cy="3170555"/>
            <wp:effectExtent l="0" t="0" r="3810" b="0"/>
            <wp:docPr id="1573074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1A4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</w:p>
    <w:p w14:paraId="56DA38BB" w14:textId="77777777" w:rsidR="00AE1E85" w:rsidRPr="00AE1E85" w:rsidRDefault="00AE1E85" w:rsidP="00AE1E8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  <w:t>Рисунок 2 - Технологическая схема УСПНиГ Северное Придорожное</w:t>
      </w:r>
    </w:p>
    <w:p w14:paraId="0CBF4736" w14:textId="77777777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</w:p>
    <w:p w14:paraId="211B9DF6" w14:textId="77777777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</w:p>
    <w:p w14:paraId="3B87BAD0" w14:textId="46101E7E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  <w:r w:rsidRPr="00AE1E8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4923CCD8" wp14:editId="19CC1A0D">
            <wp:extent cx="5939790" cy="3463925"/>
            <wp:effectExtent l="0" t="0" r="3810" b="3175"/>
            <wp:docPr id="16573163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5" t="17276" r="7921" b="14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8C3C" w14:textId="77777777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  <w:t>Рисунок 3. - Технологическая схема УСН Северное Придорожное</w:t>
      </w:r>
    </w:p>
    <w:p w14:paraId="390ECF5C" w14:textId="77777777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</w:p>
    <w:p w14:paraId="0835D60A" w14:textId="77777777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</w:p>
    <w:p w14:paraId="1460FA67" w14:textId="65585331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  <w:r w:rsidRPr="00AE1E8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7D76561A" wp14:editId="7D3E97F3">
            <wp:extent cx="5939790" cy="3980180"/>
            <wp:effectExtent l="0" t="0" r="3810" b="1270"/>
            <wp:docPr id="5089760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39903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7" t="15520" r="7756" b="1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00CE" w14:textId="77777777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  <w:t>Рисунок 4 - Технологическая схема системы очистки газа от серосодержащих компонентов</w:t>
      </w:r>
    </w:p>
    <w:p w14:paraId="41F2D24D" w14:textId="03A6B708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</w:pPr>
      <w:r w:rsidRPr="00AE1E8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3FD22945" wp14:editId="4B7286B5">
            <wp:extent cx="5939790" cy="3431540"/>
            <wp:effectExtent l="0" t="0" r="3810" b="0"/>
            <wp:docPr id="1434074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40235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4" t="14348" r="7838" b="19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AA4B" w14:textId="77777777" w:rsidR="00AE1E85" w:rsidRPr="00AE1E85" w:rsidRDefault="00AE1E85" w:rsidP="00AE1E85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  <w:sectPr w:rsidR="00AE1E85" w:rsidRPr="00AE1E85" w:rsidSect="00AE1E85">
          <w:pgSz w:w="16840" w:h="11906" w:orient="landscape" w:code="9"/>
          <w:pgMar w:top="1701" w:right="1134" w:bottom="851" w:left="1134" w:header="624" w:footer="709" w:gutter="0"/>
          <w:cols w:space="708"/>
          <w:docGrid w:linePitch="360"/>
        </w:sectPr>
      </w:pPr>
      <w:r w:rsidRPr="00AE1E85">
        <w:rPr>
          <w:rFonts w:ascii="Arial" w:eastAsia="Times New Roman" w:hAnsi="Arial" w:cs="Arial"/>
          <w:b/>
          <w:i/>
          <w:kern w:val="0"/>
          <w:u w:val="single"/>
          <w:lang w:eastAsia="ru-RU"/>
          <w14:ligatures w14:val="none"/>
        </w:rPr>
        <w:t>Рисунок 5. - Технологическая схема системы осушки газа и регенерации гликоля</w:t>
      </w:r>
    </w:p>
    <w:p w14:paraId="4BE3BC50" w14:textId="77777777" w:rsidR="00AE1E85" w:rsidRPr="00AE1E85" w:rsidRDefault="00AE1E85" w:rsidP="00AE1E85">
      <w:pPr>
        <w:keepNext/>
        <w:spacing w:after="0" w:line="240" w:lineRule="auto"/>
        <w:ind w:firstLine="709"/>
        <w:jc w:val="both"/>
        <w:outlineLvl w:val="1"/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</w:pPr>
      <w:bookmarkStart w:id="1" w:name="_Toc305492360"/>
      <w:bookmarkStart w:id="2" w:name="_Toc71153678"/>
      <w:r w:rsidRPr="00AE1E85"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  <w:lastRenderedPageBreak/>
        <w:t>3.2. Общая характеристика источников выбросов загрязняющих веществ в атмосферный воздух</w:t>
      </w:r>
      <w:bookmarkEnd w:id="1"/>
      <w:bookmarkEnd w:id="2"/>
      <w:r w:rsidRPr="00AE1E85"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  <w:t xml:space="preserve"> </w:t>
      </w:r>
    </w:p>
    <w:p w14:paraId="7ABC245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bookmarkStart w:id="3" w:name="_Toc305492361"/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Для выявления источников загрязнения атмосферы проведена инвентаризация источников выбросов, получены и систематизированы сведения о составе и количестве промышленных выбросов, выделены потенциальные источники загрязнения. </w:t>
      </w:r>
    </w:p>
    <w:p w14:paraId="1ECA672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Качественные и количественные характеристики выбросов вредных веществ определены расчетным методом по утвержденным методикам. </w:t>
      </w:r>
    </w:p>
    <w:p w14:paraId="55E35B3E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Нумерация для стационарных источников выбросов на месторождении </w:t>
      </w:r>
      <w:bookmarkStart w:id="4" w:name="_Hlk210233462"/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Северное Придорожное</w:t>
      </w:r>
      <w:bookmarkEnd w:id="4"/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 xml:space="preserve"> 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принята: </w:t>
      </w:r>
    </w:p>
    <w:p w14:paraId="0E3035D7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по организованным – например 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sym w:font="Symbol" w:char="F02D"/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 0001;</w:t>
      </w:r>
    </w:p>
    <w:p w14:paraId="6A8E243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по неорганизованным – например 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sym w:font="Symbol" w:char="F02D"/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 6001.</w:t>
      </w:r>
    </w:p>
    <w:p w14:paraId="6A0F3048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bookmarkStart w:id="5" w:name="_Hlk52963748"/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Основные источники воздействия на окружающую среду при экплуатации</w:t>
      </w:r>
    </w:p>
    <w:p w14:paraId="63BC3B1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7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7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 источника выбросов, в том числе:</w:t>
      </w:r>
    </w:p>
    <w:p w14:paraId="47346BC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организованных источников – 34 единиц;</w:t>
      </w:r>
    </w:p>
    <w:p w14:paraId="41186E0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неорганизованных источников – 4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3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 единиц.</w:t>
      </w:r>
    </w:p>
    <w:p w14:paraId="6141616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bookmarkStart w:id="6" w:name="_Hlk209696408"/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Основными источниками загрязнения атмосферного воздуха в период разработки месторождения Северное Придорожное в 2026 г. являются.</w:t>
      </w:r>
    </w:p>
    <w:p w14:paraId="2443618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Площадка скважин</w:t>
      </w:r>
    </w:p>
    <w:p w14:paraId="4800293E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Неорганизованные источники</w:t>
      </w:r>
    </w:p>
    <w:p w14:paraId="493AFCC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устья скважины №3 - источник №6001;</w:t>
      </w:r>
    </w:p>
    <w:p w14:paraId="77001C2E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устья скважины №4 - источник №6002;</w:t>
      </w:r>
    </w:p>
    <w:p w14:paraId="5A46124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устья скважины №13 - источник №6003;</w:t>
      </w:r>
    </w:p>
    <w:p w14:paraId="4D37706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устья скважины №12Д - источник №6004;</w:t>
      </w:r>
    </w:p>
    <w:p w14:paraId="62E0E88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устья скважины №50 - источник №6005;</w:t>
      </w:r>
    </w:p>
    <w:p w14:paraId="69446DB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устья скважины №51 - источник №6006;</w:t>
      </w:r>
    </w:p>
    <w:p w14:paraId="0131B89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устья скважины №52 - источник №6007.</w:t>
      </w:r>
    </w:p>
    <w:p w14:paraId="6B83015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Площадка ГЗУ</w:t>
      </w:r>
    </w:p>
    <w:p w14:paraId="1BD694C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Организованные источники</w:t>
      </w:r>
    </w:p>
    <w:p w14:paraId="1216BAE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Печь подогрева нефти ПП-0,63 № 1- источник №0001;</w:t>
      </w:r>
    </w:p>
    <w:p w14:paraId="0D0D58F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Свеча печи подогрева нефти ПП-0,63 - источник №0002;</w:t>
      </w:r>
    </w:p>
    <w:p w14:paraId="541A807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Печь подогрева нефти ПП-0,63 № 2- источник №0003;</w:t>
      </w:r>
    </w:p>
    <w:p w14:paraId="17BEA6A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Свеча печи подогрева нефти ПП-0,63 - источник №0004;</w:t>
      </w:r>
    </w:p>
    <w:p w14:paraId="080B22B8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Дренажная емкость, V-8 м3 - источник №0005;</w:t>
      </w:r>
    </w:p>
    <w:p w14:paraId="2E3F911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Стояк налива нефти - источник №0006;</w:t>
      </w:r>
    </w:p>
    <w:p w14:paraId="57AEB5B7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Факельная установка - источник №0007 (сжигание газа на факеле предусматривается только технологически неизбежное сжигание сырого газа (Vv) - при эксплуатации оборудования (V7), при пуско-наладочных работах (V6), при планово- профил. работах (V8)).</w:t>
      </w:r>
    </w:p>
    <w:p w14:paraId="647DFF7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Неорганизованные источники</w:t>
      </w:r>
    </w:p>
    <w:p w14:paraId="50BDD40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Насос нефти - источник №6008;</w:t>
      </w:r>
    </w:p>
    <w:p w14:paraId="1D7C67B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Насос нефти - источник №6009;</w:t>
      </w:r>
    </w:p>
    <w:p w14:paraId="48A48AE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Насос нефти - источник №6010;</w:t>
      </w:r>
    </w:p>
    <w:p w14:paraId="6B71F0E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Насос нефти - источник №6011;</w:t>
      </w:r>
    </w:p>
    <w:p w14:paraId="0D3382B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замерной установки №6012 (ЗРА и ФС);</w:t>
      </w:r>
    </w:p>
    <w:p w14:paraId="0C2B8F1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замерного трапа №6013 (ЗРА и ФС);</w:t>
      </w:r>
    </w:p>
    <w:p w14:paraId="7E1E081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печи подогрева нефти - источник №6014 (ЗРА и ФС);</w:t>
      </w:r>
    </w:p>
    <w:p w14:paraId="6128B81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горизонтального нефтегазового сепаратора - источник №6015 (ЗРА и ФС);</w:t>
      </w:r>
    </w:p>
    <w:p w14:paraId="722C0A1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горизонтальных резервуаров - источник №6016 (ЗРА и ФС);</w:t>
      </w:r>
    </w:p>
    <w:p w14:paraId="1E8B571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насосов нефти - источник №6017 (ЗРА и ФС);</w:t>
      </w:r>
    </w:p>
    <w:p w14:paraId="6297EAD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дренажной емкости - источник №6018 (ЗРА и ФС);</w:t>
      </w:r>
    </w:p>
    <w:p w14:paraId="7918EE67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стояка налива нефти - источник №6019 (ЗРА и ФС);</w:t>
      </w:r>
    </w:p>
    <w:p w14:paraId="4C7EDD6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вертикального газового сепаратора - источник №6020 (ЗРА и ФС);</w:t>
      </w:r>
    </w:p>
    <w:p w14:paraId="39FFA4B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факела - источник №6021 (ЗРА и ФС).</w:t>
      </w:r>
    </w:p>
    <w:p w14:paraId="1F5F999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Площадка УСПНиГ</w:t>
      </w:r>
    </w:p>
    <w:p w14:paraId="3194E34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Организованные источники</w:t>
      </w:r>
    </w:p>
    <w:p w14:paraId="37E0841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Стояк налива нефти - источник №0008;</w:t>
      </w:r>
    </w:p>
    <w:p w14:paraId="3B3964D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lastRenderedPageBreak/>
        <w:t>Резервуар РГС - источник №0009;</w:t>
      </w:r>
    </w:p>
    <w:p w14:paraId="23DF56B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Резервуар РГС - источник №0010;</w:t>
      </w:r>
    </w:p>
    <w:p w14:paraId="4A0D871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Резервуар РГС - источник №0011;</w:t>
      </w:r>
    </w:p>
    <w:p w14:paraId="0403449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Дренадная емкость - источник №0012;</w:t>
      </w:r>
    </w:p>
    <w:p w14:paraId="0C6AE4D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Дренадная емкость - источник №0013;</w:t>
      </w:r>
    </w:p>
    <w:p w14:paraId="7BD8F3D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Печь подогрева нефти УН 0,2  - источник №0014;</w:t>
      </w:r>
    </w:p>
    <w:p w14:paraId="4D0FC87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Продувочная свеча печи - источник №0015;</w:t>
      </w:r>
    </w:p>
    <w:p w14:paraId="71894D3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Водогрейная установка - источник №0016;</w:t>
      </w:r>
    </w:p>
    <w:p w14:paraId="3B646A0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Котел общежитие - источник №0017;</w:t>
      </w:r>
    </w:p>
    <w:p w14:paraId="1645A01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Котел столовая - источник №0018;</w:t>
      </w:r>
    </w:p>
    <w:p w14:paraId="081B2F48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Дренажная емкость 8м3 - источник №0019.</w:t>
      </w:r>
    </w:p>
    <w:p w14:paraId="15F194F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Котел офис - источник №0020;</w:t>
      </w:r>
    </w:p>
    <w:p w14:paraId="6FED210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Печь подогрева нефти УН 0,2 - №0021;</w:t>
      </w:r>
    </w:p>
    <w:p w14:paraId="7718B3B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Печь подогрева нефти УН 0,2 - №0022;</w:t>
      </w:r>
    </w:p>
    <w:p w14:paraId="09B3CA9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Печь подогрева нефти УН 0,2 - №0023;</w:t>
      </w:r>
    </w:p>
    <w:p w14:paraId="51703C4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Печь подогрева нефти УН 0,2 - №0024;</w:t>
      </w:r>
    </w:p>
    <w:p w14:paraId="59C6455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Продувочная свеча печи - №0025-0028;</w:t>
      </w:r>
    </w:p>
    <w:p w14:paraId="265E0B1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ДЭС 400 кВт - №0029 (аварийный);</w:t>
      </w:r>
    </w:p>
    <w:p w14:paraId="00DD5DD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ДЭС 100 кВт - №0030 (аварийный);</w:t>
      </w:r>
    </w:p>
    <w:p w14:paraId="476494DB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Горелка ребойлера - №0031.</w:t>
      </w:r>
    </w:p>
    <w:p w14:paraId="78AF7A6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Неорганизованные источники</w:t>
      </w:r>
    </w:p>
    <w:p w14:paraId="7EF8062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Насос нефти - источник №6022;</w:t>
      </w:r>
    </w:p>
    <w:p w14:paraId="0C11EC41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Насос нефти - источник №6023;</w:t>
      </w:r>
    </w:p>
    <w:p w14:paraId="26A12F7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Насос нефти - источник №6024;</w:t>
      </w:r>
    </w:p>
    <w:p w14:paraId="10A798E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узла учета нефти №6025 (ЗРА и ФС);</w:t>
      </w:r>
    </w:p>
    <w:p w14:paraId="08A12B7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прубера подогрева нефти №6026 (ЗРА и ФС);</w:t>
      </w:r>
    </w:p>
    <w:p w14:paraId="2A0C1B8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печи подогрева нефти №6027 (ЗРА и ФС);</w:t>
      </w:r>
    </w:p>
    <w:p w14:paraId="2D894B4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дренажной емкости №6028 (ЗРА и ФС);</w:t>
      </w:r>
    </w:p>
    <w:p w14:paraId="0719F44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горизонтальных резервуаров №6029 (ЗРА и ФС);</w:t>
      </w:r>
    </w:p>
    <w:p w14:paraId="09BE2470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насосов нефти №6030 (ЗРА и ФС);</w:t>
      </w:r>
    </w:p>
    <w:p w14:paraId="5E8896D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дренажной емкости №6031 (ЗРА и ФС);</w:t>
      </w:r>
    </w:p>
    <w:p w14:paraId="390F416C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стояка налива нефти №6032 (ЗРА и ФС);</w:t>
      </w:r>
    </w:p>
    <w:p w14:paraId="194D901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Площадка очистки газа от серосодержащих компонентов №6033 (ЗРА и ФС);</w:t>
      </w:r>
    </w:p>
    <w:p w14:paraId="4F9EBE77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Площадка системы осушки газа и регенерации гликоля №6034 (ЗРА и ФС). </w:t>
      </w:r>
    </w:p>
    <w:p w14:paraId="17FDC6D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Регулятор давления 21С10 НЖ (2 ед.) – 6035;</w:t>
      </w:r>
    </w:p>
    <w:p w14:paraId="7DC1868F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Узлы газа ДУ-150 Ру40, Ру1,6 – 6036.</w:t>
      </w:r>
    </w:p>
    <w:p w14:paraId="04540A1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При капитальном ремонте скважин:</w:t>
      </w:r>
    </w:p>
    <w:p w14:paraId="27141529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Организованные источники</w:t>
      </w:r>
    </w:p>
    <w:p w14:paraId="487C829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Подъемный агрегат – номер источника 0032;</w:t>
      </w:r>
    </w:p>
    <w:p w14:paraId="6BAA934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Подъемный агрегат – номер источника 0033;</w:t>
      </w:r>
    </w:p>
    <w:p w14:paraId="09E0DC0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Цементировочный агрегат ЦА-320 – номер источника 0034;</w:t>
      </w:r>
    </w:p>
    <w:p w14:paraId="12655B66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Неорганизованные источники</w:t>
      </w:r>
    </w:p>
    <w:p w14:paraId="557018A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Работа автокрана – номер источника 6037;</w:t>
      </w:r>
    </w:p>
    <w:p w14:paraId="486E3B72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Планировочные работы бульдозером – номер источника 603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8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;</w:t>
      </w:r>
    </w:p>
    <w:p w14:paraId="47EB6585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Емкость для приготовления бурового раствора – номер источника 60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39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;</w:t>
      </w:r>
    </w:p>
    <w:p w14:paraId="2CA288BE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Емкость для хранения дизтоплива №1, №2 – номер источника 604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0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;</w:t>
      </w:r>
    </w:p>
    <w:p w14:paraId="7264AA4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Емкость для сбора и хранения пластовой жидкости – номер источника 604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1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;</w:t>
      </w:r>
    </w:p>
    <w:p w14:paraId="1AE63E8A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Приготовление цементного раствора – номер источника 604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2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.</w:t>
      </w:r>
    </w:p>
    <w:p w14:paraId="0DFA03A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 xml:space="preserve">Работа бульдозера (тех. рекультивационные работы) – номер источника 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6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04</w:t>
      </w:r>
      <w:r w:rsidRPr="00AE1E85">
        <w:rPr>
          <w:rFonts w:ascii="Arial" w:eastAsia="Times New Roman" w:hAnsi="Arial" w:cs="Arial"/>
          <w:bCs/>
          <w:iCs/>
          <w:kern w:val="0"/>
          <w:lang w:val="kk-KZ" w:eastAsia="ru-RU"/>
          <w14:ligatures w14:val="none"/>
        </w:rPr>
        <w:t>3</w:t>
      </w:r>
      <w:r w:rsidRPr="00AE1E85">
        <w:rPr>
          <w:rFonts w:ascii="Arial" w:eastAsia="Times New Roman" w:hAnsi="Arial" w:cs="Arial"/>
          <w:bCs/>
          <w:iCs/>
          <w:kern w:val="0"/>
          <w:lang w:eastAsia="ru-RU"/>
          <w14:ligatures w14:val="none"/>
        </w:rPr>
        <w:t>.</w:t>
      </w:r>
    </w:p>
    <w:bookmarkEnd w:id="6"/>
    <w:p w14:paraId="4B6A2CFA" w14:textId="77777777" w:rsidR="00AE1E85" w:rsidRPr="00AE1E85" w:rsidRDefault="00AE1E85" w:rsidP="00AE1E85">
      <w:pPr>
        <w:spacing w:before="120" w:after="120" w:line="240" w:lineRule="auto"/>
        <w:ind w:left="720"/>
        <w:jc w:val="right"/>
        <w:rPr>
          <w:rFonts w:ascii="Arial" w:eastAsia="Times New Roman" w:hAnsi="Arial" w:cs="Arial"/>
          <w:kern w:val="0"/>
          <w:highlight w:val="yellow"/>
          <w:lang w:eastAsia="ru-RU"/>
          <w14:ligatures w14:val="none"/>
        </w:rPr>
      </w:pPr>
    </w:p>
    <w:p w14:paraId="434C4577" w14:textId="77777777" w:rsidR="00AE1E85" w:rsidRPr="00AE1E85" w:rsidRDefault="00AE1E85" w:rsidP="00AE1E85">
      <w:pPr>
        <w:spacing w:before="120" w:after="120" w:line="240" w:lineRule="auto"/>
        <w:ind w:left="720"/>
        <w:jc w:val="right"/>
        <w:rPr>
          <w:rFonts w:ascii="Arial" w:eastAsia="Times New Roman" w:hAnsi="Arial" w:cs="Arial"/>
          <w:kern w:val="0"/>
          <w:highlight w:val="yellow"/>
          <w:lang w:eastAsia="ru-RU"/>
          <w14:ligatures w14:val="none"/>
        </w:rPr>
      </w:pPr>
    </w:p>
    <w:p w14:paraId="6011CD7B" w14:textId="77777777" w:rsidR="00AE1E85" w:rsidRPr="00AE1E85" w:rsidRDefault="00AE1E85" w:rsidP="00AE1E85">
      <w:pPr>
        <w:spacing w:before="120" w:after="120" w:line="240" w:lineRule="auto"/>
        <w:ind w:left="720"/>
        <w:jc w:val="right"/>
        <w:rPr>
          <w:rFonts w:ascii="Arial" w:eastAsia="Times New Roman" w:hAnsi="Arial" w:cs="Arial"/>
          <w:kern w:val="0"/>
          <w:highlight w:val="yellow"/>
          <w:lang w:eastAsia="ru-RU"/>
          <w14:ligatures w14:val="none"/>
        </w:rPr>
      </w:pPr>
    </w:p>
    <w:p w14:paraId="2604CD10" w14:textId="77777777" w:rsidR="00AE1E85" w:rsidRPr="00AE1E85" w:rsidRDefault="00AE1E85" w:rsidP="00AE1E85">
      <w:pPr>
        <w:spacing w:before="120" w:after="120" w:line="240" w:lineRule="auto"/>
        <w:ind w:left="720"/>
        <w:jc w:val="right"/>
        <w:rPr>
          <w:rFonts w:ascii="Arial" w:eastAsia="Times New Roman" w:hAnsi="Arial" w:cs="Arial"/>
          <w:kern w:val="0"/>
          <w:highlight w:val="yellow"/>
          <w:lang w:val="kk-KZ" w:eastAsia="ru-RU"/>
          <w14:ligatures w14:val="none"/>
        </w:rPr>
      </w:pPr>
    </w:p>
    <w:p w14:paraId="213BAF70" w14:textId="77777777" w:rsidR="00AE1E85" w:rsidRPr="00AE1E85" w:rsidRDefault="00AE1E85" w:rsidP="00AE1E85">
      <w:pPr>
        <w:spacing w:before="120" w:after="120" w:line="240" w:lineRule="auto"/>
        <w:ind w:left="720"/>
        <w:jc w:val="right"/>
        <w:rPr>
          <w:rFonts w:ascii="Arial" w:eastAsia="Times New Roman" w:hAnsi="Arial" w:cs="Arial"/>
          <w:kern w:val="0"/>
          <w:highlight w:val="yellow"/>
          <w:lang w:val="kk-KZ" w:eastAsia="ru-RU"/>
          <w14:ligatures w14:val="none"/>
        </w:rPr>
      </w:pPr>
    </w:p>
    <w:p w14:paraId="09C62040" w14:textId="77777777" w:rsidR="00AE1E85" w:rsidRPr="00AE1E85" w:rsidRDefault="00AE1E85" w:rsidP="00AE1E85">
      <w:pPr>
        <w:spacing w:before="120" w:after="120" w:line="240" w:lineRule="auto"/>
        <w:ind w:left="720"/>
        <w:jc w:val="right"/>
        <w:rPr>
          <w:rFonts w:ascii="Arial" w:eastAsia="Times New Roman" w:hAnsi="Arial" w:cs="Arial"/>
          <w:kern w:val="0"/>
          <w:highlight w:val="yellow"/>
          <w:lang w:val="kk-KZ" w:eastAsia="ru-RU"/>
          <w14:ligatures w14:val="none"/>
        </w:rPr>
      </w:pPr>
    </w:p>
    <w:p w14:paraId="10CFF272" w14:textId="77777777" w:rsidR="00AE1E85" w:rsidRPr="00AE1E85" w:rsidRDefault="00AE1E85" w:rsidP="00AE1E85">
      <w:pPr>
        <w:spacing w:before="120" w:after="120" w:line="240" w:lineRule="auto"/>
        <w:ind w:left="720"/>
        <w:jc w:val="right"/>
        <w:rPr>
          <w:rFonts w:ascii="Arial" w:eastAsia="Times New Roman" w:hAnsi="Arial" w:cs="Arial"/>
          <w:kern w:val="0"/>
          <w:highlight w:val="yellow"/>
          <w:lang w:eastAsia="ru-RU"/>
          <w14:ligatures w14:val="none"/>
        </w:rPr>
      </w:pPr>
    </w:p>
    <w:p w14:paraId="1494C5ED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Прогнозные объемы добычи нефти и газа по месторождению на 2026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861"/>
        <w:gridCol w:w="2839"/>
        <w:gridCol w:w="2506"/>
      </w:tblGrid>
      <w:tr w:rsidR="00AE1E85" w:rsidRPr="00AE1E85" w14:paraId="6ED36451" w14:textId="77777777" w:rsidTr="005E46C8">
        <w:trPr>
          <w:trHeight w:val="454"/>
        </w:trPr>
        <w:tc>
          <w:tcPr>
            <w:tcW w:w="609" w:type="pct"/>
            <w:vAlign w:val="center"/>
            <w:hideMark/>
          </w:tcPr>
          <w:p w14:paraId="2A79C5A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" w:name="_Toc71153679"/>
            <w:bookmarkEnd w:id="5"/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Год</w:t>
            </w:r>
          </w:p>
        </w:tc>
        <w:tc>
          <w:tcPr>
            <w:tcW w:w="1531" w:type="pct"/>
            <w:vAlign w:val="center"/>
            <w:hideMark/>
          </w:tcPr>
          <w:p w14:paraId="1CA0661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Добыча нефти, тыс. т</w:t>
            </w:r>
          </w:p>
        </w:tc>
        <w:tc>
          <w:tcPr>
            <w:tcW w:w="1519" w:type="pct"/>
            <w:vAlign w:val="center"/>
            <w:hideMark/>
          </w:tcPr>
          <w:p w14:paraId="507A6D8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Добыча газа, млн м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1341" w:type="pct"/>
            <w:vAlign w:val="center"/>
          </w:tcPr>
          <w:p w14:paraId="03C9C69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Ввод скважин из бурения, ед.</w:t>
            </w:r>
          </w:p>
        </w:tc>
      </w:tr>
      <w:tr w:rsidR="00AE1E85" w:rsidRPr="00AE1E85" w14:paraId="0F0DB61E" w14:textId="77777777" w:rsidTr="005E46C8">
        <w:trPr>
          <w:trHeight w:val="454"/>
        </w:trPr>
        <w:tc>
          <w:tcPr>
            <w:tcW w:w="609" w:type="pct"/>
            <w:noWrap/>
            <w:vAlign w:val="center"/>
            <w:hideMark/>
          </w:tcPr>
          <w:p w14:paraId="3EBC67B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531" w:type="pct"/>
            <w:noWrap/>
            <w:vAlign w:val="center"/>
          </w:tcPr>
          <w:p w14:paraId="5CE4C8A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1519" w:type="pct"/>
            <w:noWrap/>
            <w:vAlign w:val="center"/>
          </w:tcPr>
          <w:p w14:paraId="4FF2865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1,389</w:t>
            </w:r>
          </w:p>
        </w:tc>
        <w:tc>
          <w:tcPr>
            <w:tcW w:w="1341" w:type="pct"/>
            <w:noWrap/>
            <w:vAlign w:val="center"/>
          </w:tcPr>
          <w:p w14:paraId="261858A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</w:tbl>
    <w:p w14:paraId="1C106043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Объемы потребления сырого газа на собственные нужды на 2026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3"/>
        <w:gridCol w:w="1700"/>
        <w:gridCol w:w="815"/>
        <w:gridCol w:w="894"/>
        <w:gridCol w:w="677"/>
        <w:gridCol w:w="735"/>
        <w:gridCol w:w="775"/>
        <w:gridCol w:w="956"/>
      </w:tblGrid>
      <w:tr w:rsidR="00AE1E85" w:rsidRPr="00AE1E85" w14:paraId="59C8025D" w14:textId="77777777" w:rsidTr="005E46C8">
        <w:trPr>
          <w:trHeight w:val="300"/>
        </w:trPr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A92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потребления газа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391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Место установки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387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Кол-во, ед.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E74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работы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460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 газа</w:t>
            </w:r>
          </w:p>
        </w:tc>
      </w:tr>
      <w:tr w:rsidR="00AE1E85" w:rsidRPr="00AE1E85" w14:paraId="59E76081" w14:textId="77777777" w:rsidTr="005E46C8">
        <w:trPr>
          <w:trHeight w:val="315"/>
        </w:trPr>
        <w:tc>
          <w:tcPr>
            <w:tcW w:w="1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98FA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9DF1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E85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работе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78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резерве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E87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ч/год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CC7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день/ год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CEE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/час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DC9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/год</w:t>
            </w:r>
          </w:p>
        </w:tc>
      </w:tr>
      <w:tr w:rsidR="00AE1E85" w:rsidRPr="00AE1E85" w14:paraId="4761A81A" w14:textId="77777777" w:rsidTr="005E46C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D2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2026 год</w:t>
            </w:r>
          </w:p>
        </w:tc>
      </w:tr>
      <w:tr w:rsidR="00AE1E85" w:rsidRPr="00AE1E85" w14:paraId="725248EC" w14:textId="77777777" w:rsidTr="005E46C8">
        <w:trPr>
          <w:trHeight w:val="300"/>
        </w:trPr>
        <w:tc>
          <w:tcPr>
            <w:tcW w:w="1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D11B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Путевой подогреватель ПП-0,63</w:t>
            </w:r>
          </w:p>
        </w:tc>
        <w:tc>
          <w:tcPr>
            <w:tcW w:w="9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9C3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УСПНиГ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19D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329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95A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4C5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229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8A5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307 440</w:t>
            </w:r>
          </w:p>
        </w:tc>
      </w:tr>
      <w:tr w:rsidR="00AE1E85" w:rsidRPr="00AE1E85" w14:paraId="29336B0E" w14:textId="77777777" w:rsidTr="005E46C8">
        <w:trPr>
          <w:trHeight w:val="300"/>
        </w:trPr>
        <w:tc>
          <w:tcPr>
            <w:tcW w:w="1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7D78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489F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86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C62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C75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5A8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D10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661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305 760</w:t>
            </w:r>
          </w:p>
        </w:tc>
      </w:tr>
      <w:tr w:rsidR="00AE1E85" w:rsidRPr="00AE1E85" w14:paraId="7593C60E" w14:textId="77777777" w:rsidTr="005E46C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C4BD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Водогрейная установка (ВГУ)</w:t>
            </w:r>
          </w:p>
        </w:tc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5988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8C3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598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FB3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9E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FD3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magenta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A66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magenta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50 736</w:t>
            </w:r>
          </w:p>
        </w:tc>
      </w:tr>
      <w:tr w:rsidR="00AE1E85" w:rsidRPr="00AE1E85" w14:paraId="49B0BAA5" w14:textId="77777777" w:rsidTr="005E46C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F9CD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Устьевой нагреватель УН-0,2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0AE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538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357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E9F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B899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6F7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6A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134 534</w:t>
            </w:r>
          </w:p>
        </w:tc>
      </w:tr>
      <w:tr w:rsidR="00AE1E85" w:rsidRPr="00AE1E85" w14:paraId="00B9E26A" w14:textId="77777777" w:rsidTr="005E46C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36F1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Устьевой нагреватель УН-0,2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DB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Скважина № 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97D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6F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467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A8B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1C2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AE3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134 534</w:t>
            </w:r>
          </w:p>
        </w:tc>
      </w:tr>
      <w:tr w:rsidR="00AE1E85" w:rsidRPr="00AE1E85" w14:paraId="1A2B1C7F" w14:textId="77777777" w:rsidTr="005E46C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AC4F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Устьевой нагреватель УН-0,2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4E8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Скважина № 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8CB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BD8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38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720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6A4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6AC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134 534</w:t>
            </w:r>
          </w:p>
        </w:tc>
      </w:tr>
      <w:tr w:rsidR="00AE1E85" w:rsidRPr="00AE1E85" w14:paraId="6E2369A1" w14:textId="77777777" w:rsidTr="005E46C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F853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Устьевой нагреватель УН-0,2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46D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Скважина № 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8DC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5DF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846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3BB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815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AFF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67 267</w:t>
            </w:r>
          </w:p>
        </w:tc>
      </w:tr>
      <w:tr w:rsidR="00AE1E85" w:rsidRPr="00AE1E85" w14:paraId="6E6AD7E3" w14:textId="77777777" w:rsidTr="005E46C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34D5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Устьевой нагреватель УН-0,2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A63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Скважина № 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A03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365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153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2A7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E9F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74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134 534</w:t>
            </w:r>
          </w:p>
        </w:tc>
      </w:tr>
      <w:tr w:rsidR="00AE1E85" w:rsidRPr="00AE1E85" w14:paraId="2CD1DE5B" w14:textId="77777777" w:rsidTr="005E46C8">
        <w:trPr>
          <w:trHeight w:val="48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0931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Котел «Buran Boiler»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5BA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Вахтовый поселок и столовая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71CE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DF2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A38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1D8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C4E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556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86 074</w:t>
            </w:r>
          </w:p>
        </w:tc>
      </w:tr>
      <w:tr w:rsidR="00AE1E85" w:rsidRPr="00AE1E85" w14:paraId="46B8417D" w14:textId="77777777" w:rsidTr="005E46C8">
        <w:trPr>
          <w:trHeight w:val="300"/>
        </w:trPr>
        <w:tc>
          <w:tcPr>
            <w:tcW w:w="44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1AA9" w14:textId="77777777" w:rsidR="00AE1E85" w:rsidRPr="00AE1E85" w:rsidRDefault="00AE1E85" w:rsidP="00AE1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717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1 355 415</w:t>
            </w:r>
          </w:p>
        </w:tc>
      </w:tr>
    </w:tbl>
    <w:p w14:paraId="25B523CA" w14:textId="77777777" w:rsidR="00AE1E85" w:rsidRPr="00AE1E85" w:rsidRDefault="00AE1E85" w:rsidP="00AE1E8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iCs/>
          <w:kern w:val="0"/>
          <w:lang w:eastAsia="ru-RU"/>
          <w14:ligatures w14:val="none"/>
        </w:rPr>
        <w:t>Баланс сырого газа по месторождению Северное Придорожное на 2026 г</w:t>
      </w:r>
      <w:r w:rsidRPr="00AE1E8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7"/>
        <w:gridCol w:w="1251"/>
        <w:gridCol w:w="1880"/>
        <w:gridCol w:w="727"/>
        <w:gridCol w:w="850"/>
        <w:gridCol w:w="807"/>
        <w:gridCol w:w="671"/>
        <w:gridCol w:w="863"/>
        <w:gridCol w:w="1549"/>
      </w:tblGrid>
      <w:tr w:rsidR="00AE1E85" w:rsidRPr="00AE1E85" w14:paraId="63F412AF" w14:textId="77777777" w:rsidTr="005E46C8">
        <w:trPr>
          <w:trHeight w:val="1134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CBE2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8" w:name="RANGE!A10"/>
            <w:bookmarkStart w:id="9" w:name="_Hlk179841757" w:colFirst="1" w:colLast="10"/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 w:bidi="ru-RU"/>
                <w14:ligatures w14:val="none"/>
              </w:rPr>
              <w:t>Год</w:t>
            </w:r>
            <w:bookmarkEnd w:id="8"/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C3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Добыча сырого газа, м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ru-RU" w:bidi="ru-RU"/>
                <w14:ligatures w14:val="none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BFB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Потребление сырого газа на собственные нужды, м</w:t>
            </w:r>
            <w:r w:rsidRPr="00AE1E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0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B6B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 w:bidi="ru-RU"/>
                <w14:ligatures w14:val="none"/>
              </w:rPr>
              <w:t>Объём технологически неизбежного сжигания сырого газа, м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kk-KZ" w:eastAsia="ru-RU" w:bidi="ru-RU"/>
                <w14:ligatures w14:val="none"/>
              </w:rPr>
              <w:t>3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095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Утилизация, %</w:t>
            </w:r>
          </w:p>
        </w:tc>
      </w:tr>
      <w:tr w:rsidR="00AE1E85" w:rsidRPr="00AE1E85" w14:paraId="7553DE3B" w14:textId="77777777" w:rsidTr="005E46C8">
        <w:trPr>
          <w:trHeight w:val="567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AE80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1FB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B62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V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ru-RU" w:bidi="ru-RU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8CE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85D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ECF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AAF7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8F50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V</w:t>
            </w:r>
            <w:r w:rsidRPr="00AE1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ru-RU" w:bidi="ru-RU"/>
                <w14:ligatures w14:val="none"/>
              </w:rPr>
              <w:t>V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1C7" w14:textId="77777777" w:rsidR="00AE1E85" w:rsidRPr="00AE1E85" w:rsidRDefault="00AE1E85" w:rsidP="00AE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1E85" w:rsidRPr="00AE1E85" w14:paraId="0B1DB440" w14:textId="77777777" w:rsidTr="005E46C8">
        <w:trPr>
          <w:trHeight w:val="85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6D7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kk-KZ" w:eastAsia="ru-RU" w:bidi="ru-RU"/>
                <w14:ligatures w14:val="none"/>
              </w:rPr>
              <w:t>2026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C3E5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1 389 000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1058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1 355 415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C5E1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0E46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5C7C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DEB4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A18B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33 585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5189A" w14:textId="77777777" w:rsidR="00AE1E85" w:rsidRPr="00AE1E85" w:rsidRDefault="00AE1E85" w:rsidP="00AE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E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</w:tr>
    </w:tbl>
    <w:bookmarkEnd w:id="9"/>
    <w:p w14:paraId="0D98A8BC" w14:textId="77777777" w:rsidR="00AE1E85" w:rsidRPr="00AE1E85" w:rsidRDefault="00AE1E85" w:rsidP="00AE1E85">
      <w:pPr>
        <w:keepNext/>
        <w:spacing w:after="0" w:line="240" w:lineRule="auto"/>
        <w:ind w:firstLine="709"/>
        <w:jc w:val="both"/>
        <w:outlineLvl w:val="1"/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</w:pPr>
      <w:r w:rsidRPr="00AE1E85"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  <w:t>3.3. Качественная и количественная характеристика источников загрязнения атмосферного воздуха</w:t>
      </w:r>
      <w:bookmarkEnd w:id="3"/>
      <w:bookmarkEnd w:id="7"/>
    </w:p>
    <w:p w14:paraId="348DF197" w14:textId="77777777" w:rsidR="00AE1E85" w:rsidRPr="00AE1E85" w:rsidRDefault="00AE1E85" w:rsidP="00AE1E85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kern w:val="0"/>
          <w:lang w:eastAsia="ru-RU"/>
          <w14:ligatures w14:val="none"/>
        </w:rPr>
        <w:t>Качественные и количественные характеристики выбросов ВВ определены расчетным методом по утвержденным методикам.</w:t>
      </w:r>
    </w:p>
    <w:p w14:paraId="4479F7A9" w14:textId="77777777" w:rsidR="00AE1E85" w:rsidRPr="00AE1E85" w:rsidRDefault="00AE1E85" w:rsidP="00AE1E85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kern w:val="0"/>
          <w:lang w:eastAsia="ru-RU"/>
          <w14:ligatures w14:val="none"/>
        </w:rPr>
        <w:t>Валовые выбросы загрязняющих веществ в атмосферу при планируемой производственной деятельности ТОО «</w:t>
      </w:r>
      <w:bookmarkStart w:id="10" w:name="_Hlk210233481"/>
      <w:r w:rsidRPr="00AE1E85">
        <w:rPr>
          <w:rFonts w:ascii="Arial" w:eastAsia="Times New Roman" w:hAnsi="Arial" w:cs="Arial"/>
          <w:kern w:val="0"/>
          <w:lang w:eastAsia="ru-RU"/>
          <w14:ligatures w14:val="none"/>
        </w:rPr>
        <w:t>Shergala Petrolium</w:t>
      </w:r>
      <w:bookmarkEnd w:id="10"/>
      <w:r w:rsidRPr="00AE1E85">
        <w:rPr>
          <w:rFonts w:ascii="Arial" w:eastAsia="Times New Roman" w:hAnsi="Arial" w:cs="Arial"/>
          <w:kern w:val="0"/>
          <w:lang w:eastAsia="ru-RU"/>
          <w14:ligatures w14:val="none"/>
        </w:rPr>
        <w:t>» при эксплуатации от стационарных источников:</w:t>
      </w:r>
    </w:p>
    <w:p w14:paraId="161EE504" w14:textId="77777777" w:rsidR="00AE1E85" w:rsidRPr="00AE1E85" w:rsidRDefault="00AE1E85" w:rsidP="00AE1E8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E1E8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 2026 г.</w:t>
      </w:r>
      <w:r w:rsidRPr="00AE1E85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– составит </w:t>
      </w:r>
      <w:r w:rsidRPr="00AE1E85">
        <w:rPr>
          <w:rFonts w:ascii="Arial" w:eastAsia="Times New Roman" w:hAnsi="Arial" w:cs="Arial"/>
          <w:b/>
          <w:kern w:val="0"/>
          <w:lang w:eastAsia="ru-RU"/>
          <w14:ligatures w14:val="none"/>
        </w:rPr>
        <w:t>51,003386715 т/год</w:t>
      </w:r>
      <w:r w:rsidRPr="00AE1E85">
        <w:rPr>
          <w:rFonts w:ascii="Arial" w:eastAsia="Times New Roman" w:hAnsi="Arial" w:cs="Arial"/>
          <w:kern w:val="0"/>
          <w:lang w:eastAsia="ru-RU"/>
          <w14:ligatures w14:val="none"/>
        </w:rPr>
        <w:t xml:space="preserve">, в том числе твердые – </w:t>
      </w:r>
      <w:r w:rsidRPr="00AE1E85">
        <w:rPr>
          <w:rFonts w:ascii="Arial" w:eastAsia="Times New Roman" w:hAnsi="Arial" w:cs="Arial"/>
          <w:b/>
          <w:kern w:val="0"/>
          <w:lang w:eastAsia="ru-RU"/>
          <w14:ligatures w14:val="none"/>
        </w:rPr>
        <w:t>0,807011235 т/год</w:t>
      </w:r>
      <w:r w:rsidRPr="00AE1E85">
        <w:rPr>
          <w:rFonts w:ascii="Arial" w:eastAsia="Times New Roman" w:hAnsi="Arial" w:cs="Arial"/>
          <w:kern w:val="0"/>
          <w:lang w:eastAsia="ru-RU"/>
          <w14:ligatures w14:val="none"/>
        </w:rPr>
        <w:t xml:space="preserve">, газообразные – </w:t>
      </w:r>
      <w:r w:rsidRPr="00AE1E85">
        <w:rPr>
          <w:rFonts w:ascii="Arial" w:eastAsia="Times New Roman" w:hAnsi="Arial" w:cs="Arial"/>
          <w:b/>
          <w:kern w:val="0"/>
          <w:lang w:eastAsia="ru-RU"/>
          <w14:ligatures w14:val="none"/>
        </w:rPr>
        <w:t>50,19637548т/год.</w:t>
      </w:r>
    </w:p>
    <w:p w14:paraId="35E58A61" w14:textId="3A447D08" w:rsidR="00AE1E85" w:rsidRPr="00AE1E85" w:rsidRDefault="00AE1E85" w:rsidP="00AE1E85">
      <w:pPr>
        <w:tabs>
          <w:tab w:val="left" w:pos="2685"/>
        </w:tabs>
        <w:rPr>
          <w:rFonts w:ascii="Arial" w:hAnsi="Arial" w:cs="Arial"/>
        </w:rPr>
      </w:pPr>
    </w:p>
    <w:sectPr w:rsidR="00AE1E85" w:rsidRPr="00AE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66AF" w14:textId="77777777" w:rsidR="00AE1E85" w:rsidRDefault="00AE1E85">
    <w:pPr>
      <w:pStyle w:val="af1"/>
      <w:framePr w:wrap="around" w:vAnchor="text" w:hAnchor="page" w:x="10882" w:y="235"/>
      <w:rPr>
        <w:rStyle w:val="af3"/>
        <w:i/>
      </w:rPr>
    </w:pPr>
    <w:r>
      <w:rPr>
        <w:rStyle w:val="af3"/>
        <w:i/>
      </w:rPr>
      <w:fldChar w:fldCharType="begin"/>
    </w:r>
    <w:r>
      <w:rPr>
        <w:rStyle w:val="af3"/>
        <w:i/>
      </w:rPr>
      <w:instrText xml:space="preserve"> PAGE  \* Arabic \* Arabic </w:instrText>
    </w:r>
    <w:r>
      <w:rPr>
        <w:rStyle w:val="af3"/>
        <w:i/>
      </w:rPr>
      <w:fldChar w:fldCharType="separate"/>
    </w:r>
    <w:r>
      <w:rPr>
        <w:rStyle w:val="af3"/>
        <w:i/>
        <w:noProof/>
      </w:rPr>
      <w:t>43</w:t>
    </w:r>
    <w:r>
      <w:rPr>
        <w:rStyle w:val="af3"/>
        <w:i/>
      </w:rPr>
      <w:fldChar w:fldCharType="end"/>
    </w:r>
  </w:p>
  <w:p w14:paraId="15D92C0E" w14:textId="77777777" w:rsidR="00AE1E85" w:rsidRDefault="00AE1E85">
    <w:pPr>
      <w:pStyle w:val="af1"/>
      <w:pBdr>
        <w:top w:val="double" w:sz="6" w:space="1" w:color="auto"/>
      </w:pBdr>
      <w:tabs>
        <w:tab w:val="clear" w:pos="4677"/>
        <w:tab w:val="center" w:pos="0"/>
      </w:tabs>
      <w:ind w:right="-6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09E"/>
    <w:multiLevelType w:val="hybridMultilevel"/>
    <w:tmpl w:val="99189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50E2F"/>
    <w:multiLevelType w:val="hybridMultilevel"/>
    <w:tmpl w:val="8DAEE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024A7"/>
    <w:multiLevelType w:val="hybridMultilevel"/>
    <w:tmpl w:val="F3E083D0"/>
    <w:lvl w:ilvl="0" w:tplc="22A69F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6E60C2F"/>
    <w:multiLevelType w:val="hybridMultilevel"/>
    <w:tmpl w:val="4BD6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6F8B"/>
    <w:multiLevelType w:val="hybridMultilevel"/>
    <w:tmpl w:val="322040AA"/>
    <w:lvl w:ilvl="0" w:tplc="FFFFFFFF">
      <w:start w:val="1"/>
      <w:numFmt w:val="bullet"/>
      <w:pStyle w:val="2"/>
      <w:lvlText w:val=""/>
      <w:lvlJc w:val="left"/>
      <w:pPr>
        <w:ind w:left="1077" w:hanging="360"/>
      </w:pPr>
      <w:rPr>
        <w:rFonts w:ascii="Symbol" w:hAnsi="Symbol" w:hint="default"/>
        <w:sz w:val="22"/>
        <w:szCs w:val="2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2650093"/>
    <w:multiLevelType w:val="multilevel"/>
    <w:tmpl w:val="52B8D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6F25C2"/>
    <w:multiLevelType w:val="hybridMultilevel"/>
    <w:tmpl w:val="333E4EF2"/>
    <w:styleLink w:val="1ai"/>
    <w:lvl w:ilvl="0" w:tplc="B15CB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62193F"/>
    <w:multiLevelType w:val="singleLevel"/>
    <w:tmpl w:val="AA6EB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13826"/>
    <w:multiLevelType w:val="hybridMultilevel"/>
    <w:tmpl w:val="6F7456F0"/>
    <w:lvl w:ilvl="0" w:tplc="9204317C">
      <w:start w:val="1"/>
      <w:numFmt w:val="bullet"/>
      <w:pStyle w:val="2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3012A4">
      <w:numFmt w:val="bullet"/>
      <w:lvlText w:val="•"/>
      <w:lvlJc w:val="left"/>
      <w:pPr>
        <w:ind w:left="2475" w:hanging="67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8766023">
    <w:abstractNumId w:val="2"/>
  </w:num>
  <w:num w:numId="2" w16cid:durableId="1221290494">
    <w:abstractNumId w:val="6"/>
  </w:num>
  <w:num w:numId="3" w16cid:durableId="1116950325">
    <w:abstractNumId w:val="7"/>
  </w:num>
  <w:num w:numId="4" w16cid:durableId="739981930">
    <w:abstractNumId w:val="5"/>
  </w:num>
  <w:num w:numId="5" w16cid:durableId="1788350862">
    <w:abstractNumId w:val="3"/>
  </w:num>
  <w:num w:numId="6" w16cid:durableId="859851131">
    <w:abstractNumId w:val="4"/>
  </w:num>
  <w:num w:numId="7" w16cid:durableId="881475326">
    <w:abstractNumId w:val="0"/>
  </w:num>
  <w:num w:numId="8" w16cid:durableId="1714816396">
    <w:abstractNumId w:val="1"/>
  </w:num>
  <w:num w:numId="9" w16cid:durableId="1097672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49"/>
    <w:rsid w:val="00012B95"/>
    <w:rsid w:val="000A70D1"/>
    <w:rsid w:val="000E29BA"/>
    <w:rsid w:val="000F0589"/>
    <w:rsid w:val="001041CC"/>
    <w:rsid w:val="00132380"/>
    <w:rsid w:val="00265731"/>
    <w:rsid w:val="002803CF"/>
    <w:rsid w:val="002B6449"/>
    <w:rsid w:val="003629E9"/>
    <w:rsid w:val="0046112B"/>
    <w:rsid w:val="006D5F8A"/>
    <w:rsid w:val="00700089"/>
    <w:rsid w:val="007E497C"/>
    <w:rsid w:val="00830007"/>
    <w:rsid w:val="00913956"/>
    <w:rsid w:val="009208C8"/>
    <w:rsid w:val="00955866"/>
    <w:rsid w:val="00AE1E85"/>
    <w:rsid w:val="00B45676"/>
    <w:rsid w:val="00B828DC"/>
    <w:rsid w:val="00B84279"/>
    <w:rsid w:val="00BD39E4"/>
    <w:rsid w:val="00C452C6"/>
    <w:rsid w:val="00E267B0"/>
    <w:rsid w:val="00F457A1"/>
    <w:rsid w:val="00F549F4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A553"/>
  <w15:chartTrackingRefBased/>
  <w15:docId w15:val="{3415FF74-FDAA-4A57-A749-2F0207C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oofdstuk,Part,OG Heading 1,h1,Заголовок 1 Знак1 Знак,Заголовок 1 Знак Знак Знак,Заголовок 1 Знак Знак Знак Знак Знак Знак,Заголовок 1 Знак Знак Знак Знак Знак,Заголовок 1 Знак1,Заголовок 1 Знак Знак,РАЗДЕЛ,ГЛАВА,H1,новая страница,Мой стиль "/>
    <w:basedOn w:val="a"/>
    <w:next w:val="a"/>
    <w:link w:val="10"/>
    <w:qFormat/>
    <w:rsid w:val="00265731"/>
    <w:pPr>
      <w:keepNext/>
      <w:spacing w:before="240" w:after="60" w:line="240" w:lineRule="auto"/>
      <w:outlineLvl w:val="0"/>
    </w:pPr>
    <w:rPr>
      <w:rFonts w:ascii="Times New Roman" w:eastAsia="Times/Kazakh" w:hAnsi="Times New Roman" w:cs="Times/Kazakh"/>
      <w:b/>
      <w:kern w:val="28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82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aliases w:val="_список,strich,2nd Tier Header,маркированный,Citation List,текст ГЕО,список,Nawa Bullets,CAFC Bullets,Beran Bullets,Bullet Points,Заголовок2,Заголовок первого уровня"/>
    <w:basedOn w:val="a"/>
    <w:link w:val="a4"/>
    <w:uiPriority w:val="34"/>
    <w:qFormat/>
    <w:rsid w:val="000F0589"/>
    <w:pPr>
      <w:ind w:left="720"/>
      <w:contextualSpacing/>
    </w:pPr>
  </w:style>
  <w:style w:type="table" w:styleId="a5">
    <w:name w:val="Table Grid"/>
    <w:aliases w:val="ПНОО,Таблица для проекта"/>
    <w:basedOn w:val="a1"/>
    <w:rsid w:val="00F457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uiPriority w:val="11"/>
    <w:qFormat/>
    <w:rsid w:val="00F457A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F457A1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numbering" w:styleId="1ai">
    <w:name w:val="Outline List 1"/>
    <w:basedOn w:val="a2"/>
    <w:unhideWhenUsed/>
    <w:rsid w:val="00F457A1"/>
    <w:pPr>
      <w:numPr>
        <w:numId w:val="2"/>
      </w:numPr>
    </w:pPr>
  </w:style>
  <w:style w:type="character" w:customStyle="1" w:styleId="a4">
    <w:name w:val="Абзац списка Знак"/>
    <w:aliases w:val="_список Знак,strich Знак,2nd Tier Header Знак,маркированный Знак,Citation List Знак,текст ГЕО Знак,список Знак,Nawa Bullets Знак,CAFC Bullets Знак,Beran Bullets Знак,Bullet Points Знак,Заголовок2 Знак,Заголовок первого уровня Знак"/>
    <w:link w:val="a3"/>
    <w:uiPriority w:val="34"/>
    <w:rsid w:val="00F457A1"/>
  </w:style>
  <w:style w:type="paragraph" w:styleId="a8">
    <w:name w:val="footnote text"/>
    <w:basedOn w:val="a"/>
    <w:link w:val="a9"/>
    <w:rsid w:val="0046112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rsid w:val="0046112B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b"/>
    <w:qFormat/>
    <w:rsid w:val="0046112B"/>
    <w:pPr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b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a"/>
    <w:rsid w:val="0046112B"/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2H6100005">
    <w:name w:val="2H61000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ltable0">
    <w:name w:val="l_table0"/>
    <w:basedOn w:val="a"/>
    <w:rsid w:val="00955866"/>
    <w:pPr>
      <w:spacing w:after="0" w:line="240" w:lineRule="atLeast"/>
      <w:ind w:left="1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H6100805">
    <w:name w:val="2H61008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TimesNewRoman1256">
    <w:name w:val="Стиль Times New Roman По ширине Первая строка:  125 см после: 6..."/>
    <w:basedOn w:val="a"/>
    <w:rsid w:val="0026573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c">
    <w:name w:val="Body Text"/>
    <w:basedOn w:val="a"/>
    <w:link w:val="ad"/>
    <w:rsid w:val="00265731"/>
    <w:pPr>
      <w:spacing w:after="0" w:line="240" w:lineRule="auto"/>
    </w:pPr>
    <w:rPr>
      <w:rFonts w:ascii="Times New Roman" w:eastAsia="Times/Kazakh" w:hAnsi="Times New Roman" w:cs="Times/Kazakh"/>
      <w:kern w:val="0"/>
      <w:szCs w:val="20"/>
      <w14:ligatures w14:val="none"/>
    </w:rPr>
  </w:style>
  <w:style w:type="character" w:customStyle="1" w:styleId="ad">
    <w:name w:val="Основной текст Знак"/>
    <w:basedOn w:val="a0"/>
    <w:link w:val="ac"/>
    <w:rsid w:val="00265731"/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10">
    <w:name w:val="Заголовок 1 Знак"/>
    <w:aliases w:val="Hoofdstuk Знак,Part Знак,OG Heading 1 Знак,h1 Знак,Заголовок 1 Знак1 Знак Знак,Заголовок 1 Знак Знак Знак Знак,Заголовок 1 Знак Знак Знак Знак Знак Знак Знак,Заголовок 1 Знак Знак Знак Знак Знак Знак1,Заголовок 1 Знак1 Знак1,РАЗДЕЛ Знак"/>
    <w:basedOn w:val="a0"/>
    <w:link w:val="1"/>
    <w:rsid w:val="00265731"/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  <w:style w:type="paragraph" w:customStyle="1" w:styleId="ae">
    <w:name w:val="текст"/>
    <w:basedOn w:val="a"/>
    <w:link w:val="af"/>
    <w:rsid w:val="0083000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текст Знак"/>
    <w:link w:val="ae"/>
    <w:rsid w:val="0083000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0">
    <w:name w:val="Мой текст"/>
    <w:basedOn w:val="a"/>
    <w:link w:val="Char"/>
    <w:qFormat/>
    <w:rsid w:val="009208C8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character" w:customStyle="1" w:styleId="Char">
    <w:name w:val="Мой текст Char"/>
    <w:link w:val="af0"/>
    <w:rsid w:val="009208C8"/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paragraph" w:customStyle="1" w:styleId="2">
    <w:name w:val="Мой список2"/>
    <w:qFormat/>
    <w:rsid w:val="00F549F4"/>
    <w:pPr>
      <w:widowControl w:val="0"/>
      <w:numPr>
        <w:numId w:val="6"/>
      </w:numPr>
      <w:shd w:val="clear" w:color="auto" w:fill="FFFFFF"/>
      <w:tabs>
        <w:tab w:val="left" w:pos="709"/>
      </w:tabs>
      <w:autoSpaceDE w:val="0"/>
      <w:autoSpaceDN w:val="0"/>
      <w:adjustRightInd w:val="0"/>
      <w:spacing w:before="60" w:after="0" w:line="240" w:lineRule="auto"/>
      <w:ind w:left="709" w:hanging="357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20">
    <w:name w:val="List Bullet 2"/>
    <w:basedOn w:val="a"/>
    <w:next w:val="a"/>
    <w:autoRedefine/>
    <w:qFormat/>
    <w:rsid w:val="00F549F4"/>
    <w:pPr>
      <w:widowControl w:val="0"/>
      <w:numPr>
        <w:numId w:val="9"/>
      </w:numPr>
      <w:spacing w:after="0" w:line="240" w:lineRule="auto"/>
      <w:ind w:left="0" w:firstLine="426"/>
      <w:jc w:val="both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af1">
    <w:name w:val="footer"/>
    <w:aliases w:val="Title Down,Footer_ARGOSS"/>
    <w:basedOn w:val="a"/>
    <w:link w:val="af2"/>
    <w:uiPriority w:val="99"/>
    <w:rsid w:val="00AE1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2">
    <w:name w:val="Нижний колонтитул Знак"/>
    <w:aliases w:val="Title Down Знак,Footer_ARGOSS Знак,Title Down Знак1,Footer_ARGOSS Знак Знак"/>
    <w:basedOn w:val="a0"/>
    <w:link w:val="af1"/>
    <w:uiPriority w:val="99"/>
    <w:rsid w:val="00AE1E8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3">
    <w:name w:val="page number"/>
    <w:basedOn w:val="a0"/>
    <w:rsid w:val="00AE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Sarkulova</dc:creator>
  <cp:keywords/>
  <dc:description/>
  <cp:lastModifiedBy>CNC</cp:lastModifiedBy>
  <cp:revision>11</cp:revision>
  <dcterms:created xsi:type="dcterms:W3CDTF">2024-05-22T19:19:00Z</dcterms:created>
  <dcterms:modified xsi:type="dcterms:W3CDTF">2025-10-02T13:44:00Z</dcterms:modified>
</cp:coreProperties>
</file>