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AC" w:rsidRDefault="00D15169">
      <w:pPr>
        <w:spacing w:before="73"/>
        <w:ind w:left="296"/>
        <w:jc w:val="center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РЕЗЮМЕ</w:t>
      </w:r>
    </w:p>
    <w:p w:rsidR="00DA4DAC" w:rsidRDefault="00DA4DAC">
      <w:pPr>
        <w:pStyle w:val="a3"/>
        <w:ind w:left="0"/>
        <w:jc w:val="left"/>
        <w:rPr>
          <w:b/>
        </w:rPr>
      </w:pPr>
    </w:p>
    <w:p w:rsidR="00DA4DAC" w:rsidRDefault="00D15169">
      <w:pPr>
        <w:spacing w:before="1"/>
        <w:ind w:left="791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предполагаемого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деятельности,</w:t>
      </w:r>
    </w:p>
    <w:p w:rsidR="00DA4DAC" w:rsidRDefault="00D15169">
      <w:pPr>
        <w:spacing w:before="43"/>
        <w:ind w:left="3549"/>
        <w:jc w:val="both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изображением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границ</w:t>
      </w:r>
    </w:p>
    <w:p w:rsidR="00DA4DAC" w:rsidRDefault="00D15169">
      <w:pPr>
        <w:pStyle w:val="a3"/>
        <w:spacing w:before="41"/>
        <w:ind w:right="138" w:firstLine="566"/>
      </w:pPr>
      <w:r>
        <w:t>Компания</w:t>
      </w:r>
      <w:r>
        <w:rPr>
          <w:spacing w:val="40"/>
        </w:rPr>
        <w:t xml:space="preserve"> </w:t>
      </w:r>
      <w:r>
        <w:t>АО</w:t>
      </w:r>
      <w:r>
        <w:rPr>
          <w:spacing w:val="40"/>
        </w:rPr>
        <w:t xml:space="preserve"> </w:t>
      </w:r>
      <w:r>
        <w:t>«Петро</w:t>
      </w:r>
      <w:r>
        <w:rPr>
          <w:spacing w:val="40"/>
        </w:rPr>
        <w:t xml:space="preserve"> </w:t>
      </w:r>
      <w:r>
        <w:t>Казахстан</w:t>
      </w:r>
      <w:r>
        <w:rPr>
          <w:spacing w:val="40"/>
        </w:rPr>
        <w:t xml:space="preserve"> </w:t>
      </w:r>
      <w:proofErr w:type="spellStart"/>
      <w:r>
        <w:t>Кумколь</w:t>
      </w:r>
      <w:proofErr w:type="spellEnd"/>
      <w:r>
        <w:rPr>
          <w:spacing w:val="40"/>
        </w:rPr>
        <w:t xml:space="preserve"> </w:t>
      </w:r>
      <w:proofErr w:type="spellStart"/>
      <w:r>
        <w:t>Ресорсиз</w:t>
      </w:r>
      <w:proofErr w:type="spellEnd"/>
      <w:r>
        <w:t>» расположен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proofErr w:type="spellStart"/>
      <w:r>
        <w:t>Кызылорда</w:t>
      </w:r>
      <w:proofErr w:type="spellEnd"/>
      <w:r>
        <w:t xml:space="preserve">, ул. </w:t>
      </w:r>
      <w:proofErr w:type="spellStart"/>
      <w:r>
        <w:t>Казыбек</w:t>
      </w:r>
      <w:proofErr w:type="spellEnd"/>
      <w:r>
        <w:t xml:space="preserve"> би, 13.</w:t>
      </w:r>
    </w:p>
    <w:p w:rsidR="00DA4DAC" w:rsidRDefault="00D15169">
      <w:pPr>
        <w:pStyle w:val="a3"/>
        <w:spacing w:before="120"/>
        <w:ind w:left="851"/>
      </w:pPr>
      <w:r>
        <w:t>Нефтедобывающее</w:t>
      </w:r>
      <w:r>
        <w:rPr>
          <w:spacing w:val="51"/>
        </w:rPr>
        <w:t xml:space="preserve"> </w:t>
      </w:r>
      <w:r>
        <w:t>месторождение</w:t>
      </w:r>
      <w:r>
        <w:rPr>
          <w:spacing w:val="54"/>
        </w:rPr>
        <w:t xml:space="preserve"> </w:t>
      </w:r>
      <w:r>
        <w:t>Северный</w:t>
      </w:r>
      <w:r>
        <w:rPr>
          <w:spacing w:val="-2"/>
        </w:rPr>
        <w:t xml:space="preserve"> Карабулак.</w:t>
      </w:r>
    </w:p>
    <w:p w:rsidR="00DA4DAC" w:rsidRDefault="00D15169">
      <w:pPr>
        <w:pStyle w:val="a3"/>
        <w:spacing w:before="120"/>
        <w:ind w:right="138" w:firstLine="566"/>
      </w:pPr>
      <w:r>
        <w:rPr>
          <w:noProof/>
          <w:lang w:eastAsia="ru-RU"/>
        </w:rPr>
        <w:drawing>
          <wp:anchor distT="0" distB="0" distL="0" distR="0" simplePos="0" relativeHeight="487406080" behindDoc="1" locked="0" layoutInCell="1" allowOverlap="1">
            <wp:simplePos x="0" y="0"/>
            <wp:positionH relativeFrom="page">
              <wp:posOffset>4482972</wp:posOffset>
            </wp:positionH>
            <wp:positionV relativeFrom="paragraph">
              <wp:posOffset>431904</wp:posOffset>
            </wp:positionV>
            <wp:extent cx="237744" cy="1691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6592" behindDoc="1" locked="0" layoutInCell="1" allowOverlap="1">
            <wp:simplePos x="0" y="0"/>
            <wp:positionH relativeFrom="page">
              <wp:posOffset>5045328</wp:posOffset>
            </wp:positionH>
            <wp:positionV relativeFrom="paragraph">
              <wp:posOffset>431904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7104" behindDoc="1" locked="0" layoutInCell="1" allowOverlap="1">
            <wp:simplePos x="0" y="0"/>
            <wp:positionH relativeFrom="page">
              <wp:posOffset>5990590</wp:posOffset>
            </wp:positionH>
            <wp:positionV relativeFrom="paragraph">
              <wp:posOffset>431904</wp:posOffset>
            </wp:positionV>
            <wp:extent cx="237743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6551421</wp:posOffset>
            </wp:positionH>
            <wp:positionV relativeFrom="paragraph">
              <wp:posOffset>431904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Компания АО «Петро Казахстан </w:t>
      </w:r>
      <w:proofErr w:type="spellStart"/>
      <w:r>
        <w:t>Кумколь</w:t>
      </w:r>
      <w:proofErr w:type="spellEnd"/>
      <w:r>
        <w:t xml:space="preserve"> </w:t>
      </w:r>
      <w:proofErr w:type="spellStart"/>
      <w:r>
        <w:t>Ресорсиз</w:t>
      </w:r>
      <w:proofErr w:type="spellEnd"/>
      <w:r>
        <w:t xml:space="preserve">» является </w:t>
      </w:r>
      <w:proofErr w:type="spellStart"/>
      <w:r>
        <w:t>недропользователем</w:t>
      </w:r>
      <w:proofErr w:type="spellEnd"/>
      <w:r>
        <w:t xml:space="preserve"> нескольких</w:t>
      </w:r>
      <w:r>
        <w:rPr>
          <w:spacing w:val="-1"/>
        </w:rPr>
        <w:t xml:space="preserve"> </w:t>
      </w:r>
      <w:r>
        <w:t>месторождений,</w:t>
      </w:r>
      <w:r>
        <w:rPr>
          <w:spacing w:val="-1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Тургайской низменности Республики Казахстан и ограничено географическими координатами 46</w:t>
      </w:r>
      <w:r>
        <w:rPr>
          <w:vertAlign w:val="superscript"/>
        </w:rPr>
        <w:t>0</w:t>
      </w:r>
      <w:r>
        <w:t>25</w:t>
      </w:r>
      <w:r>
        <w:rPr>
          <w:spacing w:val="80"/>
          <w:w w:val="150"/>
        </w:rPr>
        <w:t xml:space="preserve"> </w:t>
      </w:r>
      <w:r>
        <w:t xml:space="preserve">- </w:t>
      </w:r>
      <w:proofErr w:type="gramStart"/>
      <w:r>
        <w:t>46</w:t>
      </w:r>
      <w:r>
        <w:rPr>
          <w:vertAlign w:val="superscript"/>
        </w:rPr>
        <w:t>0</w:t>
      </w:r>
      <w:r>
        <w:t>00</w:t>
      </w:r>
      <w:r>
        <w:rPr>
          <w:spacing w:val="73"/>
        </w:rPr>
        <w:t xml:space="preserve">  </w:t>
      </w:r>
      <w:proofErr w:type="spellStart"/>
      <w:r>
        <w:t>с.ш</w:t>
      </w:r>
      <w:proofErr w:type="spellEnd"/>
      <w:r>
        <w:t>.</w:t>
      </w:r>
      <w:proofErr w:type="gramEnd"/>
      <w:r>
        <w:t xml:space="preserve"> и</w:t>
      </w:r>
      <w:r>
        <w:rPr>
          <w:spacing w:val="28"/>
        </w:rPr>
        <w:t xml:space="preserve"> </w:t>
      </w:r>
      <w:r>
        <w:t>65</w:t>
      </w:r>
      <w:r>
        <w:rPr>
          <w:vertAlign w:val="superscript"/>
        </w:rPr>
        <w:t>0</w:t>
      </w:r>
      <w:r>
        <w:t>30</w:t>
      </w:r>
      <w:r>
        <w:rPr>
          <w:spacing w:val="80"/>
          <w:w w:val="150"/>
        </w:rPr>
        <w:t xml:space="preserve"> </w:t>
      </w:r>
      <w:r>
        <w:t>- 65</w:t>
      </w:r>
      <w:r>
        <w:rPr>
          <w:vertAlign w:val="superscript"/>
        </w:rPr>
        <w:t>0</w:t>
      </w:r>
      <w:r>
        <w:t>43</w:t>
      </w:r>
      <w:r>
        <w:rPr>
          <w:spacing w:val="71"/>
        </w:rPr>
        <w:t xml:space="preserve">  </w:t>
      </w:r>
      <w:proofErr w:type="spellStart"/>
      <w:r>
        <w:t>в.д</w:t>
      </w:r>
      <w:proofErr w:type="spellEnd"/>
      <w:r>
        <w:t>.</w:t>
      </w:r>
    </w:p>
    <w:p w:rsidR="00DA4DAC" w:rsidRDefault="00D15169">
      <w:pPr>
        <w:pStyle w:val="a3"/>
        <w:spacing w:before="120"/>
        <w:ind w:right="137" w:firstLine="566"/>
      </w:pPr>
      <w:r>
        <w:t>Компания</w:t>
      </w:r>
      <w:r>
        <w:rPr>
          <w:spacing w:val="-10"/>
        </w:rPr>
        <w:t xml:space="preserve"> </w:t>
      </w:r>
      <w:r>
        <w:t>АО</w:t>
      </w:r>
      <w:r>
        <w:rPr>
          <w:spacing w:val="-11"/>
        </w:rPr>
        <w:t xml:space="preserve"> </w:t>
      </w:r>
      <w:r>
        <w:t>«</w:t>
      </w:r>
      <w:proofErr w:type="spellStart"/>
      <w:r>
        <w:t>ПетроКазахстан</w:t>
      </w:r>
      <w:proofErr w:type="spellEnd"/>
      <w:r>
        <w:rPr>
          <w:spacing w:val="-10"/>
        </w:rPr>
        <w:t xml:space="preserve"> </w:t>
      </w:r>
      <w:proofErr w:type="spellStart"/>
      <w:r>
        <w:t>Кумколь</w:t>
      </w:r>
      <w:proofErr w:type="spellEnd"/>
      <w:r>
        <w:rPr>
          <w:spacing w:val="-6"/>
        </w:rPr>
        <w:t xml:space="preserve"> </w:t>
      </w:r>
      <w:proofErr w:type="spellStart"/>
      <w:r>
        <w:t>Ресорсиз</w:t>
      </w:r>
      <w:proofErr w:type="spellEnd"/>
      <w:r>
        <w:t>»</w:t>
      </w:r>
      <w:r>
        <w:rPr>
          <w:spacing w:val="-10"/>
        </w:rPr>
        <w:t xml:space="preserve"> </w:t>
      </w:r>
      <w:r>
        <w:t>проводит</w:t>
      </w:r>
      <w:r>
        <w:rPr>
          <w:spacing w:val="-10"/>
        </w:rPr>
        <w:t xml:space="preserve"> </w:t>
      </w:r>
      <w:r>
        <w:t>разведку</w:t>
      </w:r>
      <w:r>
        <w:rPr>
          <w:spacing w:val="-10"/>
        </w:rPr>
        <w:t xml:space="preserve"> </w:t>
      </w:r>
      <w:r>
        <w:t>УВС</w:t>
      </w:r>
      <w:r>
        <w:rPr>
          <w:spacing w:val="-9"/>
        </w:rPr>
        <w:t xml:space="preserve"> </w:t>
      </w:r>
      <w:r>
        <w:t>согласно Контракту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1928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27.12.2005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блоках</w:t>
      </w:r>
      <w:r>
        <w:rPr>
          <w:spacing w:val="-2"/>
        </w:rPr>
        <w:t xml:space="preserve"> </w:t>
      </w:r>
      <w:r>
        <w:t>XXVI-37,</w:t>
      </w:r>
      <w:r>
        <w:rPr>
          <w:spacing w:val="-3"/>
        </w:rPr>
        <w:t xml:space="preserve"> </w:t>
      </w:r>
      <w:r>
        <w:t>38,</w:t>
      </w:r>
      <w:r>
        <w:rPr>
          <w:spacing w:val="-5"/>
        </w:rPr>
        <w:t xml:space="preserve"> </w:t>
      </w:r>
      <w:r>
        <w:t>39A</w:t>
      </w:r>
      <w:r>
        <w:rPr>
          <w:spacing w:val="-3"/>
        </w:rPr>
        <w:t xml:space="preserve"> </w:t>
      </w:r>
      <w:r>
        <w:t>(частично),</w:t>
      </w:r>
      <w:r>
        <w:rPr>
          <w:spacing w:val="-6"/>
        </w:rPr>
        <w:t xml:space="preserve"> </w:t>
      </w:r>
      <w:r>
        <w:t>39B</w:t>
      </w:r>
      <w:r>
        <w:rPr>
          <w:spacing w:val="-4"/>
        </w:rPr>
        <w:t xml:space="preserve"> </w:t>
      </w:r>
      <w:r>
        <w:t>(частично), 39D, 39E; XXVII-37, 38, 39 в Южно-</w:t>
      </w:r>
      <w:proofErr w:type="spellStart"/>
      <w:r>
        <w:t>Торгайском</w:t>
      </w:r>
      <w:proofErr w:type="spellEnd"/>
      <w:r>
        <w:t xml:space="preserve"> нефтегазоносном ба</w:t>
      </w:r>
      <w:r>
        <w:t>ссейне в Карагандинской области Республики Казахстан.</w:t>
      </w:r>
    </w:p>
    <w:p w:rsidR="00DA4DAC" w:rsidRDefault="00D15169">
      <w:pPr>
        <w:pStyle w:val="a3"/>
        <w:spacing w:before="121"/>
        <w:ind w:right="142" w:firstLine="566"/>
      </w:pPr>
      <w:r>
        <w:t>В 2023 г. году было получено Дополнение №13 (рег. №5233-УВС от 06.06.2023 г.) к контракту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разведки и добычи</w:t>
      </w:r>
      <w:r>
        <w:rPr>
          <w:spacing w:val="-2"/>
        </w:rPr>
        <w:t xml:space="preserve"> </w:t>
      </w:r>
      <w:r>
        <w:t>УВС на</w:t>
      </w:r>
      <w:r>
        <w:rPr>
          <w:spacing w:val="-1"/>
        </w:rPr>
        <w:t xml:space="preserve"> </w:t>
      </w:r>
      <w:r>
        <w:t>подготовительный период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года</w:t>
      </w:r>
      <w:r>
        <w:rPr>
          <w:spacing w:val="-1"/>
        </w:rPr>
        <w:t xml:space="preserve"> </w:t>
      </w:r>
      <w:r>
        <w:t>с конца 2022 г.</w:t>
      </w:r>
    </w:p>
    <w:p w:rsidR="00DA4DAC" w:rsidRDefault="00D15169">
      <w:pPr>
        <w:pStyle w:val="a3"/>
        <w:spacing w:before="120"/>
        <w:ind w:right="138" w:firstLine="566"/>
      </w:pPr>
      <w:r>
        <w:t>В 2006 году составлен «</w:t>
      </w:r>
      <w:r>
        <w:t>Проект поисков и оценки залежей нефти и газа» [17], согласованный ТУ «</w:t>
      </w:r>
      <w:proofErr w:type="spellStart"/>
      <w:r>
        <w:t>Южказнедра</w:t>
      </w:r>
      <w:proofErr w:type="spellEnd"/>
      <w:r>
        <w:t>» (Протокол НТС ТУ «</w:t>
      </w:r>
      <w:proofErr w:type="spellStart"/>
      <w:r>
        <w:t>Южказнедра</w:t>
      </w:r>
      <w:proofErr w:type="spellEnd"/>
      <w:r>
        <w:t xml:space="preserve">» №203/06 от 16.06.2006 г.). В том же году на контрактной территории была проведена </w:t>
      </w:r>
      <w:proofErr w:type="spellStart"/>
      <w:r>
        <w:t>переобработка</w:t>
      </w:r>
      <w:proofErr w:type="spellEnd"/>
      <w:r>
        <w:t xml:space="preserve"> и </w:t>
      </w:r>
      <w:proofErr w:type="spellStart"/>
      <w:r>
        <w:t>переинтерпретация</w:t>
      </w:r>
      <w:proofErr w:type="spellEnd"/>
      <w:r>
        <w:t xml:space="preserve"> сейсмических материалов прош</w:t>
      </w:r>
      <w:r>
        <w:t>лых лет.</w:t>
      </w:r>
    </w:p>
    <w:p w:rsidR="00DA4DAC" w:rsidRDefault="00D15169">
      <w:pPr>
        <w:pStyle w:val="a3"/>
        <w:spacing w:before="120"/>
        <w:ind w:right="135" w:firstLine="566"/>
      </w:pPr>
      <w:r>
        <w:t>В 2006-2007 годы компанией ТОО «BGP» проведены полевые сейсмические работы 2Д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объеме</w:t>
      </w:r>
      <w:r>
        <w:rPr>
          <w:spacing w:val="-15"/>
        </w:rPr>
        <w:t xml:space="preserve"> </w:t>
      </w:r>
      <w:r>
        <w:t>950</w:t>
      </w:r>
      <w:r>
        <w:rPr>
          <w:spacing w:val="-15"/>
        </w:rPr>
        <w:t xml:space="preserve"> </w:t>
      </w:r>
      <w:proofErr w:type="spellStart"/>
      <w:r>
        <w:t>пог.км</w:t>
      </w:r>
      <w:proofErr w:type="spellEnd"/>
      <w:r>
        <w:t>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контрактной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была</w:t>
      </w:r>
      <w:r>
        <w:rPr>
          <w:spacing w:val="-15"/>
        </w:rPr>
        <w:t xml:space="preserve"> </w:t>
      </w:r>
      <w:r>
        <w:t xml:space="preserve">выделена группа перспективных структур: Карабулак, Западный Карабулак, </w:t>
      </w:r>
      <w:proofErr w:type="spellStart"/>
      <w:r>
        <w:t>Кокбулак</w:t>
      </w:r>
      <w:proofErr w:type="spellEnd"/>
      <w:r>
        <w:t xml:space="preserve">, Восточный </w:t>
      </w:r>
      <w:proofErr w:type="spellStart"/>
      <w:r>
        <w:t>Ойшубар</w:t>
      </w:r>
      <w:proofErr w:type="spellEnd"/>
      <w:r>
        <w:t xml:space="preserve">, </w:t>
      </w:r>
      <w:proofErr w:type="spellStart"/>
      <w:r>
        <w:t>Кемер</w:t>
      </w:r>
      <w:proofErr w:type="spellEnd"/>
      <w:r>
        <w:t xml:space="preserve"> и др., и на основании проекта поисков и оценки, было начато бурение первых</w:t>
      </w:r>
      <w:r>
        <w:rPr>
          <w:spacing w:val="-8"/>
        </w:rPr>
        <w:t xml:space="preserve"> </w:t>
      </w:r>
      <w:r>
        <w:t>поисково-разведочных</w:t>
      </w:r>
      <w:r>
        <w:rPr>
          <w:spacing w:val="-8"/>
        </w:rPr>
        <w:t xml:space="preserve"> </w:t>
      </w:r>
      <w:r>
        <w:t>скважин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проектными</w:t>
      </w:r>
      <w:r>
        <w:rPr>
          <w:spacing w:val="-7"/>
        </w:rPr>
        <w:t xml:space="preserve"> </w:t>
      </w:r>
      <w:r>
        <w:t>глубинами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1500</w:t>
      </w:r>
      <w:r>
        <w:rPr>
          <w:spacing w:val="-8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до</w:t>
      </w:r>
      <w:r>
        <w:t xml:space="preserve"> 3300м и проведение сейсмических исследований методиками 2Д и 3Д. В 2007 г. было составлено</w:t>
      </w:r>
      <w:r>
        <w:rPr>
          <w:spacing w:val="-15"/>
        </w:rPr>
        <w:t xml:space="preserve"> </w:t>
      </w:r>
      <w:r>
        <w:t>«Дополнение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поисков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залежей</w:t>
      </w:r>
      <w:r>
        <w:rPr>
          <w:spacing w:val="-15"/>
        </w:rPr>
        <w:t xml:space="preserve"> </w:t>
      </w:r>
      <w:r>
        <w:t>нефти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газа»</w:t>
      </w:r>
      <w:r>
        <w:rPr>
          <w:spacing w:val="-15"/>
        </w:rPr>
        <w:t xml:space="preserve"> </w:t>
      </w:r>
      <w:r>
        <w:t>(Протокол</w:t>
      </w:r>
      <w:r>
        <w:rPr>
          <w:spacing w:val="-15"/>
        </w:rPr>
        <w:t xml:space="preserve"> </w:t>
      </w:r>
      <w:r>
        <w:t>НТС ТУ «</w:t>
      </w:r>
      <w:proofErr w:type="spellStart"/>
      <w:r>
        <w:t>Южказнедра</w:t>
      </w:r>
      <w:proofErr w:type="spellEnd"/>
      <w:r>
        <w:t>» №335/07 от 15.11.2007 г.). В 2008 г. на основании проведенных сейсмически</w:t>
      </w:r>
      <w:r>
        <w:t>х исследований 2Д на контрактной территории впервые обнаружено новое месторождение Карабулак.</w:t>
      </w:r>
    </w:p>
    <w:p w:rsidR="00DA4DAC" w:rsidRDefault="00D15169">
      <w:pPr>
        <w:pStyle w:val="a3"/>
        <w:spacing w:before="120"/>
        <w:ind w:right="137" w:firstLine="566"/>
      </w:pPr>
      <w:r>
        <w:t>В 2009 г. с открытием месторождения Карабулак, компанией ТОО «BGP» на контрактной территории проведена детальная сейсморазведка 3Д в объеме 200 км².</w:t>
      </w:r>
    </w:p>
    <w:p w:rsidR="00DA4DAC" w:rsidRDefault="00D15169">
      <w:pPr>
        <w:pStyle w:val="a3"/>
        <w:spacing w:before="121"/>
        <w:ind w:right="144" w:firstLine="566"/>
      </w:pPr>
      <w:r>
        <w:t>В 2010 г. про</w:t>
      </w:r>
      <w:r>
        <w:t>ведены сейсморазведочные работы 3Д в объеме 150 км² с полным покрытием структуры Северный Карабулак.</w:t>
      </w:r>
    </w:p>
    <w:p w:rsidR="00DA4DAC" w:rsidRDefault="00D15169">
      <w:pPr>
        <w:pStyle w:val="a3"/>
        <w:spacing w:before="120"/>
        <w:ind w:right="136" w:firstLine="566"/>
      </w:pPr>
      <w:r>
        <w:t>В 2011 г. согласно «Проекту поисковых работ на Контрактной территории №1928 на разведку УВС компании АО «ПККР» (Протокол № 121 от 14.04.2011г), всего преду</w:t>
      </w:r>
      <w:r>
        <w:t>сматривалось бурение 10 скважин, из них на структуре Северный Карабулак закончена бурением поисково-разведочная скважина №1, где из интервалов 1368-1371 м, палеозойских отложений получены притоки нефти. Получение притоков нефти из данной скважины показывае</w:t>
      </w:r>
      <w:r>
        <w:t xml:space="preserve">т, что на контрактной территории еще имеются потенциальные возможности для выявления продуктивных горизонтов. В связи с этим, в 2011 году </w:t>
      </w:r>
      <w:proofErr w:type="spellStart"/>
      <w:r>
        <w:t>Недропользователем</w:t>
      </w:r>
      <w:proofErr w:type="spellEnd"/>
      <w:r>
        <w:t xml:space="preserve"> получено Дополнение №2 (</w:t>
      </w:r>
      <w:proofErr w:type="spellStart"/>
      <w:r>
        <w:t>гос.рег</w:t>
      </w:r>
      <w:proofErr w:type="spellEnd"/>
      <w:r>
        <w:t>. № 3722-УВС от 11.08.2011 г.) к Контракту</w:t>
      </w:r>
      <w:r>
        <w:rPr>
          <w:spacing w:val="-7"/>
        </w:rPr>
        <w:t xml:space="preserve"> </w:t>
      </w:r>
      <w:r>
        <w:t>№1928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продление</w:t>
      </w:r>
      <w:r>
        <w:rPr>
          <w:spacing w:val="-8"/>
        </w:rPr>
        <w:t xml:space="preserve"> </w:t>
      </w:r>
      <w:r>
        <w:t>период</w:t>
      </w:r>
      <w:r>
        <w:t>а</w:t>
      </w:r>
      <w:r>
        <w:rPr>
          <w:spacing w:val="-8"/>
        </w:rPr>
        <w:t xml:space="preserve"> </w:t>
      </w:r>
      <w:r>
        <w:t>разведки</w:t>
      </w:r>
      <w:r>
        <w:rPr>
          <w:spacing w:val="-6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27.12.2013</w:t>
      </w:r>
      <w:r>
        <w:rPr>
          <w:spacing w:val="-7"/>
        </w:rPr>
        <w:t xml:space="preserve"> </w:t>
      </w:r>
      <w:r>
        <w:t>г. В</w:t>
      </w:r>
      <w:r>
        <w:rPr>
          <w:spacing w:val="-13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утверждено</w:t>
      </w:r>
      <w:r>
        <w:rPr>
          <w:spacing w:val="-12"/>
        </w:rPr>
        <w:t xml:space="preserve"> </w:t>
      </w:r>
      <w:r>
        <w:t>«Дополнение</w:t>
      </w:r>
      <w:r>
        <w:rPr>
          <w:spacing w:val="-1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поисковых</w:t>
      </w:r>
      <w:r>
        <w:rPr>
          <w:spacing w:val="-12"/>
        </w:rPr>
        <w:t xml:space="preserve"> </w:t>
      </w:r>
      <w:r>
        <w:t>работ»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разведку</w:t>
      </w:r>
      <w:r>
        <w:rPr>
          <w:spacing w:val="-12"/>
        </w:rPr>
        <w:t xml:space="preserve"> </w:t>
      </w:r>
      <w:r>
        <w:t>УВС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период продления 2012-2013 гг. (Протокол №316 от 05.01.2012г.). В период данного продления бурение скважин на структуре Северный Карабулак не предусматривалось.</w:t>
      </w:r>
    </w:p>
    <w:p w:rsidR="00DA4DAC" w:rsidRDefault="00D15169">
      <w:pPr>
        <w:pStyle w:val="a3"/>
        <w:spacing w:before="121"/>
        <w:ind w:left="851"/>
      </w:pPr>
      <w:r>
        <w:t>В</w:t>
      </w:r>
      <w:r>
        <w:rPr>
          <w:spacing w:val="1"/>
        </w:rPr>
        <w:t xml:space="preserve"> </w:t>
      </w:r>
      <w:r>
        <w:t>2012-2013</w:t>
      </w:r>
      <w:r>
        <w:rPr>
          <w:spacing w:val="2"/>
        </w:rPr>
        <w:t xml:space="preserve"> </w:t>
      </w:r>
      <w:r>
        <w:t>гг.</w:t>
      </w:r>
      <w:r>
        <w:rPr>
          <w:spacing w:val="2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получены Дополнение</w:t>
      </w:r>
      <w:r>
        <w:rPr>
          <w:spacing w:val="1"/>
        </w:rPr>
        <w:t xml:space="preserve"> </w:t>
      </w:r>
      <w:r>
        <w:t>№3</w:t>
      </w:r>
      <w:r>
        <w:rPr>
          <w:spacing w:val="2"/>
        </w:rPr>
        <w:t xml:space="preserve"> </w:t>
      </w:r>
      <w:r>
        <w:t>(гос.</w:t>
      </w:r>
      <w:r>
        <w:rPr>
          <w:spacing w:val="2"/>
        </w:rPr>
        <w:t xml:space="preserve"> </w:t>
      </w:r>
      <w:r>
        <w:t>рег.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3771-УВС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2"/>
        </w:rPr>
        <w:t>24.01.2012</w:t>
      </w:r>
    </w:p>
    <w:p w:rsidR="00DA4DAC" w:rsidRDefault="00DA4DAC">
      <w:pPr>
        <w:pStyle w:val="a3"/>
        <w:sectPr w:rsidR="00DA4DAC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DA4DAC" w:rsidRDefault="00D15169">
      <w:pPr>
        <w:pStyle w:val="a3"/>
        <w:spacing w:before="73"/>
        <w:ind w:right="136"/>
      </w:pPr>
      <w:r>
        <w:lastRenderedPageBreak/>
        <w:t>г.) и Дополнение №4 (гос. рег. № 3925-УВС от 15.07.2013г.) к Контракту №1928 в связи с внесением</w:t>
      </w:r>
      <w:r>
        <w:rPr>
          <w:spacing w:val="4"/>
        </w:rPr>
        <w:t xml:space="preserve"> </w:t>
      </w:r>
      <w:r>
        <w:t>изменений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дополнений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Рабочую</w:t>
      </w:r>
      <w:r>
        <w:rPr>
          <w:spacing w:val="8"/>
        </w:rPr>
        <w:t xml:space="preserve"> </w:t>
      </w:r>
      <w:r>
        <w:t>программу.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ЦКРР</w:t>
      </w:r>
      <w:r>
        <w:rPr>
          <w:spacing w:val="8"/>
        </w:rPr>
        <w:t xml:space="preserve"> </w:t>
      </w:r>
      <w:r>
        <w:t>РК</w:t>
      </w:r>
      <w:r>
        <w:rPr>
          <w:spacing w:val="8"/>
        </w:rPr>
        <w:t xml:space="preserve"> </w:t>
      </w:r>
      <w:r>
        <w:rPr>
          <w:spacing w:val="-2"/>
        </w:rPr>
        <w:t>утвержден</w:t>
      </w:r>
    </w:p>
    <w:p w:rsidR="00DA4DAC" w:rsidRDefault="00D15169">
      <w:pPr>
        <w:pStyle w:val="a3"/>
        <w:spacing w:before="1"/>
      </w:pPr>
      <w:r>
        <w:t>«Проект</w:t>
      </w:r>
      <w:r>
        <w:rPr>
          <w:spacing w:val="36"/>
        </w:rPr>
        <w:t xml:space="preserve"> </w:t>
      </w:r>
      <w:r>
        <w:t>поисковых</w:t>
      </w:r>
      <w:r>
        <w:rPr>
          <w:spacing w:val="37"/>
        </w:rPr>
        <w:t xml:space="preserve"> </w:t>
      </w:r>
      <w:r>
        <w:t>работ</w:t>
      </w:r>
      <w:r>
        <w:rPr>
          <w:spacing w:val="37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продления</w:t>
      </w:r>
      <w:r>
        <w:rPr>
          <w:spacing w:val="37"/>
        </w:rPr>
        <w:t xml:space="preserve"> </w:t>
      </w:r>
      <w:r>
        <w:t>срока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2014-2015</w:t>
      </w:r>
      <w:r>
        <w:rPr>
          <w:spacing w:val="34"/>
        </w:rPr>
        <w:t xml:space="preserve"> </w:t>
      </w:r>
      <w:r>
        <w:t>гг.»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2"/>
        </w:rPr>
        <w:t>Протоколом</w:t>
      </w:r>
    </w:p>
    <w:p w:rsidR="00DA4DAC" w:rsidRDefault="00D15169">
      <w:pPr>
        <w:pStyle w:val="a3"/>
        <w:ind w:right="135"/>
      </w:pPr>
      <w:r>
        <w:t>№36/14 от 06.06.2013 г. Проектом предусмотрено бурение 4 разведочных скважин. Дополнением №5 (рег.№3952-УВС от 12.10.2013 г.) к контракту №1928 продлен период разведки на 2 года до 27.12.2015 г.</w:t>
      </w:r>
    </w:p>
    <w:p w:rsidR="00DA4DAC" w:rsidRDefault="00D15169">
      <w:pPr>
        <w:pStyle w:val="a3"/>
        <w:spacing w:before="120"/>
        <w:ind w:left="851"/>
      </w:pPr>
      <w:r>
        <w:t>В</w:t>
      </w:r>
      <w:r>
        <w:rPr>
          <w:spacing w:val="19"/>
        </w:rPr>
        <w:t xml:space="preserve"> </w:t>
      </w:r>
      <w:r>
        <w:t>2014</w:t>
      </w:r>
      <w:r>
        <w:rPr>
          <w:spacing w:val="20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месторождении</w:t>
      </w:r>
      <w:r>
        <w:rPr>
          <w:spacing w:val="19"/>
        </w:rPr>
        <w:t xml:space="preserve"> </w:t>
      </w:r>
      <w:r>
        <w:t>Северный</w:t>
      </w:r>
      <w:r>
        <w:rPr>
          <w:spacing w:val="22"/>
        </w:rPr>
        <w:t xml:space="preserve"> </w:t>
      </w:r>
      <w:r>
        <w:t>Карабулак</w:t>
      </w:r>
      <w:r>
        <w:rPr>
          <w:spacing w:val="21"/>
        </w:rPr>
        <w:t xml:space="preserve"> </w:t>
      </w:r>
      <w:r>
        <w:t>пробурена</w:t>
      </w:r>
      <w:r>
        <w:rPr>
          <w:spacing w:val="19"/>
        </w:rPr>
        <w:t xml:space="preserve"> </w:t>
      </w:r>
      <w:r>
        <w:t>разве</w:t>
      </w:r>
      <w:r>
        <w:t>дочная</w:t>
      </w:r>
      <w:r>
        <w:rPr>
          <w:spacing w:val="21"/>
        </w:rPr>
        <w:t xml:space="preserve"> </w:t>
      </w:r>
      <w:r>
        <w:rPr>
          <w:spacing w:val="-2"/>
        </w:rPr>
        <w:t>скважина</w:t>
      </w:r>
    </w:p>
    <w:p w:rsidR="00DA4DAC" w:rsidRDefault="00D15169">
      <w:pPr>
        <w:pStyle w:val="a3"/>
        <w:jc w:val="left"/>
      </w:pPr>
      <w:r>
        <w:rPr>
          <w:spacing w:val="-5"/>
        </w:rPr>
        <w:t>№2.</w:t>
      </w:r>
    </w:p>
    <w:p w:rsidR="00DA4DAC" w:rsidRDefault="00D15169">
      <w:pPr>
        <w:pStyle w:val="a3"/>
        <w:spacing w:before="120"/>
        <w:ind w:left="851"/>
        <w:jc w:val="left"/>
      </w:pPr>
      <w:r>
        <w:t>В</w:t>
      </w:r>
      <w:r>
        <w:rPr>
          <w:spacing w:val="65"/>
        </w:rPr>
        <w:t xml:space="preserve"> </w:t>
      </w:r>
      <w:r>
        <w:t>2015</w:t>
      </w:r>
      <w:r>
        <w:rPr>
          <w:spacing w:val="68"/>
        </w:rPr>
        <w:t xml:space="preserve"> </w:t>
      </w:r>
      <w:r>
        <w:t>году</w:t>
      </w:r>
      <w:r>
        <w:rPr>
          <w:spacing w:val="68"/>
        </w:rPr>
        <w:t xml:space="preserve"> </w:t>
      </w:r>
      <w:r>
        <w:t>ЦКРР</w:t>
      </w:r>
      <w:r>
        <w:rPr>
          <w:spacing w:val="69"/>
        </w:rPr>
        <w:t xml:space="preserve"> </w:t>
      </w:r>
      <w:r>
        <w:t>РК</w:t>
      </w:r>
      <w:r>
        <w:rPr>
          <w:spacing w:val="68"/>
        </w:rPr>
        <w:t xml:space="preserve"> </w:t>
      </w:r>
      <w:r>
        <w:t>утвержден</w:t>
      </w:r>
      <w:r>
        <w:rPr>
          <w:spacing w:val="68"/>
        </w:rPr>
        <w:t xml:space="preserve"> </w:t>
      </w:r>
      <w:r>
        <w:t>«Проект</w:t>
      </w:r>
      <w:r>
        <w:rPr>
          <w:spacing w:val="69"/>
        </w:rPr>
        <w:t xml:space="preserve"> </w:t>
      </w:r>
      <w:r>
        <w:t>оценочных</w:t>
      </w:r>
      <w:r>
        <w:rPr>
          <w:spacing w:val="67"/>
        </w:rPr>
        <w:t xml:space="preserve"> </w:t>
      </w:r>
      <w:r>
        <w:t>работ</w:t>
      </w:r>
      <w:r>
        <w:rPr>
          <w:spacing w:val="69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2"/>
        </w:rPr>
        <w:t>месторождении</w:t>
      </w:r>
    </w:p>
    <w:p w:rsidR="00DA4DAC" w:rsidRDefault="00D15169">
      <w:pPr>
        <w:pStyle w:val="a3"/>
        <w:ind w:right="135"/>
      </w:pPr>
      <w:r>
        <w:t>Северный</w:t>
      </w:r>
      <w:r>
        <w:rPr>
          <w:spacing w:val="-15"/>
        </w:rPr>
        <w:t xml:space="preserve"> </w:t>
      </w:r>
      <w:r>
        <w:t>Карабулак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2016-2018</w:t>
      </w:r>
      <w:r>
        <w:rPr>
          <w:spacing w:val="-14"/>
        </w:rPr>
        <w:t xml:space="preserve"> </w:t>
      </w:r>
      <w:r>
        <w:t>гг.»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Протоколом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61/10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17.07.2015г.</w:t>
      </w:r>
      <w:r>
        <w:rPr>
          <w:spacing w:val="-14"/>
        </w:rPr>
        <w:t xml:space="preserve"> </w:t>
      </w:r>
      <w:r>
        <w:t>Всего проектом предусмотрено бурение 7 оценочных скважин с проектным горизонтом PZ Дополнением №6 (рег.№4210-УВС-МЭ от 12.11.2015 г.) к контракту №1928 продлен период</w:t>
      </w:r>
      <w:r>
        <w:rPr>
          <w:spacing w:val="-15"/>
        </w:rPr>
        <w:t xml:space="preserve"> </w:t>
      </w:r>
      <w:r>
        <w:t>разведки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27.12.2018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2016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месторождении</w:t>
      </w:r>
      <w:r>
        <w:rPr>
          <w:spacing w:val="-15"/>
        </w:rPr>
        <w:t xml:space="preserve"> </w:t>
      </w:r>
      <w:r>
        <w:t>Северный Карабу</w:t>
      </w:r>
      <w:r>
        <w:t>лак пробурена оценочная скважина №3. В 2018 г. было получено Дополнение №7 (рег. № 4620-УВС-МЭ от 27.06.2018 г.) в связи с внесением изменений в Рабочую программу Контракта на 2017-2018 гг. В 2018 г. на месторождении Северный Карабулак пробурены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оценоч</w:t>
      </w:r>
      <w:r>
        <w:t>ные</w:t>
      </w:r>
      <w:r>
        <w:rPr>
          <w:spacing w:val="-3"/>
        </w:rPr>
        <w:t xml:space="preserve"> </w:t>
      </w:r>
      <w:r>
        <w:t>скважины</w:t>
      </w:r>
      <w:r>
        <w:rPr>
          <w:spacing w:val="-2"/>
        </w:rPr>
        <w:t xml:space="preserve"> </w:t>
      </w:r>
      <w:r>
        <w:t>(№№4,</w:t>
      </w:r>
      <w:r>
        <w:rPr>
          <w:spacing w:val="-1"/>
        </w:rPr>
        <w:t xml:space="preserve"> </w:t>
      </w:r>
      <w:r>
        <w:t>5).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отложений</w:t>
      </w:r>
      <w:r>
        <w:rPr>
          <w:spacing w:val="-3"/>
        </w:rPr>
        <w:t xml:space="preserve"> </w:t>
      </w:r>
      <w:r>
        <w:t>палеозоя</w:t>
      </w:r>
      <w:r>
        <w:rPr>
          <w:spacing w:val="-1"/>
        </w:rPr>
        <w:t xml:space="preserve"> </w:t>
      </w:r>
      <w:r>
        <w:t>получены</w:t>
      </w:r>
      <w:r>
        <w:rPr>
          <w:spacing w:val="-3"/>
        </w:rPr>
        <w:t xml:space="preserve"> </w:t>
      </w:r>
      <w:r>
        <w:t xml:space="preserve">притоки </w:t>
      </w:r>
      <w:r>
        <w:rPr>
          <w:spacing w:val="-2"/>
        </w:rPr>
        <w:t>нефти.</w:t>
      </w:r>
    </w:p>
    <w:p w:rsidR="00DA4DAC" w:rsidRDefault="00D15169">
      <w:pPr>
        <w:pStyle w:val="a3"/>
        <w:spacing w:before="121"/>
        <w:ind w:right="136" w:firstLine="566"/>
      </w:pPr>
      <w:r>
        <w:t>В 2018 г. утвержден «Проект оценочных работ месторождения Северный Карабулак на</w:t>
      </w:r>
      <w:r>
        <w:rPr>
          <w:spacing w:val="-15"/>
        </w:rPr>
        <w:t xml:space="preserve"> </w:t>
      </w:r>
      <w:r>
        <w:t>Контрактной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№1928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2019-2021</w:t>
      </w:r>
      <w:r>
        <w:rPr>
          <w:spacing w:val="-15"/>
        </w:rPr>
        <w:t xml:space="preserve"> </w:t>
      </w:r>
      <w:r>
        <w:t>гг.»</w:t>
      </w:r>
      <w:r>
        <w:rPr>
          <w:spacing w:val="-15"/>
        </w:rPr>
        <w:t xml:space="preserve"> </w:t>
      </w:r>
      <w:r>
        <w:t>(Письмо</w:t>
      </w:r>
      <w:r>
        <w:rPr>
          <w:spacing w:val="-15"/>
        </w:rPr>
        <w:t xml:space="preserve"> </w:t>
      </w:r>
      <w:proofErr w:type="spellStart"/>
      <w:r>
        <w:t>КГиН</w:t>
      </w:r>
      <w:proofErr w:type="spellEnd"/>
      <w:r>
        <w:rPr>
          <w:spacing w:val="-15"/>
        </w:rPr>
        <w:t xml:space="preserve"> </w:t>
      </w:r>
      <w:proofErr w:type="spellStart"/>
      <w:r>
        <w:t>МИиР</w:t>
      </w:r>
      <w:proofErr w:type="spellEnd"/>
      <w:r>
        <w:rPr>
          <w:spacing w:val="-15"/>
        </w:rPr>
        <w:t xml:space="preserve"> </w:t>
      </w:r>
      <w:r>
        <w:t>РК</w:t>
      </w:r>
      <w:r>
        <w:rPr>
          <w:spacing w:val="-15"/>
        </w:rPr>
        <w:t xml:space="preserve"> </w:t>
      </w:r>
      <w:r>
        <w:t>№27- 5-964-И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21.06.2018</w:t>
      </w:r>
      <w:r>
        <w:rPr>
          <w:spacing w:val="-10"/>
        </w:rPr>
        <w:t xml:space="preserve"> </w:t>
      </w:r>
      <w:r>
        <w:t>г.),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получено</w:t>
      </w:r>
      <w:r>
        <w:rPr>
          <w:spacing w:val="-10"/>
        </w:rPr>
        <w:t xml:space="preserve"> </w:t>
      </w:r>
      <w:r>
        <w:t>Дополнение</w:t>
      </w:r>
      <w:r>
        <w:rPr>
          <w:spacing w:val="-11"/>
        </w:rPr>
        <w:t xml:space="preserve"> </w:t>
      </w:r>
      <w:r>
        <w:t>№8</w:t>
      </w:r>
      <w:r>
        <w:rPr>
          <w:spacing w:val="-10"/>
        </w:rPr>
        <w:t xml:space="preserve"> </w:t>
      </w:r>
      <w:r>
        <w:t>(рег.</w:t>
      </w:r>
      <w:r>
        <w:rPr>
          <w:spacing w:val="-10"/>
        </w:rPr>
        <w:t xml:space="preserve"> </w:t>
      </w:r>
      <w:r>
        <w:t>№4635-УВСМЭ</w:t>
      </w:r>
      <w:r>
        <w:rPr>
          <w:spacing w:val="-9"/>
        </w:rPr>
        <w:t xml:space="preserve"> </w:t>
      </w:r>
      <w:r>
        <w:t>от 06.08.2018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контракту</w:t>
      </w:r>
      <w:r>
        <w:rPr>
          <w:spacing w:val="-1"/>
        </w:rPr>
        <w:t xml:space="preserve"> </w:t>
      </w:r>
      <w:r>
        <w:t>№1928,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которого,</w:t>
      </w:r>
      <w:r>
        <w:rPr>
          <w:spacing w:val="-1"/>
        </w:rPr>
        <w:t xml:space="preserve"> </w:t>
      </w:r>
      <w:r>
        <w:t>продлен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разведки для</w:t>
      </w:r>
      <w:r>
        <w:rPr>
          <w:spacing w:val="-1"/>
        </w:rPr>
        <w:t xml:space="preserve"> </w:t>
      </w:r>
      <w:r>
        <w:t>оценки на 3 года до 27.12.2021 г. По результатам поисково-разведочного бурения, детальной пластовой</w:t>
      </w:r>
      <w:r>
        <w:rPr>
          <w:spacing w:val="-11"/>
        </w:rPr>
        <w:t xml:space="preserve"> </w:t>
      </w:r>
      <w:r>
        <w:t>корреляции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</w:t>
      </w:r>
      <w:r>
        <w:t>ивлечением</w:t>
      </w:r>
      <w:r>
        <w:rPr>
          <w:spacing w:val="-13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ГИС,</w:t>
      </w:r>
      <w:r>
        <w:rPr>
          <w:spacing w:val="-12"/>
        </w:rPr>
        <w:t xml:space="preserve"> </w:t>
      </w:r>
      <w:r>
        <w:t>керна,</w:t>
      </w:r>
      <w:r>
        <w:rPr>
          <w:spacing w:val="-12"/>
        </w:rPr>
        <w:t xml:space="preserve"> </w:t>
      </w:r>
      <w:r>
        <w:t>опробования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разрезе</w:t>
      </w:r>
      <w:r>
        <w:rPr>
          <w:spacing w:val="-13"/>
        </w:rPr>
        <w:t xml:space="preserve"> </w:t>
      </w:r>
      <w:r>
        <w:t>площади Северный Карабулак установлен один продуктивный горизонт, приуроченный к палеозойским отложениям (PZ).</w:t>
      </w:r>
    </w:p>
    <w:p w:rsidR="00DA4DAC" w:rsidRDefault="00D15169">
      <w:pPr>
        <w:pStyle w:val="a3"/>
        <w:spacing w:before="120"/>
        <w:ind w:left="851"/>
      </w:pPr>
      <w:r>
        <w:t>В</w:t>
      </w:r>
      <w:r>
        <w:rPr>
          <w:spacing w:val="15"/>
        </w:rPr>
        <w:t xml:space="preserve"> </w:t>
      </w:r>
      <w:r>
        <w:t>2019</w:t>
      </w:r>
      <w:r>
        <w:rPr>
          <w:spacing w:val="17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впервые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пробуренных</w:t>
      </w:r>
      <w:r>
        <w:rPr>
          <w:spacing w:val="17"/>
        </w:rPr>
        <w:t xml:space="preserve"> </w:t>
      </w:r>
      <w:r>
        <w:t>скважин</w:t>
      </w:r>
      <w:r>
        <w:rPr>
          <w:spacing w:val="17"/>
        </w:rPr>
        <w:t xml:space="preserve"> </w:t>
      </w:r>
      <w:r>
        <w:t>№№</w:t>
      </w:r>
      <w:r>
        <w:rPr>
          <w:spacing w:val="17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t>3,</w:t>
      </w:r>
      <w:r>
        <w:rPr>
          <w:spacing w:val="17"/>
        </w:rPr>
        <w:t xml:space="preserve"> </w:t>
      </w:r>
      <w:r>
        <w:t>4,</w:t>
      </w:r>
      <w:r>
        <w:rPr>
          <w:spacing w:val="17"/>
        </w:rPr>
        <w:t xml:space="preserve"> </w:t>
      </w:r>
      <w:r>
        <w:t>5</w:t>
      </w:r>
      <w:r>
        <w:rPr>
          <w:spacing w:val="17"/>
        </w:rPr>
        <w:t xml:space="preserve"> </w:t>
      </w:r>
      <w:r>
        <w:rPr>
          <w:spacing w:val="-2"/>
        </w:rPr>
        <w:t>выполнен</w:t>
      </w:r>
    </w:p>
    <w:p w:rsidR="00DA4DAC" w:rsidRDefault="00D15169">
      <w:pPr>
        <w:pStyle w:val="a3"/>
        <w:ind w:right="133"/>
      </w:pPr>
      <w:r>
        <w:t>«Оперативный подсчет запасов нефти и газа месторождения Северный Карабулак Карагандинской области Республики Казахстан» по состоянию изученности на 02.05.2019 г.</w:t>
      </w:r>
      <w:r>
        <w:rPr>
          <w:spacing w:val="-11"/>
        </w:rPr>
        <w:t xml:space="preserve"> </w:t>
      </w:r>
      <w:r>
        <w:t>[24],</w:t>
      </w:r>
      <w:r>
        <w:rPr>
          <w:spacing w:val="-12"/>
        </w:rPr>
        <w:t xml:space="preserve"> </w:t>
      </w:r>
      <w:r>
        <w:t>принятый</w:t>
      </w:r>
      <w:r>
        <w:rPr>
          <w:spacing w:val="-10"/>
        </w:rPr>
        <w:t xml:space="preserve"> </w:t>
      </w:r>
      <w:r>
        <w:t>ГКЗ</w:t>
      </w:r>
      <w:r>
        <w:rPr>
          <w:spacing w:val="-11"/>
        </w:rPr>
        <w:t xml:space="preserve"> </w:t>
      </w:r>
      <w:r>
        <w:t>РК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Гос.</w:t>
      </w:r>
      <w:r>
        <w:rPr>
          <w:spacing w:val="-12"/>
        </w:rPr>
        <w:t xml:space="preserve"> </w:t>
      </w:r>
      <w:r>
        <w:t>Баланс</w:t>
      </w:r>
      <w:r>
        <w:rPr>
          <w:spacing w:val="-12"/>
        </w:rPr>
        <w:t xml:space="preserve"> </w:t>
      </w:r>
      <w:r>
        <w:t>(Протокол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2115-19-П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11.11.2019г.).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 приятых</w:t>
      </w:r>
      <w:r>
        <w:t xml:space="preserve"> вышеприведенных оперативных запасов нефти и газа 2019 года, ТОО «</w:t>
      </w:r>
      <w:proofErr w:type="spellStart"/>
      <w:r>
        <w:t>Timal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rPr>
          <w:spacing w:val="-12"/>
        </w:rPr>
        <w:t xml:space="preserve"> </w:t>
      </w:r>
      <w:proofErr w:type="spellStart"/>
      <w:r>
        <w:t>Group</w:t>
      </w:r>
      <w:proofErr w:type="spellEnd"/>
      <w:r>
        <w:t>»</w:t>
      </w:r>
      <w:r>
        <w:rPr>
          <w:spacing w:val="-12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выполнен</w:t>
      </w:r>
      <w:r>
        <w:rPr>
          <w:spacing w:val="-11"/>
        </w:rPr>
        <w:t xml:space="preserve"> </w:t>
      </w:r>
      <w:r>
        <w:t>«Проект</w:t>
      </w:r>
      <w:r>
        <w:rPr>
          <w:spacing w:val="-13"/>
        </w:rPr>
        <w:t xml:space="preserve"> </w:t>
      </w:r>
      <w:r>
        <w:t>пробной</w:t>
      </w:r>
      <w:r>
        <w:rPr>
          <w:spacing w:val="-11"/>
        </w:rPr>
        <w:t xml:space="preserve"> </w:t>
      </w:r>
      <w:r>
        <w:t>эксплуатации</w:t>
      </w:r>
      <w:r>
        <w:rPr>
          <w:spacing w:val="-11"/>
        </w:rPr>
        <w:t xml:space="preserve"> </w:t>
      </w:r>
      <w:r>
        <w:t>месторождения</w:t>
      </w:r>
      <w:r>
        <w:rPr>
          <w:spacing w:val="-11"/>
        </w:rPr>
        <w:t xml:space="preserve"> </w:t>
      </w:r>
      <w:r>
        <w:t>Северный Карабулак» по состоянию изученности на 01.01.2020 г. [25] и утвержден ЦКРР месторождений УВ</w:t>
      </w:r>
      <w:r>
        <w:rPr>
          <w:spacing w:val="-2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(Прото</w:t>
      </w:r>
      <w:r>
        <w:t>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3/1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20.08.2020</w:t>
      </w:r>
      <w:r>
        <w:rPr>
          <w:spacing w:val="-1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«Подсчет</w:t>
      </w:r>
      <w:r>
        <w:rPr>
          <w:spacing w:val="-1"/>
        </w:rPr>
        <w:t xml:space="preserve"> </w:t>
      </w:r>
      <w:r>
        <w:t>запасов</w:t>
      </w:r>
      <w:r>
        <w:rPr>
          <w:spacing w:val="-2"/>
        </w:rPr>
        <w:t xml:space="preserve"> </w:t>
      </w:r>
      <w:r>
        <w:t>нефти</w:t>
      </w:r>
      <w:r>
        <w:rPr>
          <w:spacing w:val="-2"/>
        </w:rPr>
        <w:t xml:space="preserve"> </w:t>
      </w:r>
      <w:r>
        <w:t>и растворенного в нефти газа месторождения Северный Карабулак» по состоянию на 01.06.2021 г., был выполнен АО «</w:t>
      </w:r>
      <w:proofErr w:type="spellStart"/>
      <w:r>
        <w:t>НИПИнефтегаз</w:t>
      </w:r>
      <w:proofErr w:type="spellEnd"/>
      <w:r>
        <w:t>» и утвержден в ГКЗ РК (Протокол № 2458-22-У) от 28.09.2022 г. На основе утвержденных запасов нефти и растворенного в нефти газа мест</w:t>
      </w:r>
      <w:r>
        <w:t>орождения Северный Карабулак, накопленных данных, полученных при опробовании и пробной эксплуатации разведочных, оценочных и 2-х опережающее- добывающих скважин месторождения составлен</w:t>
      </w:r>
      <w:r>
        <w:rPr>
          <w:spacing w:val="40"/>
        </w:rPr>
        <w:t xml:space="preserve"> </w:t>
      </w:r>
      <w:r>
        <w:rPr>
          <w:b/>
        </w:rPr>
        <w:t>«Проект разработки месторождения Северный Карабулак» по состоянию на 01</w:t>
      </w:r>
      <w:r>
        <w:rPr>
          <w:b/>
        </w:rPr>
        <w:t xml:space="preserve">.01.2023 г. </w:t>
      </w:r>
      <w:r>
        <w:t xml:space="preserve">На дату составления настоящего отчета на месторождении всего пробурено 8 скважин, в </w:t>
      </w:r>
      <w:proofErr w:type="spellStart"/>
      <w:r>
        <w:t>т.ч</w:t>
      </w:r>
      <w:proofErr w:type="spellEnd"/>
      <w:r>
        <w:t>. 2 ед. опережающее- добывающих с начала реализации ППЭ, в ноябре 2020 г.</w:t>
      </w:r>
    </w:p>
    <w:p w:rsidR="00DA4DAC" w:rsidRDefault="00DA4DAC">
      <w:pPr>
        <w:pStyle w:val="a3"/>
        <w:sectPr w:rsidR="00DA4DAC">
          <w:pgSz w:w="11910" w:h="16840"/>
          <w:pgMar w:top="1040" w:right="708" w:bottom="280" w:left="1417" w:header="720" w:footer="720" w:gutter="0"/>
          <w:cols w:space="720"/>
        </w:sectPr>
      </w:pPr>
    </w:p>
    <w:p w:rsidR="00DA4DAC" w:rsidRDefault="00D15169">
      <w:pPr>
        <w:pStyle w:val="a3"/>
        <w:ind w:left="28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230988" cy="502653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988" cy="502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AC" w:rsidRDefault="00DA4DAC">
      <w:pPr>
        <w:pStyle w:val="a3"/>
        <w:spacing w:before="89"/>
        <w:ind w:left="0"/>
        <w:jc w:val="left"/>
      </w:pPr>
    </w:p>
    <w:p w:rsidR="00DA4DAC" w:rsidRDefault="00D15169">
      <w:pPr>
        <w:pStyle w:val="a3"/>
        <w:ind w:left="2949"/>
        <w:jc w:val="left"/>
      </w:pPr>
      <w:r>
        <w:t>Рисунок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Ситуационная</w:t>
      </w:r>
      <w:r>
        <w:rPr>
          <w:spacing w:val="-4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rPr>
          <w:spacing w:val="-2"/>
        </w:rPr>
        <w:t>расположения</w:t>
      </w:r>
    </w:p>
    <w:p w:rsidR="00DA4DAC" w:rsidRDefault="00DA4DAC">
      <w:pPr>
        <w:pStyle w:val="a3"/>
        <w:spacing w:before="84"/>
        <w:ind w:left="0"/>
        <w:jc w:val="left"/>
      </w:pPr>
    </w:p>
    <w:p w:rsidR="00DA4DAC" w:rsidRDefault="00D15169">
      <w:pPr>
        <w:pStyle w:val="a4"/>
        <w:numPr>
          <w:ilvl w:val="0"/>
          <w:numId w:val="2"/>
        </w:numPr>
        <w:tabs>
          <w:tab w:val="left" w:pos="1986"/>
        </w:tabs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затрагиваемой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ее</w:t>
      </w:r>
    </w:p>
    <w:p w:rsidR="00DA4DAC" w:rsidRDefault="00D15169">
      <w:pPr>
        <w:spacing w:before="41"/>
        <w:ind w:left="5009"/>
        <w:rPr>
          <w:b/>
          <w:sz w:val="24"/>
        </w:rPr>
      </w:pPr>
      <w:r>
        <w:rPr>
          <w:b/>
          <w:spacing w:val="-2"/>
          <w:sz w:val="24"/>
        </w:rPr>
        <w:t>населения</w:t>
      </w:r>
    </w:p>
    <w:p w:rsidR="00DA4DAC" w:rsidRDefault="00D15169">
      <w:pPr>
        <w:pStyle w:val="a3"/>
        <w:spacing w:before="41" w:line="276" w:lineRule="auto"/>
        <w:ind w:right="138" w:firstLine="707"/>
      </w:pPr>
      <w:r>
        <w:t xml:space="preserve">Численность населения области на 1 января 2025г. составила 221,3 тыс. человек, в том числе 175,7 тыс. человек (79,4%) – городских, 45,6 тыс. человек (20,6%) – сельских </w:t>
      </w:r>
      <w:r>
        <w:rPr>
          <w:spacing w:val="-2"/>
        </w:rPr>
        <w:t>жителей.</w:t>
      </w:r>
    </w:p>
    <w:p w:rsidR="00DA4DAC" w:rsidRDefault="00D15169">
      <w:pPr>
        <w:pStyle w:val="a3"/>
        <w:spacing w:before="1" w:line="276" w:lineRule="auto"/>
        <w:ind w:right="140" w:firstLine="707"/>
      </w:pPr>
      <w:r>
        <w:t xml:space="preserve">Естественней прирост населения </w:t>
      </w:r>
      <w:r>
        <w:t>в январе-декабре 2024г. составил 2265 человек (в соответствующем периоде предыдущего года – 2544 человек).</w:t>
      </w:r>
    </w:p>
    <w:p w:rsidR="00DA4DAC" w:rsidRDefault="00D15169">
      <w:pPr>
        <w:pStyle w:val="a3"/>
        <w:spacing w:before="1" w:line="276" w:lineRule="auto"/>
        <w:ind w:right="143" w:firstLine="707"/>
      </w:pPr>
      <w:r>
        <w:t xml:space="preserve">За январь-декабрь 2024г. число родившихся составило 4143 человек (на 6,3 % меньше чем в январе-декабре 2023г.), число умерших составило 1878 человек </w:t>
      </w:r>
      <w:r>
        <w:t>(на 0,1 % больше чем в январе-декабре 2023г.).</w:t>
      </w:r>
    </w:p>
    <w:p w:rsidR="00DA4DAC" w:rsidRDefault="00D15169">
      <w:pPr>
        <w:pStyle w:val="a3"/>
        <w:spacing w:line="276" w:lineRule="auto"/>
        <w:ind w:right="134" w:firstLine="707"/>
      </w:pPr>
      <w:r>
        <w:t>Сальдо</w:t>
      </w:r>
      <w:r>
        <w:rPr>
          <w:spacing w:val="-8"/>
        </w:rPr>
        <w:t xml:space="preserve"> </w:t>
      </w:r>
      <w:r>
        <w:t>миграции</w:t>
      </w:r>
      <w:r>
        <w:rPr>
          <w:spacing w:val="-7"/>
        </w:rPr>
        <w:t xml:space="preserve"> </w:t>
      </w:r>
      <w:r>
        <w:t>отрицательное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составило</w:t>
      </w:r>
      <w:r>
        <w:rPr>
          <w:spacing w:val="-5"/>
        </w:rPr>
        <w:t xml:space="preserve"> </w:t>
      </w:r>
      <w:r>
        <w:t>-2532</w:t>
      </w:r>
      <w:r>
        <w:rPr>
          <w:spacing w:val="-8"/>
        </w:rPr>
        <w:t xml:space="preserve"> </w:t>
      </w:r>
      <w:r>
        <w:t>человек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январе-декабре</w:t>
      </w:r>
      <w:r>
        <w:rPr>
          <w:spacing w:val="-9"/>
        </w:rPr>
        <w:t xml:space="preserve"> </w:t>
      </w:r>
      <w:r>
        <w:t>2023г. – -2373 человек), в том</w:t>
      </w:r>
      <w:r>
        <w:rPr>
          <w:spacing w:val="-1"/>
        </w:rPr>
        <w:t xml:space="preserve"> </w:t>
      </w:r>
      <w:r>
        <w:t>числе во внешней миграции – -16 человек (-146), во внутренней –</w:t>
      </w:r>
      <w:r>
        <w:rPr>
          <w:spacing w:val="-1"/>
        </w:rPr>
        <w:t xml:space="preserve"> </w:t>
      </w:r>
      <w:r>
        <w:t>- 2516 человек (-2227).</w:t>
      </w:r>
    </w:p>
    <w:p w:rsidR="00DA4DAC" w:rsidRDefault="00DA4DAC">
      <w:pPr>
        <w:pStyle w:val="a3"/>
        <w:spacing w:line="276" w:lineRule="auto"/>
        <w:sectPr w:rsidR="00DA4DAC">
          <w:pgSz w:w="11910" w:h="16840"/>
          <w:pgMar w:top="1500" w:right="708" w:bottom="280" w:left="1417" w:header="720" w:footer="720" w:gutter="0"/>
          <w:cols w:space="720"/>
        </w:sectPr>
      </w:pPr>
    </w:p>
    <w:p w:rsidR="00DA4DAC" w:rsidRDefault="00D15169">
      <w:pPr>
        <w:pStyle w:val="a4"/>
        <w:numPr>
          <w:ilvl w:val="0"/>
          <w:numId w:val="2"/>
        </w:numPr>
        <w:tabs>
          <w:tab w:val="left" w:pos="1715"/>
        </w:tabs>
        <w:spacing w:before="73"/>
        <w:ind w:left="1715"/>
        <w:jc w:val="left"/>
        <w:rPr>
          <w:b/>
          <w:sz w:val="24"/>
        </w:rPr>
      </w:pPr>
      <w:r>
        <w:rPr>
          <w:b/>
          <w:sz w:val="24"/>
        </w:rPr>
        <w:lastRenderedPageBreak/>
        <w:t>Наименование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инициатора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контактные</w:t>
      </w:r>
    </w:p>
    <w:p w:rsidR="00DA4DAC" w:rsidRDefault="00D15169">
      <w:pPr>
        <w:spacing w:before="44"/>
        <w:ind w:left="5162"/>
        <w:rPr>
          <w:b/>
          <w:sz w:val="24"/>
        </w:rPr>
      </w:pPr>
      <w:r>
        <w:rPr>
          <w:b/>
          <w:spacing w:val="-2"/>
          <w:sz w:val="24"/>
        </w:rPr>
        <w:t>данные</w:t>
      </w:r>
    </w:p>
    <w:p w:rsidR="00DA4DAC" w:rsidRDefault="00D15169">
      <w:pPr>
        <w:spacing w:before="41"/>
        <w:ind w:right="1448"/>
        <w:jc w:val="right"/>
        <w:rPr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предприятия: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АО</w:t>
      </w:r>
      <w:r>
        <w:rPr>
          <w:spacing w:val="-9"/>
          <w:sz w:val="24"/>
        </w:rPr>
        <w:t xml:space="preserve"> </w:t>
      </w:r>
      <w:r>
        <w:rPr>
          <w:sz w:val="24"/>
        </w:rPr>
        <w:t>«Петро</w:t>
      </w:r>
      <w:r>
        <w:rPr>
          <w:spacing w:val="-12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Кумколь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Ресорсиз</w:t>
      </w:r>
      <w:proofErr w:type="spellEnd"/>
      <w:r>
        <w:rPr>
          <w:spacing w:val="-2"/>
          <w:sz w:val="24"/>
        </w:rPr>
        <w:t>».</w:t>
      </w:r>
    </w:p>
    <w:p w:rsidR="00DA4DAC" w:rsidRDefault="00D15169">
      <w:pPr>
        <w:spacing w:before="41"/>
        <w:ind w:right="1501"/>
        <w:jc w:val="right"/>
        <w:rPr>
          <w:sz w:val="24"/>
        </w:rPr>
      </w:pPr>
      <w:r>
        <w:rPr>
          <w:i/>
          <w:sz w:val="24"/>
        </w:rPr>
        <w:t>Юридический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адрес: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12"/>
          <w:sz w:val="24"/>
        </w:rPr>
        <w:t xml:space="preserve"> </w:t>
      </w:r>
      <w:r>
        <w:rPr>
          <w:sz w:val="24"/>
        </w:rPr>
        <w:t>Казахстан,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Кызылорда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ул.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Казыбек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би,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13.</w:t>
      </w:r>
    </w:p>
    <w:p w:rsidR="00DA4DAC" w:rsidRDefault="00DA4DAC">
      <w:pPr>
        <w:pStyle w:val="a3"/>
        <w:ind w:left="0"/>
        <w:jc w:val="left"/>
      </w:pPr>
    </w:p>
    <w:p w:rsidR="00DA4DAC" w:rsidRDefault="00DA4DAC">
      <w:pPr>
        <w:pStyle w:val="a3"/>
        <w:spacing w:before="124"/>
        <w:ind w:left="0"/>
        <w:jc w:val="left"/>
      </w:pPr>
    </w:p>
    <w:p w:rsidR="00DA4DAC" w:rsidRDefault="00D15169">
      <w:pPr>
        <w:ind w:left="2860"/>
        <w:jc w:val="both"/>
        <w:rPr>
          <w:b/>
          <w:sz w:val="24"/>
        </w:rPr>
      </w:pPr>
      <w:r>
        <w:rPr>
          <w:b/>
          <w:sz w:val="24"/>
        </w:rPr>
        <w:t>4.Краткое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DA4DAC" w:rsidRDefault="00D15169">
      <w:pPr>
        <w:pStyle w:val="a3"/>
        <w:spacing w:before="41"/>
        <w:ind w:right="137" w:firstLine="566"/>
      </w:pPr>
      <w:r>
        <w:t>Компания</w:t>
      </w:r>
      <w:r>
        <w:rPr>
          <w:spacing w:val="-10"/>
        </w:rPr>
        <w:t xml:space="preserve"> </w:t>
      </w:r>
      <w:r>
        <w:t>АО</w:t>
      </w:r>
      <w:r>
        <w:rPr>
          <w:spacing w:val="-11"/>
        </w:rPr>
        <w:t xml:space="preserve"> </w:t>
      </w:r>
      <w:r>
        <w:t>«</w:t>
      </w:r>
      <w:proofErr w:type="spellStart"/>
      <w:r>
        <w:t>ПетроКазахстан</w:t>
      </w:r>
      <w:proofErr w:type="spellEnd"/>
      <w:r>
        <w:rPr>
          <w:spacing w:val="-10"/>
        </w:rPr>
        <w:t xml:space="preserve"> </w:t>
      </w:r>
      <w:proofErr w:type="spellStart"/>
      <w:r>
        <w:t>Кумколь</w:t>
      </w:r>
      <w:proofErr w:type="spellEnd"/>
      <w:r>
        <w:rPr>
          <w:spacing w:val="-6"/>
        </w:rPr>
        <w:t xml:space="preserve"> </w:t>
      </w:r>
      <w:proofErr w:type="spellStart"/>
      <w:r>
        <w:t>Ресорсиз</w:t>
      </w:r>
      <w:proofErr w:type="spellEnd"/>
      <w:r>
        <w:t>»</w:t>
      </w:r>
      <w:r>
        <w:rPr>
          <w:spacing w:val="-10"/>
        </w:rPr>
        <w:t xml:space="preserve"> </w:t>
      </w:r>
      <w:r>
        <w:t>проводит</w:t>
      </w:r>
      <w:r>
        <w:rPr>
          <w:spacing w:val="-10"/>
        </w:rPr>
        <w:t xml:space="preserve"> </w:t>
      </w:r>
      <w:r>
        <w:t>разведку</w:t>
      </w:r>
      <w:r>
        <w:rPr>
          <w:spacing w:val="-10"/>
        </w:rPr>
        <w:t xml:space="preserve"> </w:t>
      </w:r>
      <w:r>
        <w:t>УВС</w:t>
      </w:r>
      <w:r>
        <w:rPr>
          <w:spacing w:val="-9"/>
        </w:rPr>
        <w:t xml:space="preserve"> </w:t>
      </w:r>
      <w:r>
        <w:t>согласно Контракту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1928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27.12.2005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блоках</w:t>
      </w:r>
      <w:r>
        <w:rPr>
          <w:spacing w:val="-2"/>
        </w:rPr>
        <w:t xml:space="preserve"> </w:t>
      </w:r>
      <w:r>
        <w:t>XXVI-37,</w:t>
      </w:r>
      <w:r>
        <w:rPr>
          <w:spacing w:val="-3"/>
        </w:rPr>
        <w:t xml:space="preserve"> </w:t>
      </w:r>
      <w:r>
        <w:t>38,</w:t>
      </w:r>
      <w:r>
        <w:rPr>
          <w:spacing w:val="-5"/>
        </w:rPr>
        <w:t xml:space="preserve"> </w:t>
      </w:r>
      <w:r>
        <w:t>39A</w:t>
      </w:r>
      <w:r>
        <w:rPr>
          <w:spacing w:val="-3"/>
        </w:rPr>
        <w:t xml:space="preserve"> </w:t>
      </w:r>
      <w:r>
        <w:t>(частично),</w:t>
      </w:r>
      <w:r>
        <w:rPr>
          <w:spacing w:val="-6"/>
        </w:rPr>
        <w:t xml:space="preserve"> </w:t>
      </w:r>
      <w:r>
        <w:t>39B</w:t>
      </w:r>
      <w:r>
        <w:rPr>
          <w:spacing w:val="-4"/>
        </w:rPr>
        <w:t xml:space="preserve"> </w:t>
      </w:r>
      <w:r>
        <w:t>(частично), 39D, 39E; XXVII-37, 38, 39 в Южно-</w:t>
      </w:r>
      <w:proofErr w:type="spellStart"/>
      <w:r>
        <w:t>Торгайском</w:t>
      </w:r>
      <w:proofErr w:type="spellEnd"/>
      <w:r>
        <w:t xml:space="preserve"> нефтегазоносном бассейне в Карагандинской обл</w:t>
      </w:r>
      <w:r>
        <w:t>асти Республики Казахстан.</w:t>
      </w:r>
    </w:p>
    <w:p w:rsidR="00DA4DAC" w:rsidRDefault="00DA4DAC">
      <w:pPr>
        <w:pStyle w:val="a3"/>
        <w:ind w:left="0"/>
        <w:jc w:val="left"/>
      </w:pPr>
    </w:p>
    <w:p w:rsidR="00DA4DAC" w:rsidRDefault="00DA4DAC">
      <w:pPr>
        <w:pStyle w:val="a3"/>
        <w:spacing w:before="162"/>
        <w:ind w:left="0"/>
        <w:jc w:val="left"/>
      </w:pPr>
    </w:p>
    <w:p w:rsidR="00DA4DAC" w:rsidRDefault="00D15169">
      <w:pPr>
        <w:spacing w:line="278" w:lineRule="auto"/>
        <w:ind w:left="4135" w:right="299" w:hanging="3126"/>
        <w:jc w:val="both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Краткое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существенных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окружающую среду:</w:t>
      </w:r>
    </w:p>
    <w:p w:rsidR="00DA4DAC" w:rsidRDefault="00D15169">
      <w:pPr>
        <w:spacing w:line="276" w:lineRule="auto"/>
        <w:ind w:left="285" w:right="141"/>
        <w:jc w:val="both"/>
        <w:rPr>
          <w:b/>
          <w:sz w:val="24"/>
        </w:rPr>
      </w:pPr>
      <w:r>
        <w:rPr>
          <w:b/>
          <w:sz w:val="24"/>
        </w:rPr>
        <w:t>Информация о предельных количественных и качественных показателях эмиссий, физических воздействий на окружающую среду, предельном количес</w:t>
      </w:r>
      <w:r>
        <w:rPr>
          <w:b/>
          <w:sz w:val="24"/>
        </w:rPr>
        <w:t xml:space="preserve">тве накопления отходов, а также их захоронения, если оно планируется в рамках намечаемой </w:t>
      </w:r>
      <w:r>
        <w:rPr>
          <w:b/>
          <w:spacing w:val="-2"/>
          <w:sz w:val="24"/>
        </w:rPr>
        <w:t>деятельности:</w:t>
      </w:r>
    </w:p>
    <w:p w:rsidR="00D15169" w:rsidRDefault="00D15169" w:rsidP="00D15169">
      <w:pPr>
        <w:pStyle w:val="a3"/>
        <w:ind w:right="138" w:firstLine="851"/>
      </w:pPr>
      <w:r>
        <w:t xml:space="preserve">Разработка проекта НДВ на 2026 год вызвана в связи </w:t>
      </w:r>
      <w:proofErr w:type="gramStart"/>
      <w:r>
        <w:t>с  истечением</w:t>
      </w:r>
      <w:proofErr w:type="gramEnd"/>
      <w:r>
        <w:t xml:space="preserve"> срока действия разрешения на эмиссии в окружающую среду. </w:t>
      </w:r>
    </w:p>
    <w:p w:rsidR="00D15169" w:rsidRDefault="00D15169" w:rsidP="00D15169">
      <w:pPr>
        <w:pStyle w:val="a3"/>
        <w:ind w:right="138" w:firstLine="851"/>
      </w:pPr>
      <w:r>
        <w:t xml:space="preserve">Также, </w:t>
      </w:r>
      <w:proofErr w:type="gramStart"/>
      <w:r>
        <w:t>включены  разделы</w:t>
      </w:r>
      <w:proofErr w:type="gramEnd"/>
      <w:r>
        <w:t xml:space="preserve"> ООС к рабочим проектам (переходящие от 2025 года и которые будут реализованы в 2026 году):</w:t>
      </w:r>
    </w:p>
    <w:p w:rsidR="00D15169" w:rsidRDefault="00D15169" w:rsidP="00D15169">
      <w:pPr>
        <w:pStyle w:val="a3"/>
        <w:ind w:right="138" w:firstLine="851"/>
      </w:pPr>
      <w:r>
        <w:t>1.</w:t>
      </w:r>
      <w:r>
        <w:tab/>
        <w:t xml:space="preserve">«Подъездные автодороги к </w:t>
      </w:r>
      <w:proofErr w:type="gramStart"/>
      <w:r>
        <w:t>СКВ.№</w:t>
      </w:r>
      <w:proofErr w:type="gramEnd"/>
      <w:r>
        <w:t>№1, 4, 21, 22 на   месторождении Северный Карабулак», NKB20-32-03;</w:t>
      </w:r>
    </w:p>
    <w:p w:rsidR="00D15169" w:rsidRPr="00D15169" w:rsidRDefault="00D15169" w:rsidP="00D15169">
      <w:pPr>
        <w:pStyle w:val="a4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      </w:t>
      </w:r>
      <w:r w:rsidRPr="00D15169">
        <w:rPr>
          <w:sz w:val="24"/>
        </w:rPr>
        <w:t>Итого в 2026 году источниками предприятия от эксплуатации с включением КРС, СМР будет выброшено ~ 10,040 т/год. Из них:</w:t>
      </w:r>
    </w:p>
    <w:p w:rsidR="00D15169" w:rsidRPr="00D15169" w:rsidRDefault="00D15169" w:rsidP="00D15169">
      <w:pPr>
        <w:pStyle w:val="a4"/>
        <w:jc w:val="both"/>
        <w:rPr>
          <w:sz w:val="24"/>
        </w:rPr>
      </w:pPr>
      <w:r w:rsidRPr="00D15169">
        <w:rPr>
          <w:sz w:val="24"/>
        </w:rPr>
        <w:t>На месторождении Северный Карабулак при эксплуатации валовый выброс на 2026 г составит – 0.18193203566 г/с, 3.548 т/год.</w:t>
      </w:r>
      <w:r w:rsidRPr="00D15169">
        <w:rPr>
          <w:sz w:val="24"/>
        </w:rPr>
        <w:tab/>
      </w:r>
    </w:p>
    <w:p w:rsidR="00D15169" w:rsidRPr="00D15169" w:rsidRDefault="00D15169" w:rsidP="00D15169">
      <w:pPr>
        <w:pStyle w:val="a4"/>
        <w:jc w:val="both"/>
        <w:rPr>
          <w:sz w:val="24"/>
        </w:rPr>
      </w:pPr>
      <w:r w:rsidRPr="00D15169">
        <w:rPr>
          <w:sz w:val="24"/>
        </w:rPr>
        <w:t>При капитальном ремонте скважин на 2026 год валовый выброс составит – 1,836 г/с, 2,523 т/год.</w:t>
      </w:r>
    </w:p>
    <w:p w:rsidR="00D15169" w:rsidRPr="00D15169" w:rsidRDefault="00D15169" w:rsidP="00D15169">
      <w:pPr>
        <w:pStyle w:val="a4"/>
        <w:jc w:val="both"/>
        <w:rPr>
          <w:sz w:val="24"/>
        </w:rPr>
      </w:pPr>
      <w:r w:rsidRPr="00D15169">
        <w:rPr>
          <w:sz w:val="24"/>
        </w:rPr>
        <w:t>Максимальные разовые и валовые выбросы от проектов РООС к рабочим проектам составляет:</w:t>
      </w:r>
    </w:p>
    <w:p w:rsidR="00DA4DAC" w:rsidRDefault="00D15169" w:rsidP="00D15169">
      <w:pPr>
        <w:pStyle w:val="a4"/>
        <w:jc w:val="both"/>
        <w:rPr>
          <w:i/>
          <w:sz w:val="24"/>
        </w:rPr>
        <w:sectPr w:rsidR="00DA4DAC">
          <w:pgSz w:w="11910" w:h="16840"/>
          <w:pgMar w:top="1040" w:right="708" w:bottom="280" w:left="1417" w:header="720" w:footer="720" w:gutter="0"/>
          <w:cols w:space="720"/>
        </w:sectPr>
      </w:pPr>
      <w:r w:rsidRPr="00D15169">
        <w:rPr>
          <w:sz w:val="24"/>
        </w:rPr>
        <w:t xml:space="preserve">- РООС к рабочему проекту «Подъездные автодороги к </w:t>
      </w:r>
      <w:proofErr w:type="spellStart"/>
      <w:r w:rsidRPr="00D15169">
        <w:rPr>
          <w:sz w:val="24"/>
        </w:rPr>
        <w:t>cкв</w:t>
      </w:r>
      <w:proofErr w:type="spellEnd"/>
      <w:r w:rsidRPr="00D15169">
        <w:rPr>
          <w:sz w:val="24"/>
        </w:rPr>
        <w:t>.№№1, 4, 5, 21, 22 на месторождении Северный Карабулак» на период строительства 2026 год – 1,14 г/с, 3,969 т/год;</w:t>
      </w:r>
    </w:p>
    <w:p w:rsidR="00DA4DAC" w:rsidRDefault="00D15169">
      <w:pPr>
        <w:spacing w:before="73"/>
        <w:ind w:left="285" w:firstLine="993"/>
        <w:rPr>
          <w:b/>
          <w:sz w:val="24"/>
        </w:rPr>
      </w:pPr>
      <w:r>
        <w:rPr>
          <w:b/>
          <w:sz w:val="24"/>
          <w:u w:val="single"/>
        </w:rPr>
        <w:lastRenderedPageBreak/>
        <w:t>Отходы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производства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потребления:</w:t>
      </w:r>
    </w:p>
    <w:p w:rsidR="00DA4DAC" w:rsidRDefault="00D15169">
      <w:pPr>
        <w:spacing w:before="45"/>
        <w:ind w:left="28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Лимиты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накопления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отходов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год</w:t>
      </w:r>
    </w:p>
    <w:p w:rsidR="00DA4DAC" w:rsidRDefault="00D15169">
      <w:pPr>
        <w:pStyle w:val="a3"/>
        <w:spacing w:before="124" w:line="244" w:lineRule="auto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</w:rPr>
        <w:t>для</w:t>
      </w:r>
      <w:r>
        <w:rPr>
          <w:rFonts w:ascii="Microsoft Sans Serif" w:hAnsi="Microsoft Sans Serif"/>
          <w:spacing w:val="22"/>
        </w:rPr>
        <w:t xml:space="preserve"> </w:t>
      </w:r>
      <w:r>
        <w:rPr>
          <w:rFonts w:ascii="Microsoft Sans Serif" w:hAnsi="Microsoft Sans Serif"/>
        </w:rPr>
        <w:t>АО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«Петро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Казахстан</w:t>
      </w:r>
      <w:r>
        <w:rPr>
          <w:rFonts w:ascii="Microsoft Sans Serif" w:hAnsi="Microsoft Sans Serif"/>
          <w:spacing w:val="21"/>
        </w:rPr>
        <w:t xml:space="preserve"> </w:t>
      </w:r>
      <w:proofErr w:type="spellStart"/>
      <w:r>
        <w:rPr>
          <w:rFonts w:ascii="Microsoft Sans Serif" w:hAnsi="Microsoft Sans Serif"/>
        </w:rPr>
        <w:t>Кумколь</w:t>
      </w:r>
      <w:proofErr w:type="spellEnd"/>
      <w:r>
        <w:rPr>
          <w:rFonts w:ascii="Microsoft Sans Serif" w:hAnsi="Microsoft Sans Serif"/>
          <w:spacing w:val="33"/>
        </w:rPr>
        <w:t xml:space="preserve"> </w:t>
      </w:r>
      <w:proofErr w:type="spellStart"/>
      <w:r>
        <w:rPr>
          <w:rFonts w:ascii="Microsoft Sans Serif" w:hAnsi="Microsoft Sans Serif"/>
        </w:rPr>
        <w:t>Ресорсиз</w:t>
      </w:r>
      <w:proofErr w:type="spellEnd"/>
      <w:r>
        <w:rPr>
          <w:rFonts w:ascii="Microsoft Sans Serif" w:hAnsi="Microsoft Sans Serif"/>
        </w:rPr>
        <w:t>»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на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месторождении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 xml:space="preserve">Северный </w:t>
      </w:r>
      <w:r>
        <w:rPr>
          <w:rFonts w:ascii="Microsoft Sans Serif" w:hAnsi="Microsoft Sans Serif"/>
          <w:spacing w:val="-2"/>
        </w:rPr>
        <w:t>Карабулак</w:t>
      </w:r>
    </w:p>
    <w:p w:rsidR="00DA4DAC" w:rsidRDefault="00DA4DAC">
      <w:pPr>
        <w:pStyle w:val="a3"/>
        <w:ind w:left="0"/>
        <w:jc w:val="left"/>
        <w:rPr>
          <w:rFonts w:ascii="Microsoft Sans Serif"/>
          <w:sz w:val="1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2322"/>
        <w:gridCol w:w="1782"/>
      </w:tblGrid>
      <w:tr w:rsidR="00DA4DAC">
        <w:trPr>
          <w:trHeight w:val="1004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отходов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40" w:lineRule="auto"/>
              <w:ind w:left="277" w:right="540" w:firstLin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pacing w:val="-2"/>
                <w:sz w:val="24"/>
              </w:rPr>
              <w:t xml:space="preserve">накопленных </w:t>
            </w:r>
            <w:r>
              <w:rPr>
                <w:b/>
                <w:sz w:val="24"/>
              </w:rPr>
              <w:t>отходов на</w:t>
            </w:r>
          </w:p>
          <w:p w:rsidR="00DA4DAC" w:rsidRDefault="00D15169">
            <w:pPr>
              <w:pStyle w:val="TableParagraph"/>
              <w:spacing w:line="159" w:lineRule="exact"/>
              <w:ind w:left="14" w:righ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существующее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40" w:lineRule="auto"/>
              <w:ind w:left="80" w:right="315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Лимит накопления, тонн/год</w:t>
            </w:r>
          </w:p>
        </w:tc>
      </w:tr>
      <w:tr w:rsidR="00DA4DAC">
        <w:trPr>
          <w:trHeight w:val="249"/>
        </w:trPr>
        <w:tc>
          <w:tcPr>
            <w:tcW w:w="5627" w:type="dxa"/>
          </w:tcPr>
          <w:p w:rsidR="00DA4DAC" w:rsidRDefault="00D15169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A4DAC">
        <w:trPr>
          <w:trHeight w:val="249"/>
        </w:trPr>
        <w:tc>
          <w:tcPr>
            <w:tcW w:w="5627" w:type="dxa"/>
          </w:tcPr>
          <w:p w:rsidR="00DA4DAC" w:rsidRDefault="00D1516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1603,543</w:t>
            </w:r>
          </w:p>
        </w:tc>
      </w:tr>
      <w:tr w:rsidR="00DA4DAC">
        <w:trPr>
          <w:trHeight w:val="246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2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отходов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27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27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1483,023</w:t>
            </w:r>
          </w:p>
        </w:tc>
      </w:tr>
      <w:tr w:rsidR="00DA4DAC">
        <w:trPr>
          <w:trHeight w:val="249"/>
        </w:trPr>
        <w:tc>
          <w:tcPr>
            <w:tcW w:w="5627" w:type="dxa"/>
          </w:tcPr>
          <w:p w:rsidR="00DA4DAC" w:rsidRDefault="00D1516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отходов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потребления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120,52</w:t>
            </w:r>
          </w:p>
        </w:tc>
      </w:tr>
      <w:tr w:rsidR="00DA4DAC">
        <w:trPr>
          <w:trHeight w:val="246"/>
        </w:trPr>
        <w:tc>
          <w:tcPr>
            <w:tcW w:w="9731" w:type="dxa"/>
            <w:gridSpan w:val="3"/>
          </w:tcPr>
          <w:p w:rsidR="00DA4DAC" w:rsidRDefault="00D15169">
            <w:pPr>
              <w:pStyle w:val="TableParagraph"/>
              <w:spacing w:line="227" w:lineRule="exact"/>
              <w:ind w:left="1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Опасные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отходы</w:t>
            </w:r>
          </w:p>
        </w:tc>
      </w:tr>
      <w:tr w:rsidR="00DA4DAC">
        <w:trPr>
          <w:trHeight w:val="501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76" w:lineRule="exact"/>
              <w:ind w:right="570"/>
              <w:jc w:val="left"/>
              <w:rPr>
                <w:sz w:val="24"/>
              </w:rPr>
            </w:pPr>
            <w:r>
              <w:rPr>
                <w:sz w:val="24"/>
              </w:rPr>
              <w:t>Люминесцентные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 ртутьсодержащие отходы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0,0235</w:t>
            </w:r>
          </w:p>
        </w:tc>
      </w:tr>
      <w:tr w:rsidR="00DA4DAC">
        <w:trPr>
          <w:trHeight w:val="451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2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Отработанные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аккумуляторы</w:t>
            </w:r>
          </w:p>
          <w:p w:rsidR="00DA4DAC" w:rsidRDefault="00D15169">
            <w:pPr>
              <w:pStyle w:val="TableParagraph"/>
              <w:spacing w:line="207" w:lineRule="exact"/>
              <w:jc w:val="left"/>
              <w:rPr>
                <w:sz w:val="24"/>
              </w:rPr>
            </w:pPr>
            <w:r>
              <w:rPr>
                <w:sz w:val="24"/>
              </w:rPr>
              <w:t>(свинцовые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аккумуляторы)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2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2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A4DAC">
        <w:trPr>
          <w:trHeight w:val="500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Отработанные масла (синтетические изоляционные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трансформаторные масла)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A4DAC">
        <w:trPr>
          <w:trHeight w:val="449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2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Отработанный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антифриз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(антифризы,</w:t>
            </w:r>
          </w:p>
          <w:p w:rsidR="00DA4DAC" w:rsidRDefault="00D15169">
            <w:pPr>
              <w:pStyle w:val="TableParagraph"/>
              <w:spacing w:line="20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содержащие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2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23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</w:tr>
      <w:tr w:rsidR="00DA4DAC">
        <w:trPr>
          <w:trHeight w:val="1298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Промасленная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ветошь (абсорбенты,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фильтровальные материалы (включая масляные фильтры иначе не определенные), ткани для вытирания, защитная</w:t>
            </w:r>
          </w:p>
          <w:p w:rsidR="00DA4DAC" w:rsidRDefault="00D1516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одежда,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загрязненные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материалами)**</w:t>
            </w:r>
          </w:p>
        </w:tc>
        <w:tc>
          <w:tcPr>
            <w:tcW w:w="2322" w:type="dxa"/>
          </w:tcPr>
          <w:p w:rsidR="00DA4DAC" w:rsidRDefault="00DA4DAC">
            <w:pPr>
              <w:pStyle w:val="TableParagraph"/>
              <w:spacing w:before="95" w:line="240" w:lineRule="auto"/>
              <w:ind w:left="0"/>
              <w:jc w:val="left"/>
              <w:rPr>
                <w:rFonts w:ascii="Microsoft Sans Serif"/>
                <w:sz w:val="24"/>
              </w:rPr>
            </w:pPr>
          </w:p>
          <w:p w:rsidR="00DA4DAC" w:rsidRDefault="00D15169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1,407</w:t>
            </w:r>
          </w:p>
        </w:tc>
      </w:tr>
      <w:tr w:rsidR="00DA4DAC">
        <w:trPr>
          <w:trHeight w:val="246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2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Масляные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фильтры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2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27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A4DAC">
        <w:trPr>
          <w:trHeight w:val="709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40" w:lineRule="auto"/>
              <w:ind w:right="570"/>
              <w:jc w:val="left"/>
              <w:rPr>
                <w:sz w:val="24"/>
              </w:rPr>
            </w:pPr>
            <w:r>
              <w:rPr>
                <w:sz w:val="24"/>
              </w:rPr>
              <w:t>Отходы ЛКМ (упаковка, содержащая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остатки или загрязненная опасными веществами)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0,12</w:t>
            </w:r>
          </w:p>
        </w:tc>
      </w:tr>
      <w:tr w:rsidR="00DA4DAC">
        <w:trPr>
          <w:trHeight w:val="501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Замазученный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(нефть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пролитая)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DA4DAC">
        <w:trPr>
          <w:trHeight w:val="248"/>
        </w:trPr>
        <w:tc>
          <w:tcPr>
            <w:tcW w:w="9731" w:type="dxa"/>
            <w:gridSpan w:val="3"/>
          </w:tcPr>
          <w:p w:rsidR="00DA4DAC" w:rsidRDefault="00D15169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Неопасные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отходы</w:t>
            </w:r>
          </w:p>
        </w:tc>
      </w:tr>
      <w:tr w:rsidR="00DA4DAC">
        <w:trPr>
          <w:trHeight w:val="1482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40" w:lineRule="auto"/>
              <w:ind w:right="78"/>
              <w:jc w:val="left"/>
              <w:rPr>
                <w:sz w:val="24"/>
              </w:rPr>
            </w:pPr>
            <w:r>
              <w:rPr>
                <w:sz w:val="24"/>
              </w:rPr>
              <w:t>Медицинские отходы (отходы, сбор и размещение которых не подчиняются особым требованиям в целях предотвращения заражения (например, перевязочные материалы, гипс, белье, одноразовая одежда, подгузники)) **</w:t>
            </w:r>
          </w:p>
        </w:tc>
        <w:tc>
          <w:tcPr>
            <w:tcW w:w="2322" w:type="dxa"/>
          </w:tcPr>
          <w:p w:rsidR="00DA4DAC" w:rsidRDefault="00DA4DAC">
            <w:pPr>
              <w:pStyle w:val="TableParagraph"/>
              <w:spacing w:before="244" w:line="240" w:lineRule="auto"/>
              <w:ind w:left="0"/>
              <w:jc w:val="left"/>
              <w:rPr>
                <w:rFonts w:ascii="Microsoft Sans Serif"/>
                <w:sz w:val="24"/>
              </w:rPr>
            </w:pPr>
          </w:p>
          <w:p w:rsidR="00DA4DAC" w:rsidRDefault="00D15169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0,003</w:t>
            </w:r>
          </w:p>
        </w:tc>
      </w:tr>
      <w:tr w:rsidR="00DA4DAC">
        <w:trPr>
          <w:trHeight w:val="249"/>
        </w:trPr>
        <w:tc>
          <w:tcPr>
            <w:tcW w:w="5627" w:type="dxa"/>
          </w:tcPr>
          <w:p w:rsidR="00DA4DAC" w:rsidRDefault="00D151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(черные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</w:t>
            </w:r>
            <w:r>
              <w:rPr>
                <w:spacing w:val="-2"/>
                <w:sz w:val="24"/>
              </w:rPr>
              <w:t>ллы)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12,8</w:t>
            </w:r>
          </w:p>
        </w:tc>
      </w:tr>
      <w:tr w:rsidR="00DA4DAC">
        <w:trPr>
          <w:trHeight w:val="246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27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(цветные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2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27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1,74</w:t>
            </w:r>
          </w:p>
        </w:tc>
      </w:tr>
      <w:tr w:rsidR="00DA4DAC">
        <w:trPr>
          <w:trHeight w:val="755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76" w:lineRule="exact"/>
              <w:ind w:right="1107"/>
              <w:jc w:val="left"/>
              <w:rPr>
                <w:sz w:val="24"/>
              </w:rPr>
            </w:pPr>
            <w:r>
              <w:rPr>
                <w:sz w:val="24"/>
              </w:rPr>
              <w:t>Электронный лом (списанное электрическое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электронное 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before="240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A4DAC">
        <w:trPr>
          <w:trHeight w:val="173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15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полимеров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(пластмассы)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154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154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11,1</w:t>
            </w:r>
          </w:p>
        </w:tc>
      </w:tr>
      <w:tr w:rsidR="00DA4DAC">
        <w:trPr>
          <w:trHeight w:val="248"/>
        </w:trPr>
        <w:tc>
          <w:tcPr>
            <w:tcW w:w="5627" w:type="dxa"/>
          </w:tcPr>
          <w:p w:rsidR="00DA4DAC" w:rsidRDefault="00D151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(смешанная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упаковка)**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DA4DAC">
        <w:trPr>
          <w:trHeight w:val="501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76" w:lineRule="exact"/>
              <w:ind w:right="570"/>
              <w:jc w:val="left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(смешанные коммунальные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отходы)**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120,52</w:t>
            </w:r>
          </w:p>
        </w:tc>
      </w:tr>
      <w:tr w:rsidR="00DA4DAC">
        <w:trPr>
          <w:trHeight w:val="850"/>
        </w:trPr>
        <w:tc>
          <w:tcPr>
            <w:tcW w:w="5627" w:type="dxa"/>
          </w:tcPr>
          <w:p w:rsidR="00DA4DAC" w:rsidRDefault="00D15169">
            <w:pPr>
              <w:pStyle w:val="TableParagraph"/>
              <w:spacing w:line="22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(смешанные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отходы</w:t>
            </w:r>
          </w:p>
          <w:p w:rsidR="00DA4DAC" w:rsidRDefault="00D1516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сноса,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исключением</w:t>
            </w:r>
          </w:p>
          <w:p w:rsidR="00DA4DAC" w:rsidRDefault="00D1516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упомянутых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spacing w:before="189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spacing w:line="22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A4DAC">
        <w:trPr>
          <w:trHeight w:val="249"/>
        </w:trPr>
        <w:tc>
          <w:tcPr>
            <w:tcW w:w="5627" w:type="dxa"/>
          </w:tcPr>
          <w:p w:rsidR="00DA4DAC" w:rsidRDefault="00D151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Огарки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электродов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(отходы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сварки)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0,003</w:t>
            </w:r>
          </w:p>
        </w:tc>
      </w:tr>
      <w:tr w:rsidR="00DA4DAC">
        <w:trPr>
          <w:trHeight w:val="246"/>
        </w:trPr>
        <w:tc>
          <w:tcPr>
            <w:tcW w:w="9731" w:type="dxa"/>
            <w:gridSpan w:val="3"/>
          </w:tcPr>
          <w:p w:rsidR="00DA4DAC" w:rsidRDefault="00D15169">
            <w:pPr>
              <w:pStyle w:val="TableParagraph"/>
              <w:spacing w:line="227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Зеркальные</w:t>
            </w:r>
          </w:p>
        </w:tc>
      </w:tr>
      <w:tr w:rsidR="00DA4DAC">
        <w:trPr>
          <w:trHeight w:val="249"/>
        </w:trPr>
        <w:tc>
          <w:tcPr>
            <w:tcW w:w="5627" w:type="dxa"/>
          </w:tcPr>
          <w:p w:rsidR="00DA4DAC" w:rsidRDefault="00D15169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22" w:type="dxa"/>
          </w:tcPr>
          <w:p w:rsidR="00DA4DAC" w:rsidRDefault="00D1516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2" w:type="dxa"/>
          </w:tcPr>
          <w:p w:rsidR="00DA4DAC" w:rsidRDefault="00D15169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A4DAC" w:rsidRDefault="00DA4DAC">
      <w:pPr>
        <w:pStyle w:val="TableParagraph"/>
        <w:rPr>
          <w:sz w:val="24"/>
        </w:rPr>
        <w:sectPr w:rsidR="00DA4DAC">
          <w:pgSz w:w="11910" w:h="16840"/>
          <w:pgMar w:top="1040" w:right="708" w:bottom="280" w:left="1417" w:header="720" w:footer="720" w:gutter="0"/>
          <w:cols w:space="720"/>
        </w:sectPr>
      </w:pPr>
    </w:p>
    <w:p w:rsidR="00DA4DAC" w:rsidRDefault="00D15169">
      <w:pPr>
        <w:spacing w:before="75"/>
        <w:ind w:left="285" w:right="255"/>
        <w:jc w:val="both"/>
        <w:rPr>
          <w:sz w:val="20"/>
        </w:rPr>
      </w:pPr>
      <w:r>
        <w:rPr>
          <w:sz w:val="20"/>
        </w:rPr>
        <w:lastRenderedPageBreak/>
        <w:t>** Медицинские отходы, промасленная ветошь, использованная упаковка, ТБО. Часть данных отходов направляются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 полигон ТБО м/р </w:t>
      </w:r>
      <w:proofErr w:type="spellStart"/>
      <w:r>
        <w:rPr>
          <w:sz w:val="20"/>
        </w:rPr>
        <w:t>Кумколь</w:t>
      </w:r>
      <w:proofErr w:type="spellEnd"/>
      <w:r>
        <w:rPr>
          <w:sz w:val="20"/>
        </w:rPr>
        <w:t xml:space="preserve"> и КАМ на сжигание в мусоросжигательной печи согласно заключения 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экологической экспертизы на Раздел «Охрана окружающей среды» к рабочему проекту «Расширение полигона для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ТБО на месторождении </w:t>
      </w:r>
      <w:proofErr w:type="spellStart"/>
      <w:r>
        <w:rPr>
          <w:sz w:val="20"/>
        </w:rPr>
        <w:t>Кумколь</w:t>
      </w:r>
      <w:proofErr w:type="spellEnd"/>
      <w:r>
        <w:rPr>
          <w:sz w:val="20"/>
        </w:rPr>
        <w:t xml:space="preserve">» N061-0018/16 от 29.04.2016 г и заключения государственной экологической экспертизы на Раздел «Охрана окружающей среды» к </w:t>
      </w:r>
      <w:r>
        <w:rPr>
          <w:sz w:val="20"/>
        </w:rPr>
        <w:t>рабочему проекту «Расширение участка захоронения ТБО на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м/р </w:t>
      </w:r>
      <w:proofErr w:type="spellStart"/>
      <w:r>
        <w:rPr>
          <w:sz w:val="20"/>
        </w:rPr>
        <w:t>Арыскум</w:t>
      </w:r>
      <w:proofErr w:type="spellEnd"/>
      <w:r>
        <w:rPr>
          <w:sz w:val="20"/>
        </w:rPr>
        <w:t>» N061-0039/17 от 18.03.2017 г. Остальная часть ТБО направляется на размещение на полигон ТБО.</w:t>
      </w:r>
    </w:p>
    <w:p w:rsidR="00DA4DAC" w:rsidRDefault="00D15169">
      <w:pPr>
        <w:spacing w:line="276" w:lineRule="exact"/>
        <w:ind w:left="285"/>
        <w:jc w:val="both"/>
        <w:rPr>
          <w:sz w:val="24"/>
        </w:rPr>
      </w:pP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предусмотрено</w:t>
      </w:r>
      <w:r>
        <w:rPr>
          <w:spacing w:val="-2"/>
          <w:sz w:val="24"/>
        </w:rPr>
        <w:t>.</w:t>
      </w:r>
    </w:p>
    <w:p w:rsidR="00DA4DAC" w:rsidRDefault="00D15169">
      <w:pPr>
        <w:pStyle w:val="1"/>
        <w:ind w:left="1137" w:right="0" w:firstLine="0"/>
      </w:pPr>
      <w:r>
        <w:t>Краткое</w:t>
      </w:r>
      <w:r>
        <w:rPr>
          <w:spacing w:val="-1"/>
        </w:rPr>
        <w:t xml:space="preserve"> </w:t>
      </w:r>
      <w:r>
        <w:rPr>
          <w:spacing w:val="-2"/>
        </w:rPr>
        <w:t>описание:</w:t>
      </w:r>
    </w:p>
    <w:p w:rsidR="00DA4DAC" w:rsidRDefault="00D15169">
      <w:pPr>
        <w:ind w:left="285" w:right="145" w:firstLine="851"/>
        <w:jc w:val="both"/>
        <w:rPr>
          <w:b/>
          <w:i/>
          <w:sz w:val="24"/>
        </w:rPr>
      </w:pPr>
      <w:r>
        <w:rPr>
          <w:b/>
          <w:i/>
          <w:sz w:val="24"/>
        </w:rPr>
        <w:t>мер по предотвращению, сокращению, смягчению в</w:t>
      </w:r>
      <w:r>
        <w:rPr>
          <w:b/>
          <w:i/>
          <w:sz w:val="24"/>
        </w:rPr>
        <w:t>ыявленных существенных воздействий намечаемой деятельности на окружающую среду</w:t>
      </w:r>
    </w:p>
    <w:p w:rsidR="00DA4DAC" w:rsidRDefault="00D15169">
      <w:pPr>
        <w:pStyle w:val="a3"/>
        <w:ind w:right="146" w:firstLine="851"/>
      </w:pPr>
      <w:r>
        <w:t xml:space="preserve">Существенных воздействий намечаемой деятельности на окружающую среду не </w:t>
      </w:r>
      <w:r>
        <w:rPr>
          <w:spacing w:val="-2"/>
        </w:rPr>
        <w:t>ожидается.</w:t>
      </w:r>
    </w:p>
    <w:p w:rsidR="00DA4DAC" w:rsidRDefault="00D15169">
      <w:pPr>
        <w:pStyle w:val="1"/>
      </w:pPr>
      <w:r>
        <w:t>мер по компенсации потерь биоразнообразия, если намечаемая деятельность может привести к таким</w:t>
      </w:r>
      <w:r>
        <w:t xml:space="preserve"> потерям</w:t>
      </w:r>
    </w:p>
    <w:p w:rsidR="00DA4DAC" w:rsidRDefault="00D15169">
      <w:pPr>
        <w:pStyle w:val="a3"/>
        <w:ind w:right="141" w:firstLine="851"/>
      </w:pPr>
      <w:r>
        <w:t xml:space="preserve">Потери биоразнообразия от намечаемой деятельности на окружающую среду не </w:t>
      </w:r>
      <w:r>
        <w:rPr>
          <w:spacing w:val="-2"/>
        </w:rPr>
        <w:t>ожидается.</w:t>
      </w:r>
    </w:p>
    <w:p w:rsidR="00DA4DAC" w:rsidRDefault="00D15169">
      <w:pPr>
        <w:pStyle w:val="1"/>
      </w:pPr>
      <w:r>
        <w:t>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:rsidR="00DA4DAC" w:rsidRDefault="00D15169">
      <w:pPr>
        <w:pStyle w:val="a3"/>
        <w:ind w:right="143" w:firstLine="851"/>
      </w:pPr>
      <w:r>
        <w:t>Возможных необратимых воздействий</w:t>
      </w:r>
      <w:r>
        <w:rPr>
          <w:spacing w:val="-1"/>
        </w:rPr>
        <w:t xml:space="preserve"> </w:t>
      </w:r>
      <w:r>
        <w:t>намечаемой деятельности на окружающую среду н</w:t>
      </w:r>
      <w:r>
        <w:t>е ожидается.</w:t>
      </w:r>
    </w:p>
    <w:p w:rsidR="00DA4DAC" w:rsidRDefault="00D15169">
      <w:pPr>
        <w:pStyle w:val="1"/>
        <w:spacing w:before="1"/>
        <w:ind w:right="143"/>
      </w:pPr>
      <w:r>
        <w:t>способов и мер восстановления окружающей среды в случаях прекращения намечаемой деятельности</w:t>
      </w:r>
    </w:p>
    <w:p w:rsidR="00DA4DAC" w:rsidRDefault="00D15169">
      <w:pPr>
        <w:pStyle w:val="a3"/>
        <w:ind w:left="1137"/>
      </w:pPr>
      <w:r>
        <w:t>Необратимого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ожидается.</w:t>
      </w:r>
    </w:p>
    <w:p w:rsidR="00DA4DAC" w:rsidRDefault="00D15169">
      <w:pPr>
        <w:pStyle w:val="1"/>
        <w:ind w:right="147"/>
      </w:pPr>
      <w:r>
        <w:t>Список источников информации, полученной в ходе выполнения оценки воздействия на ок</w:t>
      </w:r>
      <w:r>
        <w:t>ружающую среду:</w:t>
      </w:r>
    </w:p>
    <w:p w:rsidR="00DA4DAC" w:rsidRDefault="00D15169">
      <w:pPr>
        <w:pStyle w:val="a3"/>
        <w:ind w:left="1137"/>
      </w:pPr>
      <w:r>
        <w:t>Законодательные</w:t>
      </w:r>
      <w:r>
        <w:rPr>
          <w:spacing w:val="-8"/>
        </w:rPr>
        <w:t xml:space="preserve"> </w:t>
      </w:r>
      <w:r>
        <w:t>рамки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оценки.</w:t>
      </w:r>
    </w:p>
    <w:p w:rsidR="00DA4DAC" w:rsidRDefault="00D15169">
      <w:pPr>
        <w:pStyle w:val="a3"/>
        <w:ind w:right="138" w:firstLine="851"/>
      </w:pPr>
      <w:r>
        <w:t>Намечаемая деятельность осуществляется на территории Республики Казахстан, поэтому его экологическая оценка выполнена в соответствии с требованиями Экологического законодательства Республики Казахстан и других законов, имеющих отношение к проекту.</w:t>
      </w:r>
    </w:p>
    <w:p w:rsidR="00DA4DAC" w:rsidRDefault="00D15169">
      <w:pPr>
        <w:pStyle w:val="a3"/>
        <w:ind w:right="138" w:firstLine="851"/>
      </w:pPr>
      <w:r>
        <w:t>Экологич</w:t>
      </w:r>
      <w:r>
        <w:t>еское законодательство РК основывается на Конституции Республики Казахстан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Экологического</w:t>
      </w:r>
      <w:r>
        <w:rPr>
          <w:spacing w:val="-12"/>
        </w:rPr>
        <w:t xml:space="preserve"> </w:t>
      </w:r>
      <w:r>
        <w:t>Кодекса,</w:t>
      </w:r>
      <w:r>
        <w:rPr>
          <w:spacing w:val="-12"/>
        </w:rPr>
        <w:t xml:space="preserve"> </w:t>
      </w:r>
      <w:r>
        <w:t>2021г.</w:t>
      </w:r>
      <w:r>
        <w:rPr>
          <w:spacing w:val="-12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ЭК</w:t>
      </w:r>
      <w:r>
        <w:rPr>
          <w:spacing w:val="-12"/>
        </w:rPr>
        <w:t xml:space="preserve"> </w:t>
      </w:r>
      <w:r>
        <w:t>РК)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иных</w:t>
      </w:r>
      <w:r>
        <w:rPr>
          <w:spacing w:val="-15"/>
        </w:rPr>
        <w:t xml:space="preserve"> </w:t>
      </w:r>
      <w:r>
        <w:t>нормативных правовых актов Республики Казахстан.</w:t>
      </w:r>
    </w:p>
    <w:p w:rsidR="00DA4DAC" w:rsidRDefault="00D15169">
      <w:pPr>
        <w:pStyle w:val="a3"/>
        <w:spacing w:line="276" w:lineRule="auto"/>
        <w:ind w:right="139" w:firstLine="851"/>
      </w:pPr>
      <w:r>
        <w:t>Проект нормативов допустимых выбросов обязательная процедура для де</w:t>
      </w:r>
      <w:r>
        <w:t>ятельности, в рамках которой оцениваются возможные последствия хозяйственной и иной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 предотвращению неблагоприятных последствий, оздоровлению окружающей среды с учетом требований</w:t>
      </w:r>
      <w:r>
        <w:t xml:space="preserve"> экологического законодательства Республики Казахстан.</w:t>
      </w:r>
    </w:p>
    <w:sectPr w:rsidR="00DA4DAC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463"/>
    <w:multiLevelType w:val="hybridMultilevel"/>
    <w:tmpl w:val="321A8576"/>
    <w:lvl w:ilvl="0" w:tplc="8FBA538C">
      <w:start w:val="1"/>
      <w:numFmt w:val="decimal"/>
      <w:lvlText w:val="%1."/>
      <w:lvlJc w:val="left"/>
      <w:pPr>
        <w:ind w:left="19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C30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7576C0C4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3" w:tplc="C9BE255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4" w:tplc="46D253FE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5" w:tplc="C1C2C9C2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9AF886AA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8BBAD1C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F8D232D2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AD0EFC"/>
    <w:multiLevelType w:val="hybridMultilevel"/>
    <w:tmpl w:val="156C58D0"/>
    <w:lvl w:ilvl="0" w:tplc="BB509BA6">
      <w:numFmt w:val="bullet"/>
      <w:lvlText w:val="-"/>
      <w:lvlJc w:val="left"/>
      <w:pPr>
        <w:ind w:left="285" w:hanging="1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1F83EE0">
      <w:numFmt w:val="bullet"/>
      <w:lvlText w:val="•"/>
      <w:lvlJc w:val="left"/>
      <w:pPr>
        <w:ind w:left="1230" w:hanging="156"/>
      </w:pPr>
      <w:rPr>
        <w:rFonts w:hint="default"/>
        <w:lang w:val="ru-RU" w:eastAsia="en-US" w:bidi="ar-SA"/>
      </w:rPr>
    </w:lvl>
    <w:lvl w:ilvl="2" w:tplc="6A3AAA1E">
      <w:numFmt w:val="bullet"/>
      <w:lvlText w:val="•"/>
      <w:lvlJc w:val="left"/>
      <w:pPr>
        <w:ind w:left="2180" w:hanging="156"/>
      </w:pPr>
      <w:rPr>
        <w:rFonts w:hint="default"/>
        <w:lang w:val="ru-RU" w:eastAsia="en-US" w:bidi="ar-SA"/>
      </w:rPr>
    </w:lvl>
    <w:lvl w:ilvl="3" w:tplc="CC766030">
      <w:numFmt w:val="bullet"/>
      <w:lvlText w:val="•"/>
      <w:lvlJc w:val="left"/>
      <w:pPr>
        <w:ind w:left="3130" w:hanging="156"/>
      </w:pPr>
      <w:rPr>
        <w:rFonts w:hint="default"/>
        <w:lang w:val="ru-RU" w:eastAsia="en-US" w:bidi="ar-SA"/>
      </w:rPr>
    </w:lvl>
    <w:lvl w:ilvl="4" w:tplc="A24CA4D4">
      <w:numFmt w:val="bullet"/>
      <w:lvlText w:val="•"/>
      <w:lvlJc w:val="left"/>
      <w:pPr>
        <w:ind w:left="4080" w:hanging="156"/>
      </w:pPr>
      <w:rPr>
        <w:rFonts w:hint="default"/>
        <w:lang w:val="ru-RU" w:eastAsia="en-US" w:bidi="ar-SA"/>
      </w:rPr>
    </w:lvl>
    <w:lvl w:ilvl="5" w:tplc="C84A546E">
      <w:numFmt w:val="bullet"/>
      <w:lvlText w:val="•"/>
      <w:lvlJc w:val="left"/>
      <w:pPr>
        <w:ind w:left="5030" w:hanging="156"/>
      </w:pPr>
      <w:rPr>
        <w:rFonts w:hint="default"/>
        <w:lang w:val="ru-RU" w:eastAsia="en-US" w:bidi="ar-SA"/>
      </w:rPr>
    </w:lvl>
    <w:lvl w:ilvl="6" w:tplc="5CF492E0">
      <w:numFmt w:val="bullet"/>
      <w:lvlText w:val="•"/>
      <w:lvlJc w:val="left"/>
      <w:pPr>
        <w:ind w:left="5980" w:hanging="156"/>
      </w:pPr>
      <w:rPr>
        <w:rFonts w:hint="default"/>
        <w:lang w:val="ru-RU" w:eastAsia="en-US" w:bidi="ar-SA"/>
      </w:rPr>
    </w:lvl>
    <w:lvl w:ilvl="7" w:tplc="239C58BC">
      <w:numFmt w:val="bullet"/>
      <w:lvlText w:val="•"/>
      <w:lvlJc w:val="left"/>
      <w:pPr>
        <w:ind w:left="6930" w:hanging="156"/>
      </w:pPr>
      <w:rPr>
        <w:rFonts w:hint="default"/>
        <w:lang w:val="ru-RU" w:eastAsia="en-US" w:bidi="ar-SA"/>
      </w:rPr>
    </w:lvl>
    <w:lvl w:ilvl="8" w:tplc="7570C75E">
      <w:numFmt w:val="bullet"/>
      <w:lvlText w:val="•"/>
      <w:lvlJc w:val="left"/>
      <w:pPr>
        <w:ind w:left="7881" w:hanging="1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4DAC"/>
    <w:rsid w:val="00D15169"/>
    <w:rsid w:val="00D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E67"/>
  <w15:docId w15:val="{FABC79F0-02BB-4BA5-AD4D-58EFC319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 w:right="139" w:firstLine="851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hanging="360"/>
    </w:pPr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2002</Words>
  <Characters>11415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Есина</dc:creator>
  <cp:lastModifiedBy>1</cp:lastModifiedBy>
  <cp:revision>2</cp:revision>
  <dcterms:created xsi:type="dcterms:W3CDTF">2025-10-02T14:40:00Z</dcterms:created>
  <dcterms:modified xsi:type="dcterms:W3CDTF">2025-10-02T14:43:00Z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LTSC</vt:lpwstr>
  </property>
</Properties>
</file>