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689" w:rsidRDefault="00F62689" w:rsidP="00F62689">
      <w:pPr>
        <w:pStyle w:val="a3"/>
        <w:ind w:left="2" w:right="144" w:firstLine="565"/>
        <w:jc w:val="both"/>
      </w:pPr>
      <w:r>
        <w:t>АО «СП «ЗАРЕЧНОЕ» создано в целях эксплуатации месторождений урана, расположенных на территории Отрарского района Туркестанской области. Ведет освоение месторождения «Заречное».</w:t>
      </w:r>
    </w:p>
    <w:p w:rsidR="00F62689" w:rsidRDefault="00F62689" w:rsidP="00F62689">
      <w:pPr>
        <w:pStyle w:val="a3"/>
        <w:ind w:left="2" w:right="144" w:firstLine="565"/>
        <w:jc w:val="both"/>
      </w:pPr>
      <w:r>
        <w:t xml:space="preserve">Добыча урана производится способом подземного скважинного выщелачивания.  Год ввода в эксплуатацию 2007 год. Производительность предприятия 1000 тонн природного урана в год. </w:t>
      </w:r>
    </w:p>
    <w:p w:rsidR="00F62689" w:rsidRDefault="00F62689" w:rsidP="00F62689">
      <w:pPr>
        <w:pStyle w:val="a3"/>
        <w:ind w:left="2" w:right="144" w:firstLine="565"/>
        <w:jc w:val="both"/>
      </w:pPr>
      <w:r>
        <w:t>Объекты АО «СП «ЗАРЕЧНОЕ» расположены на трех площадках:</w:t>
      </w:r>
    </w:p>
    <w:p w:rsidR="00F62689" w:rsidRDefault="00F62689" w:rsidP="00F62689">
      <w:pPr>
        <w:pStyle w:val="a3"/>
        <w:ind w:left="2" w:right="144" w:firstLine="565"/>
        <w:jc w:val="both"/>
      </w:pPr>
      <w:r>
        <w:t>▪ промплощадка рудника ПСВ на месторождении «Заречное»;</w:t>
      </w:r>
    </w:p>
    <w:p w:rsidR="00F62689" w:rsidRDefault="00F62689" w:rsidP="00F62689">
      <w:pPr>
        <w:pStyle w:val="a3"/>
        <w:ind w:left="2" w:right="144" w:firstLine="565"/>
        <w:jc w:val="both"/>
      </w:pPr>
      <w:r>
        <w:t>▪ вахтовый поселок;</w:t>
      </w:r>
    </w:p>
    <w:p w:rsidR="00F62689" w:rsidRDefault="00F62689" w:rsidP="00F62689">
      <w:pPr>
        <w:pStyle w:val="a3"/>
        <w:ind w:left="2" w:right="144" w:firstLine="565"/>
        <w:jc w:val="both"/>
      </w:pPr>
      <w:r>
        <w:t>▪ Перевалочная база (ст. Тимур).</w:t>
      </w:r>
    </w:p>
    <w:p w:rsidR="00F62689" w:rsidRDefault="00F62689" w:rsidP="00F62689">
      <w:pPr>
        <w:pStyle w:val="a3"/>
        <w:ind w:left="2" w:right="144" w:firstLine="565"/>
        <w:jc w:val="both"/>
      </w:pPr>
      <w:r>
        <w:t>Участок подземного скважинного выщелачивания (ПСВ) на базе месторождения «Заречное» находится в западной части Отрарского района Туркестанской области Республики Казахстан, в 100 км к западу от районного центра села Шаульдер и в 105 км от железнодорожной станции Тимур. Участок подземного скважинного выщелачивания (ПСВ) месторождения «Заречное» расположен в южной части Сырдарьинской ураново-рудной провинции.</w:t>
      </w:r>
    </w:p>
    <w:p w:rsidR="00F62689" w:rsidRDefault="00F62689" w:rsidP="00F62689">
      <w:pPr>
        <w:pStyle w:val="a3"/>
        <w:ind w:left="2" w:right="144" w:firstLine="565"/>
        <w:jc w:val="both"/>
      </w:pPr>
      <w:r>
        <w:t>В административном отношении месторождение «Заречное» входит в Туркестанскую область Отрарского района с базовым жильем в вахтовом поселке, расположенном на расстоянии 13 км от поселка Табакбулак.</w:t>
      </w:r>
    </w:p>
    <w:p w:rsidR="00F62689" w:rsidRDefault="00F62689" w:rsidP="00F62689">
      <w:pPr>
        <w:pStyle w:val="a3"/>
        <w:ind w:left="2" w:right="144" w:firstLine="565"/>
        <w:jc w:val="both"/>
      </w:pPr>
      <w:r>
        <w:t>Поселок Табакбулак связан с районным центром, селом Шаульдер, асфальтированной дорогой. Ближайшее село Коксарай находится в 60 км к востоку от месторождения.</w:t>
      </w:r>
    </w:p>
    <w:p w:rsidR="00F62689" w:rsidRDefault="00F62689" w:rsidP="00F62689">
      <w:pPr>
        <w:pStyle w:val="a3"/>
        <w:ind w:left="2" w:right="144" w:firstLine="565"/>
        <w:jc w:val="both"/>
      </w:pPr>
      <w:r>
        <w:t>Ближайшее действующее добывающее предприятие АО «НАК «Казатомпром» - Рудоуправление № 6 находится в 250 км к северу от месторождения.</w:t>
      </w:r>
    </w:p>
    <w:p w:rsidR="00F62689" w:rsidRDefault="00F62689" w:rsidP="00F62689">
      <w:pPr>
        <w:pStyle w:val="a3"/>
        <w:ind w:left="2" w:right="144" w:firstLine="565"/>
        <w:jc w:val="both"/>
      </w:pPr>
      <w:r>
        <w:t>В районе села Шаульдер через реку Сырдарья имеется стационарный автомобильный железобетонный мост, такой же мост расположен южнее, в районе п. Байркум, в 55 км от железнодорожной станции Арысь.</w:t>
      </w:r>
    </w:p>
    <w:p w:rsidR="00F62689" w:rsidRDefault="00F62689" w:rsidP="00F62689">
      <w:pPr>
        <w:pStyle w:val="a3"/>
        <w:ind w:left="2" w:right="144" w:firstLine="565"/>
        <w:jc w:val="both"/>
      </w:pPr>
      <w:r>
        <w:t>Производство на руднике предназначено для добычи ураносодержащих руд методом скважного подземного выщелачивания (ПВ). Переработка полученных продуктивных растворов ПВ производится методом сорбционного концентрирования. Технология ПВ урана из недр связана с извлечением на поверхность минимального количества горнорудной массы при подготовке эксплуатационных блоков и является практически безотходным производством.</w:t>
      </w:r>
    </w:p>
    <w:p w:rsidR="00F62689" w:rsidRDefault="00F62689" w:rsidP="00F62689">
      <w:pPr>
        <w:pStyle w:val="a3"/>
        <w:ind w:left="2" w:right="144" w:firstLine="565"/>
        <w:jc w:val="both"/>
      </w:pPr>
      <w:r>
        <w:t xml:space="preserve">Проект нормативов ПДС загрязняющих веществ, сбрасываемых АО «СП «ЗАРЕЧНОЕ» разработан в связи с истечением срока действия ранее выданного проекта ПДС на который было получено положительное заключение государственной экологической экспертизы от 01.06.2018 </w:t>
      </w:r>
      <w:proofErr w:type="gramStart"/>
      <w:r>
        <w:t>года  за</w:t>
      </w:r>
      <w:proofErr w:type="gramEnd"/>
      <w:r>
        <w:t xml:space="preserve"> № KZ68VCY00113029. </w:t>
      </w:r>
    </w:p>
    <w:p w:rsidR="00F62689" w:rsidRDefault="00F62689" w:rsidP="00F62689">
      <w:pPr>
        <w:pStyle w:val="a3"/>
        <w:ind w:left="2" w:right="144" w:firstLine="565"/>
        <w:jc w:val="both"/>
      </w:pPr>
      <w:r>
        <w:t>Проект ПДС разработан в соответствии с подпунктом 1) пункта 28 Методики определения нормативов эмиссий в окружающую среду, утверждённой приказом Министра экологии и природных ресурсов Республики Казахстан от 11 декабря 2013 года № 379-Ө.</w:t>
      </w:r>
    </w:p>
    <w:p w:rsidR="00F62689" w:rsidRDefault="00F62689" w:rsidP="00F62689">
      <w:pPr>
        <w:pStyle w:val="a3"/>
        <w:ind w:left="2" w:right="144" w:firstLine="565"/>
        <w:jc w:val="both"/>
      </w:pPr>
      <w:r>
        <w:t>Разработка проекта обусловлена необходимостью учёта новых, а также изменения параметров существующих источников сброса загрязняющих веществ. В ранее разработанном проекте ПДС был некорректно рассчитан объём сбрасываемых сточных вод, что требует актуализации данных и перерасчёта нормативов в соответствии с фактическими условиями.</w:t>
      </w:r>
    </w:p>
    <w:p w:rsidR="00F62689" w:rsidRDefault="00F62689" w:rsidP="00F62689">
      <w:pPr>
        <w:pStyle w:val="a3"/>
        <w:ind w:left="2" w:right="144"/>
        <w:jc w:val="both"/>
      </w:pPr>
      <w:r>
        <w:tab/>
        <w:t>Данный проект ПДС разрабатывается в связи с получением заключения по результатам оценки воздействия на окружающую среду Отчета о возможных воздействиях к рабочему проекту «Строительство модульного типа очистных сооружений и пруда-испарителя рудника ПСВ АО «СП «ЗАРЕЧНОЕ» за №</w:t>
      </w:r>
      <w:r w:rsidRPr="00E647BC">
        <w:t xml:space="preserve"> KZ85VVX00274154</w:t>
      </w:r>
      <w:r>
        <w:t xml:space="preserve"> от 04.12.2023 г., в котором намеревается Блочно - модульная станция биологической очистки хозяйственно - бытовых сточных вод серии «БК-150/МБР» производительностью 150 м3 </w:t>
      </w:r>
      <w:r>
        <w:lastRenderedPageBreak/>
        <w:t>/сутки на основе мембранных блоков (две линии по 75 м3 /сутки).  Намечаемой деятельностью предусматривается строительство пруда - накопителя общей емкостью 2000 м</w:t>
      </w:r>
      <w:r w:rsidRPr="00DB6F54">
        <w:rPr>
          <w:vertAlign w:val="superscript"/>
        </w:rPr>
        <w:t>3</w:t>
      </w:r>
      <w:r>
        <w:t>.</w:t>
      </w:r>
    </w:p>
    <w:p w:rsidR="00F62689" w:rsidRDefault="00F62689" w:rsidP="00F62689">
      <w:pPr>
        <w:pStyle w:val="a3"/>
        <w:ind w:left="2" w:right="144"/>
        <w:jc w:val="both"/>
      </w:pPr>
      <w:r w:rsidRPr="008C0008">
        <w:t>Пруды накопители представляют собой комплекс из 3-х заглубленных сооружений. Объем каждой карты составляет 18 375 м3</w:t>
      </w:r>
      <w:r>
        <w:t xml:space="preserve">. </w:t>
      </w:r>
      <w:r w:rsidRPr="00B5531D">
        <w:t>Общая площадь зеркала воды при максимальном заполнении составляет 21 528 м2. Поступающая вода будет разбираться на технологические нужды предприятия, плавучей насосной станцией.</w:t>
      </w:r>
      <w:r>
        <w:t xml:space="preserve"> </w:t>
      </w:r>
    </w:p>
    <w:p w:rsidR="00F62689" w:rsidRDefault="00F62689" w:rsidP="00F62689">
      <w:pPr>
        <w:pStyle w:val="a3"/>
        <w:ind w:left="2" w:right="144" w:firstLine="707"/>
        <w:jc w:val="both"/>
      </w:pPr>
    </w:p>
    <w:p w:rsidR="00F62689" w:rsidRDefault="00F62689" w:rsidP="00F62689">
      <w:pPr>
        <w:pStyle w:val="6"/>
        <w:ind w:left="2" w:right="138" w:firstLine="707"/>
        <w:rPr>
          <w:u w:val="none"/>
        </w:rPr>
      </w:pPr>
      <w:r>
        <w:t>До</w:t>
      </w:r>
      <w:r>
        <w:rPr>
          <w:spacing w:val="-15"/>
        </w:rPr>
        <w:t xml:space="preserve"> </w:t>
      </w:r>
      <w:r>
        <w:t>настоящего</w:t>
      </w:r>
      <w:r>
        <w:rPr>
          <w:spacing w:val="-15"/>
        </w:rPr>
        <w:t xml:space="preserve"> </w:t>
      </w:r>
      <w:r>
        <w:t>времени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предприятии</w:t>
      </w:r>
      <w:r>
        <w:rPr>
          <w:spacing w:val="-15"/>
        </w:rPr>
        <w:t xml:space="preserve"> </w:t>
      </w:r>
      <w:r>
        <w:t>действует</w:t>
      </w:r>
      <w:r>
        <w:rPr>
          <w:spacing w:val="-15"/>
        </w:rPr>
        <w:t xml:space="preserve"> </w:t>
      </w:r>
      <w:r>
        <w:t>проект</w:t>
      </w:r>
      <w:r>
        <w:rPr>
          <w:spacing w:val="-15"/>
        </w:rPr>
        <w:t xml:space="preserve"> </w:t>
      </w:r>
      <w:r>
        <w:t>допустимых</w:t>
      </w:r>
      <w:r>
        <w:rPr>
          <w:spacing w:val="-15"/>
        </w:rPr>
        <w:t xml:space="preserve"> </w:t>
      </w:r>
      <w:r>
        <w:t>сбросов</w:t>
      </w:r>
      <w:r>
        <w:rPr>
          <w:u w:val="none"/>
        </w:rPr>
        <w:t xml:space="preserve"> </w:t>
      </w:r>
      <w:r>
        <w:t>(ПДС) согласованный в РГУ «Департамент</w:t>
      </w:r>
      <w:r>
        <w:rPr>
          <w:u w:val="none"/>
        </w:rPr>
        <w:t xml:space="preserve"> </w:t>
      </w:r>
      <w:r>
        <w:t>экологии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Туркестанской</w:t>
      </w:r>
      <w:r>
        <w:rPr>
          <w:spacing w:val="-3"/>
        </w:rPr>
        <w:t xml:space="preserve"> </w:t>
      </w:r>
      <w:r>
        <w:t>области»,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разрешение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эмиссии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окружающую</w:t>
      </w:r>
      <w:r>
        <w:rPr>
          <w:u w:val="none"/>
        </w:rPr>
        <w:t xml:space="preserve"> </w:t>
      </w:r>
      <w:r>
        <w:t>среду №</w:t>
      </w:r>
      <w:r w:rsidRPr="00E647BC">
        <w:t>KZ02VCZ01275905</w:t>
      </w:r>
      <w:r>
        <w:t xml:space="preserve"> от 12.08.2021 г.</w:t>
      </w:r>
    </w:p>
    <w:p w:rsidR="00F62689" w:rsidRDefault="00F62689" w:rsidP="00F62689">
      <w:pPr>
        <w:pStyle w:val="a3"/>
        <w:spacing w:before="1"/>
        <w:ind w:left="2" w:right="137" w:firstLine="707"/>
        <w:jc w:val="both"/>
      </w:pPr>
      <w:r>
        <w:t>В настоящем проекте установление нормативов допустимых сбросов базировалось для</w:t>
      </w:r>
      <w:r>
        <w:rPr>
          <w:spacing w:val="-8"/>
        </w:rPr>
        <w:t xml:space="preserve"> </w:t>
      </w:r>
      <w:r>
        <w:t>рудника, вахтового лагеря,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паспортам</w:t>
      </w:r>
      <w:r>
        <w:rPr>
          <w:spacing w:val="-9"/>
        </w:rPr>
        <w:t xml:space="preserve"> </w:t>
      </w:r>
      <w:r>
        <w:t>установок</w:t>
      </w:r>
      <w:r>
        <w:rPr>
          <w:spacing w:val="-8"/>
        </w:rPr>
        <w:t xml:space="preserve"> </w:t>
      </w:r>
      <w:r>
        <w:t>станций</w:t>
      </w:r>
      <w:r>
        <w:rPr>
          <w:spacing w:val="-7"/>
        </w:rPr>
        <w:t xml:space="preserve"> </w:t>
      </w:r>
      <w:r>
        <w:t>биологической</w:t>
      </w:r>
      <w:r>
        <w:rPr>
          <w:spacing w:val="-7"/>
        </w:rPr>
        <w:t xml:space="preserve"> </w:t>
      </w:r>
      <w:r>
        <w:t>очистки (далее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СБО),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станции</w:t>
      </w:r>
      <w:r>
        <w:rPr>
          <w:spacing w:val="-2"/>
        </w:rPr>
        <w:t xml:space="preserve"> </w:t>
      </w:r>
      <w:r>
        <w:t>вводятся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действие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году.</w:t>
      </w:r>
    </w:p>
    <w:p w:rsidR="00F62689" w:rsidRDefault="00F62689" w:rsidP="00F62689">
      <w:pPr>
        <w:pStyle w:val="a3"/>
        <w:spacing w:before="1"/>
        <w:ind w:left="710"/>
        <w:jc w:val="both"/>
      </w:pPr>
      <w:r>
        <w:t>Целью</w:t>
      </w:r>
      <w:r>
        <w:rPr>
          <w:spacing w:val="74"/>
        </w:rPr>
        <w:t xml:space="preserve"> </w:t>
      </w:r>
      <w:r>
        <w:t>настоящей</w:t>
      </w:r>
      <w:r>
        <w:rPr>
          <w:spacing w:val="74"/>
        </w:rPr>
        <w:t xml:space="preserve"> </w:t>
      </w:r>
      <w:r>
        <w:t>работы</w:t>
      </w:r>
      <w:r>
        <w:rPr>
          <w:spacing w:val="74"/>
        </w:rPr>
        <w:t xml:space="preserve"> </w:t>
      </w:r>
      <w:r>
        <w:t>является</w:t>
      </w:r>
      <w:r>
        <w:rPr>
          <w:spacing w:val="73"/>
        </w:rPr>
        <w:t xml:space="preserve"> </w:t>
      </w:r>
      <w:r>
        <w:t>оценка</w:t>
      </w:r>
      <w:r>
        <w:rPr>
          <w:spacing w:val="73"/>
        </w:rPr>
        <w:t xml:space="preserve"> </w:t>
      </w:r>
      <w:r>
        <w:t>воздействия</w:t>
      </w:r>
      <w:r>
        <w:rPr>
          <w:spacing w:val="74"/>
        </w:rPr>
        <w:t xml:space="preserve"> </w:t>
      </w:r>
      <w:r>
        <w:t>предприятия</w:t>
      </w:r>
      <w:r>
        <w:rPr>
          <w:spacing w:val="73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rPr>
          <w:spacing w:val="-2"/>
        </w:rPr>
        <w:t>аспекте</w:t>
      </w:r>
    </w:p>
    <w:p w:rsidR="00F62689" w:rsidRDefault="00F62689" w:rsidP="00F62689">
      <w:pPr>
        <w:pStyle w:val="a3"/>
        <w:ind w:left="2" w:right="143"/>
        <w:jc w:val="both"/>
      </w:pPr>
      <w:r>
        <w:t>«водопотребление - водоотведение», установление нормативов допустимых сбросов и воздействие объекта на окружающую среду.</w:t>
      </w:r>
    </w:p>
    <w:p w:rsidR="00F62689" w:rsidRDefault="00F62689" w:rsidP="00F62689">
      <w:pPr>
        <w:pStyle w:val="a3"/>
        <w:ind w:left="2" w:right="140" w:firstLine="707"/>
        <w:jc w:val="both"/>
      </w:pPr>
      <w:r>
        <w:t>Расчеты выполнены с целью оценки существующего экологического состояния полей фильтрации и установления величины предельно-допустимой антропогенной нагрузки и нормального функционирования экосистемы, исключающего нанесение вреда здоровью населения.</w:t>
      </w:r>
    </w:p>
    <w:p w:rsidR="00F62689" w:rsidRDefault="00F62689" w:rsidP="00F62689">
      <w:pPr>
        <w:pStyle w:val="a3"/>
        <w:ind w:left="2" w:right="143" w:firstLine="707"/>
        <w:jc w:val="both"/>
      </w:pPr>
      <w:r>
        <w:t>Основным условием почвенного фильтрования воды является постоянство обеспечения нормативных требований к качеству воды на границе раздела слоя грунта и подземных</w:t>
      </w:r>
      <w:r>
        <w:rPr>
          <w:spacing w:val="61"/>
          <w:w w:val="150"/>
        </w:rPr>
        <w:t xml:space="preserve"> </w:t>
      </w:r>
      <w:r>
        <w:t>вод,</w:t>
      </w:r>
      <w:r>
        <w:rPr>
          <w:spacing w:val="61"/>
          <w:w w:val="150"/>
        </w:rPr>
        <w:t xml:space="preserve"> </w:t>
      </w:r>
      <w:r>
        <w:t>принимающих</w:t>
      </w:r>
      <w:r>
        <w:rPr>
          <w:spacing w:val="62"/>
          <w:w w:val="150"/>
        </w:rPr>
        <w:t xml:space="preserve"> </w:t>
      </w:r>
      <w:r>
        <w:t>фильтрующийся</w:t>
      </w:r>
      <w:r>
        <w:rPr>
          <w:spacing w:val="61"/>
          <w:w w:val="150"/>
        </w:rPr>
        <w:t xml:space="preserve"> </w:t>
      </w:r>
      <w:r>
        <w:t>поток. Качество г</w:t>
      </w:r>
      <w:r>
        <w:rPr>
          <w:spacing w:val="-2"/>
        </w:rPr>
        <w:t>раничного</w:t>
      </w:r>
      <w:r>
        <w:t xml:space="preserve"> фильтрующегося</w:t>
      </w:r>
      <w:r>
        <w:rPr>
          <w:spacing w:val="-12"/>
        </w:rPr>
        <w:t xml:space="preserve"> </w:t>
      </w:r>
      <w:r>
        <w:t>потока</w:t>
      </w:r>
      <w:r>
        <w:rPr>
          <w:spacing w:val="-13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этом</w:t>
      </w:r>
      <w:r>
        <w:rPr>
          <w:spacing w:val="-12"/>
        </w:rPr>
        <w:t xml:space="preserve"> </w:t>
      </w:r>
      <w:r>
        <w:t>должно</w:t>
      </w:r>
      <w:r>
        <w:rPr>
          <w:spacing w:val="-12"/>
        </w:rPr>
        <w:t xml:space="preserve"> </w:t>
      </w:r>
      <w:r>
        <w:t>соответствовать</w:t>
      </w:r>
      <w:r>
        <w:rPr>
          <w:spacing w:val="-10"/>
        </w:rPr>
        <w:t xml:space="preserve"> </w:t>
      </w:r>
      <w:r>
        <w:t>требованиям</w:t>
      </w:r>
      <w:r>
        <w:rPr>
          <w:spacing w:val="-12"/>
        </w:rPr>
        <w:t xml:space="preserve"> </w:t>
      </w:r>
      <w:r>
        <w:t>ПДК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водоемов воды культурно-бытового вида использования.</w:t>
      </w:r>
    </w:p>
    <w:p w:rsidR="00F62689" w:rsidRDefault="00F62689" w:rsidP="00F62689">
      <w:pPr>
        <w:pStyle w:val="a3"/>
        <w:ind w:left="710"/>
        <w:rPr>
          <w:spacing w:val="-2"/>
        </w:rPr>
      </w:pPr>
      <w:r>
        <w:t>Режим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круглогодичный.</w:t>
      </w:r>
    </w:p>
    <w:p w:rsidR="00F62689" w:rsidRDefault="00F62689" w:rsidP="00F62689">
      <w:pPr>
        <w:pStyle w:val="a3"/>
        <w:ind w:firstLine="709"/>
        <w:jc w:val="both"/>
      </w:pPr>
      <w:r>
        <w:t xml:space="preserve">«Блочно-модульная станция биологической очистки хозяйственно-бытовых сточных вод серии «БК-150/МБР» производительностью 150 м3/сутки на основе мембранных блоков (две линии по 75 м3/сутки). Объем каждой карты составляет 18 375 м3. Общая площадь зеркала воды при максимальном заполнении составляет 21 528 м2. </w:t>
      </w:r>
    </w:p>
    <w:p w:rsidR="00F62689" w:rsidRDefault="00F62689" w:rsidP="00F62689">
      <w:pPr>
        <w:pStyle w:val="a3"/>
        <w:ind w:firstLine="709"/>
        <w:jc w:val="both"/>
      </w:pPr>
      <w:r>
        <w:t>Технические параметры очистного сооружения: Производительность – 150 м3/час, Минимальная загружаемость очистного сооружения – 50 м3/сут, максимальный коэффициент часовой неравномерности – 3, Напор на выходе из установки – 5 м. вод. Ст., Количество блоков – 6 шт., Масса блока емкостей без сточной воды, не более – 60 тонн, масса блока емкостей, заполненного сточной водой, не более – 240 тонн, Минимальная температура сточных вод - +15 0С, максимальная температура сточных вод - + 30 0С, напряжение питающей сети – 380/220 В.</w:t>
      </w:r>
    </w:p>
    <w:p w:rsidR="00F62689" w:rsidRDefault="00F62689" w:rsidP="00F62689">
      <w:pPr>
        <w:pStyle w:val="a3"/>
        <w:ind w:firstLine="709"/>
        <w:jc w:val="both"/>
      </w:pPr>
      <w:r>
        <w:t>Географические координаты (приняты по центру намечаемого участка): широта 42°52'89.1"С; долгота 67°58'12.5"В.</w:t>
      </w:r>
    </w:p>
    <w:p w:rsidR="00F62689" w:rsidRDefault="00F62689" w:rsidP="00F62689">
      <w:pPr>
        <w:pStyle w:val="a3"/>
        <w:ind w:firstLine="709"/>
        <w:jc w:val="both"/>
      </w:pPr>
      <w:r>
        <w:t>Проект</w:t>
      </w:r>
      <w:r>
        <w:rPr>
          <w:spacing w:val="15"/>
        </w:rPr>
        <w:t xml:space="preserve"> </w:t>
      </w:r>
      <w:r>
        <w:t>ПДС</w:t>
      </w:r>
      <w:r>
        <w:rPr>
          <w:spacing w:val="17"/>
        </w:rPr>
        <w:t xml:space="preserve"> </w:t>
      </w:r>
      <w:r>
        <w:t>загрязняющих</w:t>
      </w:r>
      <w:r>
        <w:rPr>
          <w:spacing w:val="15"/>
        </w:rPr>
        <w:t xml:space="preserve"> </w:t>
      </w:r>
      <w:r>
        <w:t>веществ,</w:t>
      </w:r>
      <w:r>
        <w:rPr>
          <w:spacing w:val="18"/>
        </w:rPr>
        <w:t xml:space="preserve"> </w:t>
      </w:r>
      <w:r>
        <w:t>сбрасываемых</w:t>
      </w:r>
      <w:r>
        <w:rPr>
          <w:spacing w:val="16"/>
        </w:rPr>
        <w:t xml:space="preserve"> </w:t>
      </w:r>
      <w:r>
        <w:t>со</w:t>
      </w:r>
      <w:r>
        <w:rPr>
          <w:spacing w:val="18"/>
        </w:rPr>
        <w:t xml:space="preserve"> </w:t>
      </w:r>
      <w:r>
        <w:t>сточными</w:t>
      </w:r>
      <w:r>
        <w:rPr>
          <w:spacing w:val="16"/>
        </w:rPr>
        <w:t xml:space="preserve"> </w:t>
      </w:r>
      <w:r>
        <w:t>водами</w:t>
      </w:r>
      <w:r>
        <w:rPr>
          <w:spacing w:val="16"/>
        </w:rPr>
        <w:t xml:space="preserve"> </w:t>
      </w:r>
      <w:r>
        <w:t xml:space="preserve">для АО </w:t>
      </w:r>
      <w:r w:rsidRPr="00D67795">
        <w:t xml:space="preserve">"СП "ЗАРЕЧНОЕ" </w:t>
      </w:r>
      <w:r>
        <w:t>на 2025-2034 гг., включает в себя общие сведения о предприятии, исходные данные по количественному и качественному составу сточных вод, сведения об очистных сооружениях и полях фильтрации, схемы их канализирования и очистки.</w:t>
      </w:r>
    </w:p>
    <w:p w:rsidR="00F62689" w:rsidRDefault="00F62689" w:rsidP="00F62689">
      <w:pPr>
        <w:pStyle w:val="a3"/>
        <w:ind w:right="137" w:firstLine="709"/>
        <w:jc w:val="both"/>
      </w:pPr>
      <w:r>
        <w:t xml:space="preserve">Качественное состояние сточных вод для полей фильтрации принято по данным Испытательной лаборатории ТОО «Реактивснаб». </w:t>
      </w:r>
    </w:p>
    <w:p w:rsidR="00F62689" w:rsidRDefault="00F62689" w:rsidP="00F62689">
      <w:pPr>
        <w:pStyle w:val="a3"/>
        <w:ind w:left="2" w:right="140" w:firstLine="707"/>
        <w:jc w:val="both"/>
      </w:pPr>
      <w:r>
        <w:t>Водовыпуск</w:t>
      </w:r>
      <w:r>
        <w:rPr>
          <w:spacing w:val="-10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смесь</w:t>
      </w:r>
      <w:r>
        <w:rPr>
          <w:spacing w:val="-11"/>
        </w:rPr>
        <w:t xml:space="preserve"> </w:t>
      </w:r>
      <w:r>
        <w:t>очищенных</w:t>
      </w:r>
      <w:r>
        <w:rPr>
          <w:spacing w:val="-12"/>
        </w:rPr>
        <w:t xml:space="preserve"> </w:t>
      </w:r>
      <w:r>
        <w:t>хозяйственно</w:t>
      </w:r>
      <w:r>
        <w:rPr>
          <w:spacing w:val="-15"/>
        </w:rPr>
        <w:t xml:space="preserve"> </w:t>
      </w:r>
      <w:r>
        <w:t>бытовых</w:t>
      </w:r>
      <w:r>
        <w:rPr>
          <w:spacing w:val="-12"/>
        </w:rPr>
        <w:t xml:space="preserve"> </w:t>
      </w:r>
      <w:r>
        <w:t>сточных</w:t>
      </w:r>
      <w:r>
        <w:rPr>
          <w:spacing w:val="-12"/>
        </w:rPr>
        <w:t xml:space="preserve"> </w:t>
      </w:r>
      <w:r>
        <w:t>вод,</w:t>
      </w:r>
      <w:r>
        <w:rPr>
          <w:spacing w:val="-14"/>
        </w:rPr>
        <w:t xml:space="preserve"> </w:t>
      </w:r>
      <w:r>
        <w:t>прошедших</w:t>
      </w:r>
      <w:r>
        <w:rPr>
          <w:spacing w:val="-14"/>
        </w:rPr>
        <w:t xml:space="preserve"> </w:t>
      </w:r>
      <w:r>
        <w:t>на очистных сооружениях механическую и биологическую очистку, далее сбрасываются на пруд-накопитель.</w:t>
      </w:r>
    </w:p>
    <w:p w:rsidR="00F62689" w:rsidRDefault="00F62689" w:rsidP="00F62689">
      <w:pPr>
        <w:pStyle w:val="a3"/>
        <w:ind w:left="710"/>
        <w:jc w:val="both"/>
      </w:pPr>
      <w:r>
        <w:t>Количество</w:t>
      </w:r>
      <w:r>
        <w:rPr>
          <w:spacing w:val="-3"/>
        </w:rPr>
        <w:t xml:space="preserve"> </w:t>
      </w:r>
      <w:r>
        <w:t>выпусков</w:t>
      </w:r>
      <w:r>
        <w:rPr>
          <w:spacing w:val="-3"/>
        </w:rPr>
        <w:t xml:space="preserve"> </w:t>
      </w:r>
      <w:r>
        <w:t>сточных</w:t>
      </w:r>
      <w:r>
        <w:rPr>
          <w:spacing w:val="-3"/>
        </w:rPr>
        <w:t xml:space="preserve"> </w:t>
      </w:r>
      <w:r>
        <w:t>вод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предприятию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2</w:t>
      </w:r>
      <w:r>
        <w:rPr>
          <w:spacing w:val="-5"/>
        </w:rPr>
        <w:t>.</w:t>
      </w:r>
    </w:p>
    <w:p w:rsidR="00F62689" w:rsidRDefault="00F62689" w:rsidP="00F62689">
      <w:pPr>
        <w:pStyle w:val="a3"/>
        <w:ind w:left="2" w:right="137" w:firstLine="707"/>
        <w:jc w:val="both"/>
      </w:pPr>
      <w:r>
        <w:t xml:space="preserve">Нормируемые показатели загрязняющих веществ всего 12: взвешенные вещества, </w:t>
      </w:r>
      <w:r>
        <w:rPr>
          <w:position w:val="2"/>
        </w:rPr>
        <w:lastRenderedPageBreak/>
        <w:t>сухой остаток, хлориды, сульфаты, фосфаты, азот аммонийный, нитраты, нитриты, БПК</w:t>
      </w:r>
      <w:r>
        <w:rPr>
          <w:sz w:val="16"/>
        </w:rPr>
        <w:t>П</w:t>
      </w:r>
      <w:r>
        <w:rPr>
          <w:position w:val="2"/>
        </w:rPr>
        <w:t xml:space="preserve">, </w:t>
      </w:r>
      <w:r>
        <w:t>СПАВ, ХПК, нефтепродукты.</w:t>
      </w:r>
    </w:p>
    <w:p w:rsidR="00F62689" w:rsidRDefault="00F62689" w:rsidP="00F62689">
      <w:pPr>
        <w:pStyle w:val="a3"/>
        <w:ind w:left="2" w:right="137" w:firstLine="707"/>
        <w:jc w:val="both"/>
      </w:pPr>
    </w:p>
    <w:p w:rsidR="00983688" w:rsidRDefault="00983688">
      <w:bookmarkStart w:id="0" w:name="_GoBack"/>
      <w:bookmarkEnd w:id="0"/>
    </w:p>
    <w:sectPr w:rsidR="00983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35"/>
    <w:rsid w:val="000E18C1"/>
    <w:rsid w:val="00983688"/>
    <w:rsid w:val="00E65535"/>
    <w:rsid w:val="00F6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91541-1BB7-4DF9-A656-684F64A7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1"/>
    <w:qFormat/>
    <w:rsid w:val="00F62689"/>
    <w:pPr>
      <w:widowControl w:val="0"/>
      <w:autoSpaceDE w:val="0"/>
      <w:autoSpaceDN w:val="0"/>
      <w:spacing w:after="0" w:line="240" w:lineRule="auto"/>
      <w:ind w:left="1315" w:hanging="180"/>
      <w:jc w:val="both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1"/>
    <w:rsid w:val="00F62689"/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</w:rPr>
  </w:style>
  <w:style w:type="paragraph" w:styleId="a3">
    <w:name w:val="Body Text"/>
    <w:basedOn w:val="a"/>
    <w:link w:val="a4"/>
    <w:uiPriority w:val="1"/>
    <w:qFormat/>
    <w:rsid w:val="00F626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6268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1026</Words>
  <Characters>5854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2025-10-03T09:14:00Z</dcterms:created>
  <dcterms:modified xsi:type="dcterms:W3CDTF">2025-10-03T09:18:00Z</dcterms:modified>
</cp:coreProperties>
</file>