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3C" w:rsidRPr="006F373C" w:rsidRDefault="006F373C" w:rsidP="006F373C">
      <w:pPr>
        <w:widowControl w:val="0"/>
        <w:tabs>
          <w:tab w:val="left" w:pos="1210"/>
        </w:tabs>
        <w:autoSpaceDE w:val="0"/>
        <w:autoSpaceDN w:val="0"/>
        <w:spacing w:after="0" w:line="240" w:lineRule="auto"/>
        <w:ind w:left="281"/>
        <w:jc w:val="center"/>
        <w:outlineLvl w:val="2"/>
        <w:rPr>
          <w:rFonts w:ascii="Times New Roman" w:eastAsia="Times New Roman" w:hAnsi="Times New Roman" w:cs="Times New Roman"/>
          <w:b/>
          <w:bCs/>
        </w:rPr>
      </w:pPr>
      <w:r w:rsidRPr="006F373C">
        <w:rPr>
          <w:rFonts w:ascii="Times New Roman" w:eastAsia="Times New Roman" w:hAnsi="Times New Roman" w:cs="Times New Roman"/>
          <w:b/>
          <w:bCs/>
        </w:rPr>
        <w:t>КРАТКОЕ НЕТЕХНИЧЕСКОЕ РЕЗЮМЕ</w:t>
      </w:r>
    </w:p>
    <w:p w:rsidR="006F373C" w:rsidRPr="006F373C" w:rsidRDefault="006F373C" w:rsidP="006F373C">
      <w:pPr>
        <w:widowControl w:val="0"/>
        <w:tabs>
          <w:tab w:val="left" w:pos="1210"/>
          <w:tab w:val="left" w:pos="9498"/>
          <w:tab w:val="left" w:pos="9639"/>
        </w:tabs>
        <w:autoSpaceDE w:val="0"/>
        <w:autoSpaceDN w:val="0"/>
        <w:spacing w:after="0" w:line="240" w:lineRule="auto"/>
        <w:ind w:right="142" w:firstLine="567"/>
        <w:jc w:val="both"/>
        <w:outlineLvl w:val="2"/>
        <w:rPr>
          <w:rFonts w:ascii="Times New Roman" w:eastAsia="Times New Roman" w:hAnsi="Times New Roman" w:cs="Times New Roman"/>
          <w:bCs/>
          <w:sz w:val="20"/>
          <w:szCs w:val="20"/>
        </w:rPr>
      </w:pPr>
      <w:r w:rsidRPr="006F373C">
        <w:rPr>
          <w:rFonts w:ascii="Times New Roman" w:eastAsia="Times New Roman" w:hAnsi="Times New Roman" w:cs="Times New Roman"/>
          <w:bCs/>
          <w:sz w:val="20"/>
          <w:szCs w:val="20"/>
        </w:rPr>
        <w:t>Результаты Проекта «Отчет о возможных воздействиях», выполнен для решений  к «ДОПОЛНЕНИЮ ПРОЕКТА ПРОБНОЙ ЭКСПЛУАТАЦИИ  МЕСТОРОЖДЕНИЯ Орталык (по состоянию на 01.01.2025 г.)» показывают что: выполненные расчеты рассеивания по веществам источников выбросов, зона загрязнения не выходит за область воздействия. Воздействие на воздушный бассейн квалифицируется как незначительное (существующее и проектируемое положение), степень опасности для здоровья населения – допустимая.</w:t>
      </w:r>
    </w:p>
    <w:p w:rsidR="006F373C" w:rsidRPr="006F373C" w:rsidRDefault="006F373C" w:rsidP="006F373C">
      <w:pPr>
        <w:widowControl w:val="0"/>
        <w:tabs>
          <w:tab w:val="left" w:pos="1210"/>
        </w:tabs>
        <w:autoSpaceDE w:val="0"/>
        <w:autoSpaceDN w:val="0"/>
        <w:spacing w:after="0" w:line="240" w:lineRule="auto"/>
        <w:ind w:right="425" w:firstLine="567"/>
        <w:jc w:val="center"/>
        <w:outlineLvl w:val="2"/>
        <w:rPr>
          <w:rFonts w:ascii="Times New Roman" w:eastAsia="Times New Roman" w:hAnsi="Times New Roman" w:cs="Times New Roman"/>
          <w:noProof/>
          <w:lang w:eastAsia="ru-RU"/>
        </w:rPr>
      </w:pPr>
      <w:r w:rsidRPr="006F373C">
        <w:rPr>
          <w:rFonts w:ascii="Times New Roman" w:eastAsia="等线" w:hAnsi="Times New Roman" w:cs="Times New Roman"/>
          <w:noProof/>
          <w:sz w:val="24"/>
          <w:lang w:eastAsia="ru-RU"/>
        </w:rPr>
        <w:drawing>
          <wp:inline distT="0" distB="0" distL="0" distR="0" wp14:anchorId="11513F2D" wp14:editId="74F151F9">
            <wp:extent cx="5413375" cy="5991225"/>
            <wp:effectExtent l="0" t="0" r="0" b="9525"/>
            <wp:docPr id="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3375" cy="5991225"/>
                    </a:xfrm>
                    <a:prstGeom prst="rect">
                      <a:avLst/>
                    </a:prstGeom>
                    <a:noFill/>
                    <a:ln>
                      <a:noFill/>
                    </a:ln>
                  </pic:spPr>
                </pic:pic>
              </a:graphicData>
            </a:graphic>
          </wp:inline>
        </w:drawing>
      </w:r>
    </w:p>
    <w:p w:rsidR="006F373C" w:rsidRPr="006F373C" w:rsidRDefault="006F373C" w:rsidP="006F373C">
      <w:pPr>
        <w:widowControl w:val="0"/>
        <w:tabs>
          <w:tab w:val="left" w:pos="1210"/>
        </w:tabs>
        <w:autoSpaceDE w:val="0"/>
        <w:autoSpaceDN w:val="0"/>
        <w:spacing w:after="0" w:line="240" w:lineRule="auto"/>
        <w:ind w:left="281"/>
        <w:jc w:val="center"/>
        <w:outlineLvl w:val="2"/>
        <w:rPr>
          <w:rFonts w:ascii="Times New Roman" w:eastAsia="Times New Roman" w:hAnsi="Times New Roman" w:cs="Times New Roman"/>
          <w:b/>
          <w:bCs/>
          <w:sz w:val="20"/>
          <w:szCs w:val="20"/>
        </w:rPr>
      </w:pPr>
      <w:r w:rsidRPr="006F373C">
        <w:rPr>
          <w:rFonts w:ascii="Times New Roman" w:eastAsia="Times New Roman" w:hAnsi="Times New Roman" w:cs="Times New Roman"/>
          <w:b/>
          <w:bCs/>
          <w:sz w:val="20"/>
          <w:szCs w:val="20"/>
        </w:rPr>
        <w:t xml:space="preserve">Рисунок 1. Обзорная карта </w:t>
      </w:r>
    </w:p>
    <w:p w:rsidR="006F373C" w:rsidRPr="006F373C" w:rsidRDefault="006F373C" w:rsidP="006F373C">
      <w:pPr>
        <w:autoSpaceDE w:val="0"/>
        <w:autoSpaceDN w:val="0"/>
        <w:adjustRightInd w:val="0"/>
        <w:spacing w:after="0" w:line="240" w:lineRule="auto"/>
        <w:rPr>
          <w:rFonts w:ascii="Times New Roman" w:eastAsia="Calibri" w:hAnsi="Times New Roman" w:cs="Times New Roman"/>
          <w:color w:val="000000"/>
          <w:sz w:val="20"/>
          <w:szCs w:val="20"/>
        </w:rPr>
      </w:pP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6F373C">
        <w:rPr>
          <w:rFonts w:ascii="Times New Roman" w:eastAsia="Calibri" w:hAnsi="Times New Roman" w:cs="Times New Roman"/>
          <w:b/>
          <w:i/>
          <w:color w:val="000000"/>
          <w:sz w:val="20"/>
          <w:szCs w:val="20"/>
        </w:rPr>
        <w:t xml:space="preserve"> 1)  Описание предполагаемого места осуществления намечаемой деятельности, план с изображением его границ</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Месторождение Орталык в административном отношении расположено в Созакском районе Туркестанской области Республики Казахстан. Районный центр п. Чулак-Курган находится в 335 км на восток от площади работ. Ближайшая железнодорожная станция Чиили расположена в 400 км на юг от участка работ. Грейдерная дорога соединяет п. Кызимшек с п. Чиили. Расстояние до областного центра г. Туркестан 150 км.  Гидросеть представлена р.Сарысу находящейся в западной части контрактной территории и р.Шу в Южно-Казахстанской области. Другие поверхностные источники водоснабжения отсутствуют. Источниками водоснабжения являются редкие колодцы, с минерализацией до 4 г/л. Климат района резко-континентальный, сухой. Среднегодовое количество осадков не менее 150 мм, основное их количество выпадает в зимне-весенний период. Температура воздуха зимой в среднем –150С (до –400С), летом +270С (до +450С). Район относится к степной и полупустынной зонам с типичными для них растительностью и животным миром. Для района характерны сильные ветра: летом – западные, юго-</w:t>
      </w:r>
      <w:r w:rsidRPr="006F373C">
        <w:rPr>
          <w:rFonts w:ascii="Times New Roman" w:eastAsia="Calibri" w:hAnsi="Times New Roman" w:cs="Times New Roman"/>
          <w:color w:val="000000"/>
          <w:sz w:val="20"/>
          <w:szCs w:val="20"/>
        </w:rPr>
        <w:lastRenderedPageBreak/>
        <w:t>западные, в остальное время года северные и северо-восточные. Дорожная сеть представлена только грунтовыми дорогами. Они труднопроходимы в зимний период из-за снежных заносов и в период весенней распутицы. Непосредственно через контрактную территорию в восточной части проходит нефтепровод Павлодар – Шымкент. Источники энергоснабжения отсутствуют. Электричество обеспечивается автономными электростанциями, работающими на дизельном топливе, они же являются источниками теплоснабжения. Выбор других мест: Возможность выбора других мест осуществления намечаемой деятельности не предусматривается ввиду технологической привязки проектируемых объектов.</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Вид основной деятельности – разведка и добыча углеводородов. Координаты угловых точек запрашиваемого участка недр: 1) 45° 34' 45.439176"сш, 67° 50' 55.127688"вд, 2)45° 35' 34.369548"сш, 67° 51' 45.86652"вд, 3) 45° 36' 35.047152"сш, 67° 54' 37.487844"вд, 4)</w:t>
      </w:r>
      <w:r w:rsidRPr="006F373C">
        <w:rPr>
          <w:rFonts w:ascii="Times New Roman" w:eastAsia="Calibri" w:hAnsi="Times New Roman" w:cs="Times New Roman"/>
          <w:color w:val="000000"/>
          <w:sz w:val="20"/>
          <w:szCs w:val="20"/>
        </w:rPr>
        <w:tab/>
        <w:t>45° 36' 29.786076"сш, 67° 59' 30.193656"вд, 5) 45° 35' 13.631496"сш, 68° 3' 14.062392"вд, 6) 45° 34' 49.631016"сш, 68° 5' 33.583128"вд, 7)</w:t>
      </w:r>
      <w:r w:rsidRPr="006F373C">
        <w:rPr>
          <w:rFonts w:ascii="Times New Roman" w:eastAsia="Calibri" w:hAnsi="Times New Roman" w:cs="Times New Roman"/>
          <w:color w:val="000000"/>
          <w:sz w:val="20"/>
          <w:szCs w:val="20"/>
        </w:rPr>
        <w:tab/>
        <w:t>45° 33' 30.265596"сш, 68° 5' 44.146788"вд, 8) 45° 33' 13.834008"сш, 68° 6' 19.77246"вд, 9)45° 33' 9.999468"сш, 68° 7' 38.043408"вд, 10) 45° 35' 59.103708"сш, 68° 7' 15.435444"вд, 11)45° 36' 9.485208"</w:t>
      </w:r>
      <w:r w:rsidRPr="006F373C">
        <w:rPr>
          <w:rFonts w:ascii="Times New Roman" w:eastAsia="Calibri" w:hAnsi="Times New Roman" w:cs="Times New Roman"/>
          <w:color w:val="000000"/>
          <w:sz w:val="20"/>
          <w:szCs w:val="20"/>
        </w:rPr>
        <w:tab/>
        <w:t>сш, 68° 8' 5.453232"вд, 12) 45° 34' 56.938764"</w:t>
      </w:r>
      <w:r w:rsidRPr="006F373C">
        <w:rPr>
          <w:rFonts w:ascii="Times New Roman" w:eastAsia="Calibri" w:hAnsi="Times New Roman" w:cs="Times New Roman"/>
          <w:color w:val="000000"/>
          <w:sz w:val="20"/>
          <w:szCs w:val="20"/>
        </w:rPr>
        <w:tab/>
        <w:t>сш, 68° 8' 55.112568"вд, 13)</w:t>
      </w:r>
      <w:r w:rsidRPr="006F373C">
        <w:rPr>
          <w:rFonts w:ascii="Times New Roman" w:eastAsia="Calibri" w:hAnsi="Times New Roman" w:cs="Times New Roman"/>
          <w:color w:val="000000"/>
          <w:sz w:val="20"/>
          <w:szCs w:val="20"/>
        </w:rPr>
        <w:tab/>
        <w:t>45° 34' 47.28324"сш, 68° 11' 57.242508"вд, 14)45° 36' 6.55596"сш, 68° 15' 46.29222"вд, 15)45° 33' 1.069992"сш, 68° 16' 50.854008"вд, 16)45° 30' 0.578376"сш, 68° 15' 0.293148"вд, 17)45° 30' 1.14228"сш, 68° 5' 3.152904"вд, 18) 45° 27' 37.78362"сш, 68° 5' 2.5917"вд, 19) 45° 27' 36.459684"сш, 68° 3' 48.344904"вд, 20) 45° 26' 28.096836"сш, 68° 1' 52.421772"вд, 21) 45° 25' 42.033504"сш, 67° 58' 46.371648"вд, 22)</w:t>
      </w:r>
      <w:r w:rsidRPr="006F373C">
        <w:rPr>
          <w:rFonts w:ascii="Times New Roman" w:eastAsia="Calibri" w:hAnsi="Times New Roman" w:cs="Times New Roman"/>
          <w:color w:val="000000"/>
          <w:sz w:val="20"/>
          <w:szCs w:val="20"/>
        </w:rPr>
        <w:tab/>
        <w:t>45° 27' 51.386976"сш, 68° 0' 3.93426"вд, 23)</w:t>
      </w:r>
      <w:r w:rsidRPr="006F373C">
        <w:rPr>
          <w:rFonts w:ascii="Times New Roman" w:eastAsia="Calibri" w:hAnsi="Times New Roman" w:cs="Times New Roman"/>
          <w:color w:val="000000"/>
          <w:sz w:val="20"/>
          <w:szCs w:val="20"/>
        </w:rPr>
        <w:tab/>
        <w:t>45° 29' 50.649864"сш, 67° 59' 38.85612"вд, 24) 45° 32' 6.632448"сш, 67° 55' 23.28996"вд, 25)</w:t>
      </w:r>
      <w:r w:rsidRPr="006F373C">
        <w:rPr>
          <w:rFonts w:ascii="Times New Roman" w:eastAsia="Calibri" w:hAnsi="Times New Roman" w:cs="Times New Roman"/>
          <w:color w:val="000000"/>
          <w:sz w:val="20"/>
          <w:szCs w:val="20"/>
        </w:rPr>
        <w:tab/>
        <w:t xml:space="preserve">45° 33' 21.529152"сш, 67° 54' 21.909492"вд, 26) 45° 34' 16.088772"сш, 67° 52' 22.686312"вд, 27) 45° 34' 19.07508"сш, 67° 51' 0.57042"вд.  </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Площадь геологического отвода составляет 16116, 6 кв. км, глубина геологического отвода - до кровли фундамента.</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6F373C">
        <w:rPr>
          <w:rFonts w:ascii="Times New Roman" w:eastAsia="Calibri" w:hAnsi="Times New Roman" w:cs="Times New Roman"/>
          <w:b/>
          <w:i/>
          <w:color w:val="000000"/>
          <w:sz w:val="20"/>
          <w:szCs w:val="20"/>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 xml:space="preserve">Туркестанская область расположена на юге Казахстана, в пределах восточной части Туранской низменности и западных отрогов Тянь-Шаня. Большая часть территории равнинная, с бугристо-грядовыми песками Кызылкума, степью Шардара (на юго-западе, по левобережью Сырдарьи) и Мойынкум (на севере, по левобережью Чу). </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 xml:space="preserve">Северная часть занята пустыней Бетпак-Дала, на крайнем юге — Голодная степь (Мырзашоль). Среднюю часть области занимает хребет Каратау (гора Бессаз — 2176 м, длина 500 км), на юго-востоке — западная окраина Таласского Алатау, хребты Каржантау (высота до 2823 м) и Угамский (высочайшая точка — Сайрамский пик — 4299 м). </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 xml:space="preserve">Наиболее крупные реки — Сырдарья (с притоками Арыс, Ахангаран, Гавасай, Исфайрамсай, Исфара, Карадарья, Караозек, Касансай, Келес, Нарын, Сох, Ходжабакирган, Чадак, Чирчик, Шахимардан) пересекает территорию области с юга на северо-запад, и река Чу (нижнее течение), протекающая на севере и теряющаяся в песках Мойынкум. </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Область расположена в зоне резко континентального климата. Плодородные почвы, обилие солнечного света, обширные пастбища создают большие возможности для развития в этом районе разнообразных отраслей сельского хозяйства, в первую очередь поливного земледелия и пастбищного овцеводства. Высокие урожаи дают посевы хлопчатника, риса, а также сады и виноградники.</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Численность и миграция населения</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Численность населения страны на 1 ноября 2023г. составила 19992 тыс. человек, в том числе городского – 12411 тыс. (62%), сельского – 7581 тыс. (38%) человек. В январе-октябре 2023г. по сравнению с январем-октябрем 2022г. число прибывших в Казахстан увеличилось на 65,1%, число выбывших из Казахстана уменьшилось на 36,9%. Основной миграционный обмен страны происходит с государствами СНГ. Доля прибывших из стран СНГ и выбывших в эти страны составили 87,6% и 77,9% соответственно. Число мигрантов, переезжающих в пределах страны увеличилось на 27,4%. По межрегиональным перемещениям положительное сальдо миграции населения сложилось в 3-х регионах страны: городах Астана (42412 человек), Алматы (36029 человек) и Шымкент (2092 человека).</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Численность наемных работников на предприятиях (организациях)3) в III квартале 2023г. составила 3926,2 тыс. человек, из них на крупных и средних предприятиях – 2872,6тыс. человек. В III квартале 2023г. на предприятия было принято 305,0 тыс. человек. Выбыло по различным причинам 303,2 тыс. человек. Отработано одним работником 459,3 часов. На конец III квартала 2023г. на предприятиях были не заполнены 55,9 тыс. вакантных мест (1,4% к численности наемных работников).</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 xml:space="preserve">Численность безработных, определяемая по методологии МОТ, в III квартале1) 2023г. составила 451,5 тыс. человек, уровень безработицы – 4,7%. Численность занятого населения2) составила 9106 тыс человек, в том числе наемные работники составили 6916,1 тыс. человек, индивидуальные предприниматели составили 1595,2 тыс. человек, лица, занимающиеся частной практикой – 21,7 тыс. человек, физические лица, являющиеся учредителями (участниками) хозяйственных товариществ и учредителями, акционерами </w:t>
      </w:r>
      <w:r w:rsidRPr="006F373C">
        <w:rPr>
          <w:rFonts w:ascii="Times New Roman" w:eastAsia="Calibri" w:hAnsi="Times New Roman" w:cs="Times New Roman"/>
          <w:color w:val="000000"/>
          <w:sz w:val="20"/>
          <w:szCs w:val="20"/>
        </w:rPr>
        <w:lastRenderedPageBreak/>
        <w:t>(участниками) акционерных обществ, а также членами производственных кооперативов – 12,3 тыс. человек, независимые работники – 560,7 тыс. человек.</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Оплата труда на предприятиях и организациях</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В III квартале 2023г. среднемесячная номинальная заработная плата одного работника составила 350542 тенге (без учета работников малых предприятий, занимающихся предпринимательской деятельностью). В III квартале 2023г. медианная заработная плата по оценке составила 243924тенге. С 1 января 2023г. минимальная заработная плата установлена в размере 70000 тенге.</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Статистика цен</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Индекс потребительских цен в ноябре 2023 года по сравнению с октябрем 2023 года составил 101%. Цены на платные услуги повысились на 1,7%, продовольственные товары – на 0,7%, непродовольственные – на 0,5%. Основной вклад в инфляцию внесли повышение тарифов на коммунальные услуги. Тарифы на центральное отопление выросли на 16,1%, горячую воду – на 8,1%, вывоз мусора – на 7,7%, холодную воду – на 5%, электроэнергию – на 4,4%, водоотведение – на 0,9%. Цены на услуги воздушного пассажирского транспорта повысились на 27%. Из продуктов питания цены на огурцы выросли на 42,1%, помидоры – на 39%, яйца – на 5,6%, перец сладкий – на 3,5%, рис – на 1,4%, муку – на 1,2%, кондитерские изделия, булочные и мучные изделия – по 0,6%. Повышение цен отмечено на минеральную и питьевую воду на 0,8%, табачные изделия – на 0,7%, алкогольные напитки – на 0,4%. Подешевели морковь на 6,3%, картофель, капуста – по 5,7%, лук – на 4,4%. Повышение цен в ноябре т.г. отмечено на автомобили, ноутбук по 2,2%, электрообогреватель – на 0,8%. Уголь каменный и дрова подорожали по 1%. В ноябре 2023 года по сравнению с предыдущим месяцем индекс цен производителей на продукцию сельского хозяйства составил 99,5%, продукцию растениеводства – 99,2%, продукцию животноводства – 100,2%. Цены на рис необрушенный повысились на 2,5%, пшеницу – на 0,7%, овес – на 0,5%,а на кукурузу (маис) – снизились на 4,4%, гречиху – на 3,7%, семена подсолнечника – на 3,6%, культуры кормовые зерновые – на 2,3%, семена рапса – на 2,2%, ячмень – на 1,3%. Огурцы закрытого грунта подорожали на 13,2%, помидоры закрытого грунта –на9,1%, а картофель – подешевел на 1,8%, свекла столовая – на 0,6%. Свиньи подорожали на 0,9%, лошади – на 0,5%, а мясо птицы – подешевело на 1,4%. Цены на яйца повысились на 2,9%, молоко коровье – на 0,4%. Цены предприятий-производителей на промышленную продукцию в ноябре 2023г. по сравнению с предыдущим месяцем снизились на 1,5%. Цены на нефть стали ниже на 4,9%, газ природный – выше на 1,3%, металлические руды – на 0,4%. Из нефтепродуктов пропан и бутан сжиженные подорожали на 2,7%. Снижение цен отмечено на свинец на 7,2%, медь – на 2,6%, алюминий – на 2,5%, на прокат черных металлов – повышение на 3%, благородные металлы – на 2,3%. Из продуктов питания мука пшеничная подорожала на 2,7%, мясо скота – на 1,5%, макаронные изделия – на 1,4%, хлеб – на 1,3%, крупы подешевели на 3,5%, масло растительное – на 2,9%. В сфере услуг тарифы на перевозку грузов всеми видами транспорта в ноябре 2023 года по сравнению с октябрем повысились на 0,3%, тарифы на услуги связи, почтовые и курьерские – остались без изменений. В ноябре 2023 года по сравнению с предыдущим месяцем индекс цен в строительстве и на строительномонтажные работы составил по 100,4%, на машины и оборудование – 100,7%, на прочие работы и затраты – 100,2%.</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В структуре ВВП за январь-сентябрь 2023г. по предварительным данным производство товаров составило 37,1%, производство услуг – 54,2%. Основную долю в производстве ВВП занимает промышленность – 27,7%, оптовая и розничная торговля; ремонт автомобилей и мотоциклов – 15,8%.</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Статистика внутренней торговли</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Объем розничной торговли за январь-март 2023г. составил 150784,8 млн. тенге и увеличился на 5% к соответствующему периоду 2022г. Розничная реализация товаров торгующими предприятиями уменьшилась на 18,9% по сравнению с январем-мартом 2022г. Объем торговли индивидуальных предпринимателей (в том числе торгующих на рынках) увеличился на 2,9%.</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На 1 апреля 2023г. объем товарных запасов торговых предприятий (по отчитавшимся предприятиям) в розничной торговле составил 59761,5 млн. тенге, в днях торговли – 61 день. Доля продовольственных товаров в общем объеме розничной торговли составляет45,9%, непродовольственных товаров – 54,1%. Объем реализации продовольственных товаров по сравнению с январем-мартом 2022г. увеличился на 8,4%, непродовольственных товаров уменьшился – на 6,1%.</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Оборот оптовой торговли за январь-март 2023г. составил 237344,3 млн. тенге и уменьшился на 17,4% по сравнению с январем-мартом 2022г. (в сопоставимых ценах). В структуре оптового товарооборота преобладают непродовольственные товары и продукция производственно-технического назначения (86,8%).</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 xml:space="preserve">Статистика инвестиции </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В январе-ноябре 2023г. объем инвестиций в основной капитал составил 15292,5 млрд. тенге, что на 14,6% больше, чем в январе-ноябре 2022г. Преобладающими источниками инвестиций в январе-ноябре 2023г. остаются собственные средства хозяйствующих субъектов, объем которых составил 11487 млрд.тенге. В январе-ноябре 2023г. по сравнению с январем-ноябрем 2022г. наблюдается увеличение затрат на приобретение машин, оборудования и транспортных средств и их капитальный ремонт на 31,4%. Значительная доля инвестиций в основной капитал в январе-ноябре 2023г. приходится на горнодобывающую промышленность и разработку карьеров (27,6%), операции с недвижимым имуществом (18,2%), транспорт и складирование (14%) и обрабатывающую промышленность (9,1%). Объем инвестиционных вложений крупных предприятий за январь-ноябрь 2023г. составил 6103,5 млрд. тенге.</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lastRenderedPageBreak/>
        <w:t>Статистика внутреней торговли</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Объем розничной торговли за январь-ноябрь 2023г. составил 16793,1 млрд. тенге, что на 7,7% больше уровня соответствующего периода 2022г. Розничная реализация товаров торгующими предприятиями увеличилась на 11,7%, индивидуальными предпринимателями, в том числе торгующих на рынках увеличилась на 0,1% по сравнению с январем-ноябрем 2022г. На 1 декабря 2023г. объем товарных запасов торговых предприятий (по отчитавшимся предприятиям) в розничной торговле составил 1563,3 млрд. тенге, в днях торговли – 65 дней. Доля продовольственных товаров в общем объеме розничной торговли составляет 32,4%, непродовольственных товаров – 67,6%. Объем реализации продовольственных товаров по сравнению с январем-ноябрем 2022г. уменьшился на 3,9%, непродовольственных товаров увеличился – на 14,3%. Объем оптовой торговли за январь-ноябрь 2023г. составил 36817,7 млрд. тенге или на 12,8% больше уровня соответствующего периода 2022г. В структуре оптового товарооборота преобладают непродовольственные товары и продукция производственно-технического назначения (82,7%)</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Статистика внешней и взаимной торговли</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Внешнеторговый оборот в январе-октябре 2023г. составил 114,1 млрд. долларов США (по сравнению с январем-октябрем 2022г. в номинальном выражении увеличился на 2,6%), в том числе экспорт – 64,6 млрд. долларов США (на 8,9% меньше) и импорт – 49,5 млрд. долларов США (на 22,8% больше). Экспорт со странами ЕАЭС составил 8986 млн. долларов США или на 13,2% больше, чем в январе-октябре 2022г., импорт – 14317,8 млн. долларов США, по сравнению с соответствующим периодом прошлого года уменьшился на 9,3%.</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Статистика сельского, лесного, охотничьего и рыбного хозяйства</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Валовый выпуск продукции (услуг) сельского, лесного и рыбного хозяйства в январе-ноябре 2023г. составил 8204,4 млрд. тенге, в том числе валовая продукция растениеводства – 4309,9 млрд.тенге, животноводства – 3847,3 млрд.тенге, услуги в области сельского хозяйства – 10,6 млрд.тенге, объем продукции (услуг) в охотничьем хозяйстве – 1,4 млрд.тенге, лесном хозяйстве – 17,7 млрд.тенге, в рыболовстве и аквакультуре – 17,5 млрд.тенге.</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Статистика промышленного производства</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Объем промышленного производства в январе-ноябре 2023г. составил 42130,7 млрд. тенге. В горнодобывающей промышленности и разработке карьеров – 19880,2 млрд. тенге, в обрабатывающей промышленности – 19579,6 млрд. тенге, в снабжении электроэнергией, газом, паром, горячей водой и кондиционированным воздухом – 2309,4 млрд. тенге, в водоснабжении, сборе, обработке и удалении отходов, деятельности по ликвидации загрязнений – 361,5 млрд. тенге.</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Статистика строительства</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В январе-ноябре 2023г. объем строительных работ (услуг) составил 5918,9 млрд. тенге. Наибольший объем работ за январь-ноябрь 2023г. выполнен на строительстве сооружений (2782,5 млрд.тенге), нежилых зданий (2179,4 млрд.тенге)и жилых зданий (957 млрд.тенге). Объем строительно-монтажных работ в январе-ноябре 2023г. по сравнению с январем-ноябрем 2022 года увеличился на 9% и составил 4981,9 млрд. тенге. Объем строительных работ по капитальному ремонту по сравнению с соответствующим периодом прошлого года увеличился на 49,2%, по текущему ремонту на 23,6%. В январе-ноябре 2023г. было закончено строительство 34428 новых зданий, из которых 32357 жилого и 2071 нежилого назначения. Введено в эксплуатацию объектов социально-культурного назначения: - общеобразовательных школ – 70; - дошкольных организаций – 44; - больницы – 2; - амбулаторно-поликлинических организаций – 31.</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В январе-ноябре 2023г. на строительство жилья направлено2672,2 млрд. тенге. В общем объеме инвестиций в основной капитал доля освоенных средств в жилищном строительстве составила 17,5%. Основным источником финансирования жилищного строительства в январе-ноябре 2023г. являются собственные средства застройщиков, удельный вес которых составил 88,4%.</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В январе-ноябре 2023г. общая площадь введенного в эксплуатацию жилья увеличилась на 15,6% и составила 15067,2 тыс. кв.м,изних в многоквартирных домах - на 28,5% (9107,9 тыс. кв.м). При этом, общая площадь введенных в эксплуатацию индивидуальных жилых домовуменьшилась – на 0,5% (5862 тыс. кв.м.). В общем объеме введенного в эксплуатацию жилья доля многоквартирных домов составила 60,4%, индивидуальных – 38,9%.Средние фактические затраты на строительство 1 кв.метра общей площади жилья выросли на 18,6%.</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Статистика транспорта</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Грузооборот за январь-ноябрь 2023г. увеличился на 3,1% от уровня соответствующего периода предыдущего года. В январе-ноябре 2023г. по сравнению с январем-ноябрем 2022г. наблюдается увеличение грузооборота на железнодорожном транспорте (на 4,9%).</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Пассажирооборот за январь-ноябрь2023г. по сравнению с соответствующим периодом предыдущего года увеличился на 11,2%. В январе-ноябре 2023г. по сравнению с январем-ноябрем 2022г. наблюдается увеличениепассажиропотоков наавтомобильном (на 4,3%) и воздушном транспорте (на 32,1%).</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Статистика связи</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 xml:space="preserve">ИФО по услугам связи в январе-ноябре 2023г. по сравнению с январем-ноябрем 2022г. составил 107,6%, из них по услугам Интернета – 116,8%, по услугам телекоммуникационным прочим – 105,1% и услугам мобильной связи – 95,7%. Значительную долю в общем объеме услуг связи занимают услуги сети </w:t>
      </w:r>
      <w:r w:rsidRPr="006F373C">
        <w:rPr>
          <w:rFonts w:ascii="Times New Roman" w:eastAsia="Calibri" w:hAnsi="Times New Roman" w:cs="Times New Roman"/>
          <w:color w:val="000000"/>
          <w:sz w:val="20"/>
          <w:szCs w:val="20"/>
        </w:rPr>
        <w:lastRenderedPageBreak/>
        <w:t>Интернет, услуги мобильной связи и услуги телекоммуникационные прочие удельные веса которых составили 46,3%, 21,2% и 20,2% соответственно.</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Малое и среднее предпринимательство</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По данным Статистического бизнес-регистра наибольшее количество действующих индивидуальных предпринимателей от общего количества сосредоточено в г.Алматы (16,7%), г.Астана (11,2%), г.Шымкент (7,3%), Туркестанской (8,4%), Алматинской (6,7%) и Карагандинской (5,1%) областях. При этом, значительное количество действующих крестьянских или фермерских хозяйств зафиксировано в Туркестанской (30%), Жамбылской (11,1%), Алматинской (10,6%) и Жетісу (7,6%) областях.</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Финансы предприятий</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Расходы на производство и реализацию продукции за ІІ квартал 2023 года составили 16399,5 млрд. тенге, из них доля производственных расходов – 66,7%, непроизводственных – 33,3%.</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За ІІ квартал 2023 года задолженность по оплате труда на предприятиях республики составила 399,1 млрд. тенге и увеличилась по сравнению с соответствующим периодом 2022 года на 15,4%. Просроченная задолженность сложилась в сумме около 1,1 млрд. тенге или 0,3% от общей задолженности по оплате труда.</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6F373C">
        <w:rPr>
          <w:rFonts w:ascii="Times New Roman" w:eastAsia="Calibri" w:hAnsi="Times New Roman" w:cs="Times New Roman"/>
          <w:b/>
          <w:i/>
          <w:color w:val="000000"/>
          <w:sz w:val="20"/>
          <w:szCs w:val="20"/>
        </w:rPr>
        <w:t>3) Наименование инициатора намечаемой деятельности, его контактные данные</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АО «Sozak Oil and Gas», Кызылординская область, г. Кызылорда, ул. Желтоксан 12, БИН 010740001351, тел: 8 (7242) 60 50 58, е-mail: info@sog.kz.</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6F373C">
        <w:rPr>
          <w:rFonts w:ascii="Times New Roman" w:eastAsia="Calibri" w:hAnsi="Times New Roman" w:cs="Times New Roman"/>
          <w:b/>
          <w:i/>
          <w:color w:val="000000"/>
          <w:sz w:val="20"/>
          <w:szCs w:val="20"/>
        </w:rPr>
        <w:t>4) Краткое описание намечаемой деятельности</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По месторождению Орталык с учетом описанных выше технических решений и технологий был рассмотрен один вариант технологических показателей пробной эксплуатации. Проведение пробной эксплуатации на месторождении Орталык предусматривается с 27.07.2025 - 15.10.2026 гг. Технологические показатели рассчитаны при условии эксплуатации на естественном режиме истощения пластовой энергии. В период пробной эксплуатации на месторождении будет введена в эксплуатацию после бурения две проектные скважины (№3 и 5).  Бурение и ввод скважины в пробную эксплуатацию предусматривается в следующем порядке: Бурение скважин Орталык-3 и Орталык-5: Апрель-июнь 2026 г. – бурение оценочной скважины №3, 15.07.2026 г. – испытание скважины. Апрель-июнь 2026 г. – бурение опережающей добывающей скважины №5, 15.07.2026 г. – освоение. Испытание ранее пробуренной оценочной скважины SK-1008, месторождение Орталык. Дата: апрель 2026 года Как уже упоминалось, месторождение находится в пределах природоохранной зоны, и на основании Экологического кодекса РК и Закона об ООПТ на территории государственных заповедных зон запрещается строительство объектов промышленности и энергетики. При этом разрешаются геологическое изучение, разведка полезных ископаемых; добыча полезных ископаемых допускается в исключительных случаях на основании решения Правительства РК. В связи с чем, в рамках дополнения к проекту пробной эксплуатации предусматривается освоение и испытание скважин в течении 5 суток на один объект.  В период освоения опережающей добывающей скважины №5 будут проведены режимные исследования на пяти режимах прямым и трех обратным ходом с последующим закрытием на КВД, объект освоения PZ, интервал 2500-2570 м. Газ, в объеме 86 100 м3, полученный при освоении в течении 5 суток, будет сжигаться на факеле. По оценочным скважинам №3 и SK-1008 также предусматривается проведение испытания в течении 5 суток на один объект, продуктивных пластов PZ. Период проведения испытания на скважине № SK-1008 с 01.05.2026 по 01.06.2026 год, на скважине №3 с 15.07.2026 по 15.08.2026. Газ полученный при испытании скважин №№ 3 и SK-1008 также будет сжигаться на факеле. После завершения освоения и испытания скважин, и получения необходимой информации о фильтрационно-ёмкостных свойствах пласта и физико-химических характеристиках газа, скважины будут переведены в консервацию.</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скважин. Для “средней” скважины взяты средние параметры, такие, как глубина, дебит, коэффициенты фильтрационных сопротивлений для газовых залежей.</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 xml:space="preserve">При моделировании процесса эксплуатации газовой залежи использовался метод “средней” скважины на основе уравнения материального баланса. Используемый метод материального баланса перспективен на начальной стадии проектирования, когда недостаточно исходной геолого-промысловой информации о пластовом резервуаре. Кроме того, этот метод используется для оперативных расчетов показателей эксплуатации. Математическая модель включает систему дифференциальных уравнений, полученных исходя из балансовых соотношений флюидов в поровом объеме.  Выбор техники и технологии добычи газа основан на условиях эксплуатации скважин, которые определяются исходя из геолого-промысловой характеристики продуктивных пластов, физико-химических свойств пластовых флюидов и заданных проектных условий разработки месторождения.  При пробной эксплуатации разрабатываться будет нижнепалеозойский продуктивный горизонт. Отложения представлены глубоко метафорфизованными грубозернистыми песчаниками с гнейсевидной структурой с прослоями хлоритсирицитовых сланцев.  Природный флюид горизонта Pz характеризуется содержанием углекислого газа (CO2) 0,38% и азота 11,9%. В условиях добычи газ считается сухим (содержание метана 83,6%).  Опробование скважины 1Г в горизонте Pz-1+Pz-2 проводили в 1977 г. на НКТ диаметром 73 мм при диаметрах штуцера 5,84, 7,95, 11,13, 15,85 мм. При этом дебиты газа составляли соответственно 15,5, 13,51, 14,84, 17,22 тыс. м3/сут, трубное давление при этом составляло 2,94, 1,36, 0,73, и 0,42 МПа, забойное давление – 4,98, 3,78, 3,13, 1,47 МПа при пластовом давлении 22,4 МПа. Во всех скважинах межтрубное пространство перекрывалось пакером, что является необходимой мерой при эксплуатации газовых скважин. В процессе опробования вынос мехпримесей из </w:t>
      </w:r>
      <w:r w:rsidRPr="006F373C">
        <w:rPr>
          <w:rFonts w:ascii="Times New Roman" w:eastAsia="Calibri" w:hAnsi="Times New Roman" w:cs="Times New Roman"/>
          <w:color w:val="000000"/>
          <w:sz w:val="20"/>
          <w:szCs w:val="20"/>
        </w:rPr>
        <w:lastRenderedPageBreak/>
        <w:t>скважин не наблюдался, что позволяет устанавливать дебит скважин без ограничений по условию устойчивости коллектора, однако при обосновании фонтанного подъёмника необходимо учесть возможность выноса на забой частиц пластовой породы, которые должны выноситься на поверхность. Ввиду того что месторождение Орталык находится на природоохранной территории на текущем этапе предусматривается только опробование скважин. В рамках «Программы…» обоснован сжигание газа в объеме 86 100 м3.</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 xml:space="preserve">Общий объем выбросов ЗВ в атмосферу при строительстве скважины №3 всего 377,741535461 тонн (для скважины №5 также всего 377,741535461 т/год). При испытание ранее пробуренной оценочной скважины SK-1008 всего 217,1525557 тонн. Перечень ЗВ представлен исходя из условия максимального воздействия следующие вещества с 1 по 4 класс опасности (при бурении скважины):  Железо (II, III) оксиды (диЖелезо триоксид, Железа оксид) /в пересчете на железо/ (274) 3 класс 0,00217 г/сек и 0,00391 т/год, Марганец и его соединения /в пересчете на марганца (IV) оксид/ (327) 2 класс 0,000692 т/год, Азота (IV) диоксид (Азота диоксид) (4) 2 класс  165,404966535 т/год, Азот (II) оксид (Азота оксид) (6) 3 класс </w:t>
      </w:r>
      <w:r w:rsidRPr="006F373C">
        <w:rPr>
          <w:rFonts w:ascii="Times New Roman" w:eastAsia="Calibri" w:hAnsi="Times New Roman" w:cs="Times New Roman"/>
          <w:color w:val="000000"/>
          <w:sz w:val="20"/>
          <w:szCs w:val="20"/>
        </w:rPr>
        <w:tab/>
        <w:t>110,628309812 т/год, Углерод (Сажа, Углерод черный) (583) 3 класс 3,6527 т/год, Сера диоксид (Ангидрид сернистый, Сернистый газ, Сера (IV) оксид) (516) 3 класс 2,2876 т/год, Сероводород (Дигидросульфид) (518) 2 класс 0,03472261 т/год, Углерод оксид (Окись углерода, Угарный газ) (584) 4 класс 69,20782113 т/год, Фтористые газообразные соединения /в пересчете на фтор/ (617) 2 класс  0,00016 т/год, Пентан (450) 4 класс 0,0336393 т/год, Метан (727*)  0,626542528 т/год, Изобутан (2-Метилпропан) (279) 4 класс и 0,048484 т/год, Смесь углеводородов предельных С1-С5 (1502*) 0,8051616 т/год, Бенз/а/пирен (3,4-Бензпирен) (54) 1 класс 0,000104646  т/год, Формальдегид (Метаналь) (609) 2 класс 0,94002 т/год, Масло минеральное нефтяное (веретенное, машинное, цилиндровое и др.) (716*) 0,0000735 т/год, Алканы С12-19 /в пересчете на С/ (Углеводороды предельные С12-С19 (в пересчете на С); Растворитель РПК-265П) (10) 4 класс 23,933071 т/год,  Взвешенные частицы (116)3 класс 0,0207648 т/год,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r w:rsidRPr="006F373C">
        <w:rPr>
          <w:rFonts w:ascii="Times New Roman" w:eastAsia="Calibri" w:hAnsi="Times New Roman" w:cs="Times New Roman"/>
          <w:color w:val="000000"/>
          <w:sz w:val="20"/>
          <w:szCs w:val="20"/>
        </w:rPr>
        <w:tab/>
        <w:t>3класс  0,103 т/год, Пыль абразивная (Корунд белый, Монокорунд) (1027*) 0,009792 т/год. Пыль неорганическая, содержащая двуокись кремния в %: 70-20 – 0,0039 т/г. Ввиду того что месторождение Орталык находится на природоохранной территории на текущем этапе предусматривается только опробование скважин. Приведенное количество источников загрязнения, поступающих в атмосферу, при реализации проектных решений являются предварительными. Более точные объемы выбросов загрязняющих веществ могут быть представлены в РООСах.  Ввиду того что месторождение Орталык находится на природоохранной территории на текущем этапе предусматривается только опробование скважин. Период эксплуатации не производятся. Проектируемый объект не подлежит в регистр выбросов и переноса загрязнителей в соответствии с правилами ведения регистра выбросов и переноса загрязнителей. Сведения о веществах, входящих в перечень загрязнителей, данные по которым подлежат внесению. Проектируемый объект не подлежит в регистр выбросов и переноса загрязнителей в соответствии с правилами ведения регистра выбросов и переноса загрязнителей. Сведения о веществах, входящих в перечень загрязнителей, данные по которым подлежат внесению в регистр выбросов и переноса загрязнителей нет.</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F373C">
        <w:rPr>
          <w:rFonts w:ascii="Times New Roman" w:eastAsia="Calibri" w:hAnsi="Times New Roman" w:cs="Times New Roman"/>
          <w:color w:val="000000"/>
          <w:sz w:val="20"/>
          <w:szCs w:val="20"/>
        </w:rPr>
        <w:t>При строительстве скважины №3, всего отходов: 1775,5372 тонн (для скважины №5 также 1775,5372 тонн),, в том числе буровой шлам – 654,75 т, отработанный буровой раствор – 397,026 т, БСВ- 672,383 т,  промасленная ветошь - 0,1334 т, отработанные масла  6,9525 т, отработанные ртутьсодержащие лампы 0,0107 т, Металлические емкости из под масла 2,086 т, Тара из-под химреагентов 4,2566 т, и неопасные отходы: огарки сварочных электродов 0,006 т, Твердо-бытовые отходы 7,2 т, Металлолом 15 т, Строительный мусор (разбитые бетонные блоки) 7,5 т, отходы СКО – 8,2 т. При испытание ранее пробуренной оценочной скважины SK-1008 всего 57,2927 тонн, в том числе промасленная ветошь - 0,1334 т, отработанные масла  10,9 т, отработанные ртутьсодержащие лампы 0,0107 т, Металлические емкости из под масла 2,086 т, Тара из-под химреагентов 2,2566 т, и неопасные отходы: огарки сварочных электродов 0,006 т, Твердо-бытовые отходы 6,2 т, Металлолом 10 т, Строительный мусор (разбитые бетонные блоки) 7,5 т, отходы СКО – 18,2 т. Зеркальные отходы отсутствуют Ввиду того что месторождение Орталык находится на природоохранной территории на текущем этапе предусматривается только опробование скважин. Зеркальные отходы отсутствуют. Период эксплуатации не производятся. Отходы производства временно складируются и далее сдаются специализированным компаниям. Накопление отходов предусмотрено в специально оборудованных контейнерах в соответствии с требованиями законодательства Республики Казахстан. В соответствии с пп.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Договор на вывоз отходов со специализированными организациями будут заключены непосредственно перед началом проведения работ. Количество отходов, предусмотренных к переносу за пределы объекта за год, не превышает пороговых значений, установленных для переноса отходов правилами ведения регистра выбросов и переноса загрязнителей (перенос за пределы объекта двух тонн в год для опасных отходов или двух тысяч тонн в год для неопасных отходов).</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6F373C">
        <w:rPr>
          <w:rFonts w:ascii="Times New Roman" w:eastAsia="Calibri" w:hAnsi="Times New Roman" w:cs="Times New Roman"/>
          <w:b/>
          <w:i/>
          <w:color w:val="000000"/>
          <w:sz w:val="20"/>
          <w:szCs w:val="20"/>
        </w:rPr>
        <w:lastRenderedPageBreak/>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rsidR="006F373C" w:rsidRPr="006F373C" w:rsidRDefault="006F373C" w:rsidP="006F373C">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6F373C">
        <w:rPr>
          <w:rFonts w:ascii="Times New Roman" w:eastAsia="Calibri" w:hAnsi="Times New Roman" w:cs="Times New Roman"/>
          <w:sz w:val="20"/>
          <w:szCs w:val="20"/>
        </w:rPr>
        <w:t>04 октября 2024 г Рабочей группой по вопросам развития переработки сырого газа при МЭ РК была рассмотрена и утверждена «Программа развития переработки сырого газа на этапе пробой эксплуатации месторождения Орталык на период с 01.10.2024 г по 27.07.2025 г» (протокол 21/7-4 от 04.10.2024 г). В рамках «Программы…» обоснован сжигание газа в объеме 86 100 м3.</w:t>
      </w:r>
    </w:p>
    <w:p w:rsidR="006F373C" w:rsidRPr="006F373C" w:rsidRDefault="006F373C" w:rsidP="006F373C">
      <w:pPr>
        <w:autoSpaceDN w:val="0"/>
        <w:adjustRightInd w:val="0"/>
        <w:spacing w:after="0" w:line="240" w:lineRule="auto"/>
        <w:ind w:firstLine="709"/>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Ввиду того что месторождение Орталык находится на природоохранной территории на текущем этапе предусматривается только опробование скважин.</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b/>
          <w:i/>
          <w:sz w:val="20"/>
          <w:szCs w:val="20"/>
        </w:rPr>
        <w:t>Примерная площадь земельного участка, необходимого для осуществления намечаемой деятельности</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Площадь геологического отвода (участка недр) – 16116,6 км2. Глубина разведки – до кровли фундамента.</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b/>
          <w:i/>
          <w:sz w:val="20"/>
          <w:szCs w:val="20"/>
        </w:rPr>
      </w:pPr>
      <w:r w:rsidRPr="006F373C">
        <w:rPr>
          <w:rFonts w:ascii="Times New Roman" w:eastAsia="Calibri" w:hAnsi="Times New Roman" w:cs="Times New Roman"/>
          <w:b/>
          <w:i/>
          <w:sz w:val="20"/>
          <w:szCs w:val="20"/>
        </w:rPr>
        <w:t>Краткое описание возможных рациональных вариантов осуществления намечаемой деятельности и обоснование выбранного варианта</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Учитывая геолого-литологическое строение района и непосредственно участка работ, альтернатив по переносу и выбору участков не имеются. </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b/>
          <w:i/>
          <w:sz w:val="20"/>
          <w:szCs w:val="20"/>
        </w:rPr>
      </w:pPr>
      <w:r w:rsidRPr="006F373C">
        <w:rPr>
          <w:rFonts w:ascii="Times New Roman" w:eastAsia="Calibri" w:hAnsi="Times New Roman" w:cs="Times New Roman"/>
          <w:b/>
          <w:i/>
          <w:sz w:val="20"/>
          <w:szCs w:val="20"/>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Жизнь и (или) здоровье людей, условия их проживания и деятельности.</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По результатам расчетов выбросов загрязняющих веществ и их рассеивания в приземном слое атмосферы, превышений ПДК на границе СЗЗ нет.</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При разработке месторождения будут соблюдаться правила пром.санитарии и технологии производства с целью обеспечения безопасности для здоровья трудящихся.</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Исходя из выше сказанного, воздействие на жизнь и здоровье людей, а также условия их проживания и деятельности оценивается как незначительное.</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Изменения видового состава растительности, ее состояния, продуктивности сообществ в районе намечаемой деятельности исключается. ТОО будет выполнять работы, с условием минимального воздействия на любой вид растительности и строго в границах земельного отвода.</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 xml:space="preserve">Для исключения физического уничтожения растительности </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С учетом природоохранных мероприятий проведение работ на месторождении не повлечет за собой изменение видового состава и численности животного мира.</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Следовательно, при проведении работ, существенного негативного влияния на растительный и животный мир не произойдет, воздействие допустимое.</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Генетические ресурсы</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В технологическом процессе добычных работ на месторождениях генетические ресурсы не используются.</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Природные ареалы растений и диких животных, пути миграции диких животных, экосистемы</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При проведении работ на месторождении строго будут соблюдаться охранные мероприятия по сохранению растительности и животного мира, улучшению состояния встречающихся растительных и животных сообществ и их воспроизводству.</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Немаловажное значение для животных, обитающих в районе месторождения, будут иметь находящиеся на месторождении трудящиеся. Поэтому наряду с усилением охраны растительного и животного мира необходимо проводить экологическое воспитание рабочих и служащих.</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Для снижения воздействия на растительный и животный мир после прекращения работ на месторождении, предусматривается рекультивация нарушенных земель. В связи с этим, воздействие намечаемой деятельности на растительный и животный мир оценивается как допустимое.</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Земли (в том числе изъятие земель), почвы (в том числе включая органический состав, эрозию, уплотнение, иные формы деградации).</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На территории месторождений отсутствуют земли оздоровительного, рекреационного и историко-культурного назначения.</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Добычные работы будут проводиться в границах земельного отвода.</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Дополнительного изъятия земель проектом не предусмотрено.</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Почвы (в том числе органический состав, эрозию, уплотнение, иные формы деградации)</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Прямое воздействие на почвы района расположения месторождения производится при добычных работах. Косвенное воздействие производится в результате выбросов загрязняющих веществ.</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Для предотвращения ветровой эрозии предусмотрено орошение водой рабочих мест ведения работ, технологических дорог и отвала ПРС поливочной машиной. Производится посев трав после завершения формирования отвалов ПРС. После окончания работ будет предусмотрена рекультивация нарушаемых земель. Воздействие допустимое.</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Воды (в том числе гидроморфологические изменения, количество и качество вод)</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lastRenderedPageBreak/>
        <w:t>Проведение добычных работ на месторождении будет осуществляться с соблюдением мероприятий по охране подземных и поверхностных вод от загрязнения.</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Осуществление экологического контроля за производственной деятельностью предприятия позволит своевременно определить возможные превышения целевых показателей качества поверхностных и подземных вод с целью недопущения их загрязнения и сохранения экологического равновесия окружающей природной среды данного района.</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Атмосферный воздух</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При разработке месторождений внедрены следующие мероприятия по охране атмосферного воздуха согласно приложения 4 Экологического кодекса Республики Казахстан:</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п.1, п.п.3 - выполнение мероприятий по предотвращению и снижению выбросов загрязняющих веществ от стационарных источников.</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п.1, п.п.9 - проведение работ по пылеподавлению на технологических дорогах.</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В сухое летнее время с целью снижения запыленности воздушной среды будет организовано пылеподавление на технологических дорогах и рабочих площадках.</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Воздействие намечаемой деятельности на атмосферный воздух оценивается как незначительное.</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Сопротивляемость к изменению климата экологических и социально-экономических систем</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Проведение промышленной добычи на месторождении будет оказывать положительный эффект в первую очередь, на областном и местном уровне воздействий.</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В регионе может незначительно увеличиться первичная и вторичная занятость местного населения, что приведет к увеличению доходов населения и росту благосостояния.</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Экономическая деятельность оказывает прямое и косвенное благоприятное воздействие на финансовое положение области (увеличению поступлений денежных средств в местный бюджет, развитию системы пенсионного обеспечения, образования и здравоохранения).</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i/>
          <w:sz w:val="20"/>
          <w:szCs w:val="20"/>
        </w:rPr>
      </w:pPr>
      <w:r w:rsidRPr="006F373C">
        <w:rPr>
          <w:rFonts w:ascii="Times New Roman" w:eastAsia="Calibri" w:hAnsi="Times New Roman" w:cs="Times New Roman"/>
          <w:i/>
          <w:sz w:val="20"/>
          <w:szCs w:val="20"/>
        </w:rPr>
        <w:t>Материальные активы, объекты историко-культурного наследия (в том числе архитектурные и археологические), ландшафты.</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Отработка месторождений потребует больших затрат для обеспечения надежности и безопасности производственного процесса. Финансирование будет осуществляться за счёт собственных и привлеченных финансовых средств. Объекты историко-культурного наследия в районе работ не обнаружено.</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b/>
          <w:i/>
          <w:sz w:val="20"/>
          <w:szCs w:val="20"/>
        </w:rPr>
      </w:pPr>
      <w:r w:rsidRPr="006F373C">
        <w:rPr>
          <w:rFonts w:ascii="Times New Roman" w:eastAsia="Calibri" w:hAnsi="Times New Roman" w:cs="Times New Roman"/>
          <w:b/>
          <w:i/>
          <w:sz w:val="20"/>
          <w:szCs w:val="20"/>
        </w:rPr>
        <w:t>6)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sz w:val="20"/>
          <w:szCs w:val="20"/>
        </w:rPr>
      </w:pPr>
      <w:r w:rsidRPr="006F373C">
        <w:rPr>
          <w:rFonts w:ascii="Times New Roman" w:eastAsia="Times New Roman" w:hAnsi="Times New Roman" w:cs="Times New Roman"/>
          <w:bCs/>
          <w:sz w:val="20"/>
          <w:szCs w:val="20"/>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оценок. Основными причинами возникновения аварийных ситуаций при разработке проекта на рассматриваемом месторождении являются: нарушение технологических процессов; технические ошибки операторов и другого персонала, нарушения техники безопасности и противопожарной безопасности; нарушением технологии эксплуатации и обслуживания оборудования, отказом работы оборудования, человеческим фактором; отравление выхлопными газами двигателей внутреннего сгорания спецтехники и автотранспорта, работающих на нефтепромысле; несоблюдение требований противопожарной защиты при использовании ГСМ и т.д. </w:t>
      </w:r>
      <w:r w:rsidRPr="006F373C">
        <w:rPr>
          <w:rFonts w:ascii="Times New Roman" w:eastAsia="Calibri" w:hAnsi="Times New Roman" w:cs="Times New Roman"/>
          <w:sz w:val="20"/>
          <w:szCs w:val="20"/>
        </w:rPr>
        <w:t xml:space="preserve"> </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b/>
          <w:i/>
          <w:sz w:val="20"/>
          <w:szCs w:val="20"/>
        </w:rPr>
      </w:pPr>
      <w:r w:rsidRPr="006F373C">
        <w:rPr>
          <w:rFonts w:ascii="Times New Roman" w:eastAsia="Times New Roman" w:hAnsi="Times New Roman" w:cs="Times New Roman"/>
          <w:bCs/>
          <w:sz w:val="20"/>
          <w:szCs w:val="20"/>
        </w:rPr>
        <w:t>Предупреждение аварийных и чрезвычайных ситуаций как в части их предотвращения (снижения вероятности возникновения), так и в плане уменьшения потерь и ущерба от них (смягчения последствий) проводится по следующим направлениям:</w:t>
      </w:r>
      <w:r w:rsidRPr="006F373C">
        <w:rPr>
          <w:rFonts w:ascii="Times New Roman" w:eastAsia="Calibri" w:hAnsi="Times New Roman" w:cs="Times New Roman"/>
          <w:sz w:val="20"/>
          <w:szCs w:val="20"/>
        </w:rPr>
        <w:t xml:space="preserve"> </w:t>
      </w:r>
      <w:r w:rsidRPr="006F373C">
        <w:rPr>
          <w:rFonts w:ascii="Times New Roman" w:eastAsia="Times New Roman" w:hAnsi="Times New Roman" w:cs="Times New Roman"/>
          <w:bCs/>
          <w:sz w:val="20"/>
          <w:szCs w:val="20"/>
        </w:rPr>
        <w:t>Профессиональная подготовка работника:</w:t>
      </w:r>
      <w:r w:rsidRPr="006F373C">
        <w:rPr>
          <w:rFonts w:ascii="Times New Roman" w:eastAsia="Calibri" w:hAnsi="Times New Roman" w:cs="Times New Roman"/>
          <w:sz w:val="20"/>
          <w:szCs w:val="20"/>
        </w:rPr>
        <w:t xml:space="preserve"> </w:t>
      </w:r>
      <w:r w:rsidRPr="006F373C">
        <w:rPr>
          <w:rFonts w:ascii="Times New Roman" w:eastAsia="Times New Roman" w:hAnsi="Times New Roman" w:cs="Times New Roman"/>
          <w:bCs/>
          <w:sz w:val="20"/>
          <w:szCs w:val="20"/>
        </w:rPr>
        <w:t>-</w:t>
      </w:r>
      <w:r w:rsidRPr="006F373C">
        <w:rPr>
          <w:rFonts w:ascii="Times New Roman" w:eastAsia="Times New Roman" w:hAnsi="Times New Roman" w:cs="Times New Roman"/>
          <w:bCs/>
          <w:sz w:val="20"/>
          <w:szCs w:val="20"/>
        </w:rPr>
        <w:tab/>
        <w:t>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w:t>
      </w:r>
      <w:r w:rsidRPr="006F373C">
        <w:rPr>
          <w:rFonts w:ascii="Times New Roman" w:eastAsia="Calibri" w:hAnsi="Times New Roman" w:cs="Times New Roman"/>
          <w:sz w:val="20"/>
          <w:szCs w:val="20"/>
        </w:rPr>
        <w:t xml:space="preserve"> </w:t>
      </w:r>
      <w:r w:rsidRPr="006F373C">
        <w:rPr>
          <w:rFonts w:ascii="Times New Roman" w:eastAsia="Times New Roman" w:hAnsi="Times New Roman" w:cs="Times New Roman"/>
          <w:bCs/>
          <w:sz w:val="20"/>
          <w:szCs w:val="20"/>
        </w:rPr>
        <w:t>-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w:t>
      </w:r>
      <w:r w:rsidRPr="006F373C">
        <w:rPr>
          <w:rFonts w:ascii="Times New Roman" w:eastAsia="Calibri" w:hAnsi="Times New Roman" w:cs="Times New Roman"/>
          <w:sz w:val="20"/>
          <w:szCs w:val="20"/>
        </w:rPr>
        <w:t xml:space="preserve"> </w:t>
      </w:r>
      <w:r w:rsidRPr="006F373C">
        <w:rPr>
          <w:rFonts w:ascii="Times New Roman" w:eastAsia="Times New Roman" w:hAnsi="Times New Roman" w:cs="Times New Roman"/>
          <w:bCs/>
          <w:sz w:val="20"/>
          <w:szCs w:val="20"/>
        </w:rPr>
        <w:t>-</w:t>
      </w:r>
      <w:r w:rsidRPr="006F373C">
        <w:rPr>
          <w:rFonts w:ascii="Times New Roman" w:eastAsia="Times New Roman" w:hAnsi="Times New Roman" w:cs="Times New Roman"/>
          <w:bCs/>
          <w:sz w:val="20"/>
          <w:szCs w:val="20"/>
        </w:rPr>
        <w:tab/>
        <w:t>повышение квалификации рабочих по специальным программам в соответствии с Типовым положением (проводится аттестованными преподавателями). Противоаварийная подготовка персонала предусматривает выполнение следующих мероприятий:</w:t>
      </w:r>
      <w:r w:rsidRPr="006F373C">
        <w:rPr>
          <w:rFonts w:ascii="Times New Roman" w:eastAsia="Calibri" w:hAnsi="Times New Roman" w:cs="Times New Roman"/>
          <w:sz w:val="20"/>
          <w:szCs w:val="20"/>
        </w:rPr>
        <w:t xml:space="preserve"> </w:t>
      </w:r>
      <w:r w:rsidRPr="006F373C">
        <w:rPr>
          <w:rFonts w:ascii="Times New Roman" w:eastAsia="Times New Roman" w:hAnsi="Times New Roman" w:cs="Times New Roman"/>
          <w:bCs/>
          <w:sz w:val="20"/>
          <w:szCs w:val="20"/>
        </w:rPr>
        <w:t>-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w:t>
      </w:r>
      <w:r w:rsidRPr="006F373C">
        <w:rPr>
          <w:rFonts w:ascii="Times New Roman" w:eastAsia="Calibri" w:hAnsi="Times New Roman" w:cs="Times New Roman"/>
          <w:sz w:val="20"/>
          <w:szCs w:val="20"/>
        </w:rPr>
        <w:t xml:space="preserve"> </w:t>
      </w:r>
      <w:r w:rsidRPr="006F373C">
        <w:rPr>
          <w:rFonts w:ascii="Times New Roman" w:eastAsia="Times New Roman" w:hAnsi="Times New Roman" w:cs="Times New Roman"/>
          <w:bCs/>
          <w:sz w:val="20"/>
          <w:szCs w:val="20"/>
        </w:rPr>
        <w:t>-</w:t>
      </w:r>
      <w:r w:rsidRPr="006F373C">
        <w:rPr>
          <w:rFonts w:ascii="Times New Roman" w:eastAsia="Times New Roman" w:hAnsi="Times New Roman" w:cs="Times New Roman"/>
          <w:bCs/>
          <w:sz w:val="20"/>
          <w:szCs w:val="20"/>
        </w:rPr>
        <w:tab/>
        <w:t>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w:t>
      </w:r>
      <w:r w:rsidRPr="006F373C">
        <w:rPr>
          <w:rFonts w:ascii="Times New Roman" w:eastAsia="Calibri" w:hAnsi="Times New Roman" w:cs="Times New Roman"/>
          <w:sz w:val="20"/>
          <w:szCs w:val="20"/>
        </w:rPr>
        <w:t xml:space="preserve"> </w:t>
      </w:r>
      <w:r w:rsidRPr="006F373C">
        <w:rPr>
          <w:rFonts w:ascii="Times New Roman" w:eastAsia="Times New Roman" w:hAnsi="Times New Roman" w:cs="Times New Roman"/>
          <w:bCs/>
          <w:sz w:val="20"/>
          <w:szCs w:val="20"/>
        </w:rPr>
        <w:t>- ежеквартальный инструктаж по действиям в соответствии с планами ликвидации аварий и эвакуации персонала (проводится руководителем организации).</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b/>
          <w:i/>
          <w:sz w:val="20"/>
          <w:szCs w:val="20"/>
        </w:rPr>
      </w:pPr>
      <w:r w:rsidRPr="006F373C">
        <w:rPr>
          <w:rFonts w:ascii="Times New Roman" w:eastAsia="Times New Roman" w:hAnsi="Times New Roman" w:cs="Times New Roman"/>
          <w:bCs/>
          <w:sz w:val="20"/>
          <w:szCs w:val="20"/>
        </w:rPr>
        <w:t>Предусмотрено обязательное обучение всех работников предприятий, учреждений и организаций правилам поведения, способам защиты и действиям в чрезвычайных ситуациях.</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b/>
          <w:i/>
          <w:sz w:val="20"/>
          <w:szCs w:val="20"/>
        </w:rPr>
      </w:pPr>
      <w:r w:rsidRPr="006F373C">
        <w:rPr>
          <w:rFonts w:ascii="Times New Roman" w:eastAsia="Times New Roman" w:hAnsi="Times New Roman" w:cs="Times New Roman"/>
          <w:bCs/>
          <w:sz w:val="20"/>
          <w:szCs w:val="20"/>
        </w:rPr>
        <w:lastRenderedPageBreak/>
        <w:t>Занятия с ними проводятся по месту работы в соответствии с программами, разработанными с учетом особенностей производства. Работники также принимают участие в специальных учениях и тренировках.</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b/>
          <w:i/>
          <w:sz w:val="20"/>
          <w:szCs w:val="20"/>
        </w:rPr>
      </w:pPr>
      <w:r w:rsidRPr="006F373C">
        <w:rPr>
          <w:rFonts w:ascii="Times New Roman" w:eastAsia="Times New Roman" w:hAnsi="Times New Roman" w:cs="Times New Roman"/>
          <w:bCs/>
          <w:sz w:val="20"/>
          <w:szCs w:val="20"/>
        </w:rPr>
        <w:t>Для руководителей всех уровней, кроме того, предусмотрено обязательное повышение квалификации в области гражданской обороны и защиты от чрезвычайных ситуаций при назначении на должность, а в последующем не реже одного раза в пять лет.</w:t>
      </w:r>
    </w:p>
    <w:p w:rsidR="006F373C" w:rsidRPr="006F373C" w:rsidRDefault="006F373C" w:rsidP="006F373C">
      <w:pPr>
        <w:autoSpaceDN w:val="0"/>
        <w:adjustRightInd w:val="0"/>
        <w:spacing w:after="0" w:line="240" w:lineRule="auto"/>
        <w:ind w:firstLine="567"/>
        <w:jc w:val="both"/>
        <w:rPr>
          <w:rFonts w:ascii="Times New Roman" w:eastAsia="Calibri" w:hAnsi="Times New Roman" w:cs="Times New Roman"/>
          <w:b/>
          <w:i/>
          <w:sz w:val="20"/>
          <w:szCs w:val="20"/>
        </w:rPr>
      </w:pPr>
      <w:r w:rsidRPr="006F373C">
        <w:rPr>
          <w:rFonts w:ascii="Times New Roman" w:eastAsia="Times New Roman" w:hAnsi="Times New Roman" w:cs="Times New Roman"/>
          <w:bCs/>
          <w:sz w:val="20"/>
          <w:szCs w:val="20"/>
        </w:rPr>
        <w:t>В качестве профилактических мер на объектах целесообразно использовать следующее:</w:t>
      </w:r>
    </w:p>
    <w:p w:rsidR="006F373C" w:rsidRPr="006F373C" w:rsidRDefault="006F373C" w:rsidP="006F373C">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6F373C">
        <w:rPr>
          <w:rFonts w:ascii="Times New Roman" w:eastAsia="Times New Roman" w:hAnsi="Times New Roman" w:cs="Times New Roman"/>
          <w:bCs/>
          <w:sz w:val="20"/>
          <w:szCs w:val="20"/>
        </w:rPr>
        <w:t>-</w:t>
      </w:r>
      <w:r w:rsidRPr="006F373C">
        <w:rPr>
          <w:rFonts w:ascii="Times New Roman" w:eastAsia="Times New Roman" w:hAnsi="Times New Roman" w:cs="Times New Roman"/>
          <w:bCs/>
          <w:sz w:val="20"/>
          <w:szCs w:val="20"/>
        </w:rPr>
        <w:tab/>
        <w:t>ужесточение пропускного режима при входе и въезде на территорию;</w:t>
      </w:r>
    </w:p>
    <w:p w:rsidR="006F373C" w:rsidRPr="006F373C" w:rsidRDefault="006F373C" w:rsidP="006F373C">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6F373C">
        <w:rPr>
          <w:rFonts w:ascii="Times New Roman" w:eastAsia="Times New Roman" w:hAnsi="Times New Roman" w:cs="Times New Roman"/>
          <w:bCs/>
          <w:sz w:val="20"/>
          <w:szCs w:val="20"/>
        </w:rPr>
        <w:t>-</w:t>
      </w:r>
      <w:r w:rsidRPr="006F373C">
        <w:rPr>
          <w:rFonts w:ascii="Times New Roman" w:eastAsia="Times New Roman" w:hAnsi="Times New Roman" w:cs="Times New Roman"/>
          <w:bCs/>
          <w:sz w:val="20"/>
          <w:szCs w:val="20"/>
        </w:rPr>
        <w:tab/>
        <w:t>установка систем сигнализации, аудио–и видеозаписи;</w:t>
      </w:r>
    </w:p>
    <w:p w:rsidR="006F373C" w:rsidRPr="006F373C" w:rsidRDefault="006F373C" w:rsidP="006F373C">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6F373C">
        <w:rPr>
          <w:rFonts w:ascii="Times New Roman" w:eastAsia="Times New Roman" w:hAnsi="Times New Roman" w:cs="Times New Roman"/>
          <w:bCs/>
          <w:sz w:val="20"/>
          <w:szCs w:val="20"/>
        </w:rPr>
        <w:t>-</w:t>
      </w:r>
      <w:r w:rsidRPr="006F373C">
        <w:rPr>
          <w:rFonts w:ascii="Times New Roman" w:eastAsia="Times New Roman" w:hAnsi="Times New Roman" w:cs="Times New Roman"/>
          <w:bCs/>
          <w:sz w:val="20"/>
          <w:szCs w:val="20"/>
        </w:rPr>
        <w:tab/>
        <w:t>тщательный подбор и проверка кадров;</w:t>
      </w:r>
    </w:p>
    <w:p w:rsidR="006F373C" w:rsidRPr="006F373C" w:rsidRDefault="006F373C" w:rsidP="006F373C">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6F373C">
        <w:rPr>
          <w:rFonts w:ascii="Times New Roman" w:eastAsia="Times New Roman" w:hAnsi="Times New Roman" w:cs="Times New Roman"/>
          <w:bCs/>
          <w:sz w:val="20"/>
          <w:szCs w:val="20"/>
        </w:rPr>
        <w:t>-</w:t>
      </w:r>
      <w:r w:rsidRPr="006F373C">
        <w:rPr>
          <w:rFonts w:ascii="Times New Roman" w:eastAsia="Times New Roman" w:hAnsi="Times New Roman" w:cs="Times New Roman"/>
          <w:bCs/>
          <w:sz w:val="20"/>
          <w:szCs w:val="20"/>
        </w:rPr>
        <w:tab/>
        <w:t xml:space="preserve">использование специальных средств и приборов обнаружения взрывчатых веществ и т.д. </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6F373C">
        <w:rPr>
          <w:rFonts w:ascii="Times New Roman" w:eastAsia="Times New Roman" w:hAnsi="Times New Roman" w:cs="Times New Roman"/>
          <w:bCs/>
          <w:sz w:val="20"/>
          <w:szCs w:val="20"/>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rsidR="006F373C" w:rsidRPr="006F373C" w:rsidRDefault="006F373C" w:rsidP="006F373C">
      <w:pPr>
        <w:widowControl w:val="0"/>
        <w:numPr>
          <w:ilvl w:val="0"/>
          <w:numId w:val="1"/>
        </w:numPr>
        <w:tabs>
          <w:tab w:val="left" w:pos="0"/>
        </w:tabs>
        <w:autoSpaceDE w:val="0"/>
        <w:autoSpaceDN w:val="0"/>
        <w:spacing w:after="0" w:line="240" w:lineRule="auto"/>
        <w:ind w:firstLine="567"/>
        <w:contextualSpacing/>
        <w:jc w:val="both"/>
        <w:outlineLvl w:val="2"/>
        <w:rPr>
          <w:rFonts w:ascii="Times New Roman" w:eastAsia="Times New Roman" w:hAnsi="Times New Roman" w:cs="Times New Roman"/>
          <w:b/>
          <w:bCs/>
          <w:i/>
          <w:sz w:val="20"/>
          <w:szCs w:val="20"/>
          <w:lang w:eastAsia="ru-RU"/>
        </w:rPr>
      </w:pPr>
      <w:r w:rsidRPr="006F373C">
        <w:rPr>
          <w:rFonts w:ascii="Times New Roman" w:eastAsia="Times New Roman" w:hAnsi="Times New Roman" w:cs="Times New Roman"/>
          <w:b/>
          <w:bCs/>
          <w:i/>
          <w:sz w:val="20"/>
          <w:szCs w:val="20"/>
          <w:lang w:eastAsia="ru-RU"/>
        </w:rPr>
        <w:t>Краткое описание мер по предотвращению, сокращению, смягчению выявленных существенных воздействий намечаемой деятельности на окружающую среду</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По отходам производства: своевременная организация системы сбора, транспортировки и утилизации отходов.</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Обоснование необходимости выполнения операций, влекущих такие воздействия не требуется.</w:t>
      </w:r>
    </w:p>
    <w:p w:rsidR="006F373C" w:rsidRPr="006F373C" w:rsidRDefault="006F373C" w:rsidP="006F373C">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6F373C">
        <w:rPr>
          <w:rFonts w:ascii="Times New Roman" w:eastAsia="Times New Roman" w:hAnsi="Times New Roman" w:cs="Times New Roman"/>
          <w:bCs/>
          <w:sz w:val="20"/>
          <w:szCs w:val="20"/>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rsidR="006F373C" w:rsidRPr="006F373C" w:rsidRDefault="006F373C" w:rsidP="006F373C">
      <w:pPr>
        <w:widowControl w:val="0"/>
        <w:numPr>
          <w:ilvl w:val="0"/>
          <w:numId w:val="1"/>
        </w:numPr>
        <w:tabs>
          <w:tab w:val="left" w:pos="0"/>
        </w:tabs>
        <w:autoSpaceDE w:val="0"/>
        <w:autoSpaceDN w:val="0"/>
        <w:spacing w:after="0" w:line="240" w:lineRule="auto"/>
        <w:ind w:firstLine="567"/>
        <w:contextualSpacing/>
        <w:jc w:val="both"/>
        <w:rPr>
          <w:rFonts w:ascii="Times New Roman" w:eastAsia="Times New Roman" w:hAnsi="Times New Roman" w:cs="Times New Roman"/>
          <w:b/>
          <w:bCs/>
          <w:i/>
          <w:sz w:val="20"/>
          <w:szCs w:val="20"/>
          <w:lang w:eastAsia="ru-RU"/>
        </w:rPr>
      </w:pPr>
      <w:r w:rsidRPr="006F373C">
        <w:rPr>
          <w:rFonts w:ascii="Times New Roman" w:eastAsia="Times New Roman" w:hAnsi="Times New Roman" w:cs="Times New Roman"/>
          <w:b/>
          <w:bCs/>
          <w:i/>
          <w:sz w:val="20"/>
          <w:szCs w:val="20"/>
          <w:lang w:eastAsia="ru-RU"/>
        </w:rPr>
        <w:t>Список источников информации, полученной в ходе выполнения оценки воздействия на окружающую среду:</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 Экологический кодекс РК №400 - VI от 02.01.2021 года. (с последними изменениями и дополнениями).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2. Кодекс «О здоровье народа и системе здравоохранения» № 360-VI ЗРК от 07.07.2020 года.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3. Закон РК «О гражданской защите» от 11.04.2014 г. № 188-V (с последними изменениями и дополнениями).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4. Земельный кодекс РК №442-II от 20.06.2003 (с последними изменениями и дополнениями).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5. Водный кодекс РК №481-II от 09.07.2003 (с последними изменениями и дополнениями).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lastRenderedPageBreak/>
        <w:t xml:space="preserve">6. Закон РК «Об охране, воспроизводстве и использовании животного мира» от 09.07.2004 № 593-II (с последними изменениями и дополнениями).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7. Кодекс РК «О недрах и недропользовании» №125-VI от 27.12.2017 г. (с изменениями и дополнениями).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8. «Единые правила по рациональному и комплексному использованию недр», утверждены приказом Министра энергетики РК от 15.06.2018 г. №239.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9. «Инструкция по организации и проведению экологической оценки» утвержденная приказом Министра экологии, геологии и природных ресурсов Республики Казахстан от 30 июля 2021 года № 280.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10. РНД 211.3.02.05-96 «Рекомендации по проведению оценки воздействия намечаемой хозяйственной деятельности на биоресурсы (почвы, растительность, животный мир), Алматы 1996 г.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11. РД 39-142-00 «Методика расчета выбросов вредных веществ в окружающую среду от неорганизованных источников нефтегазового оборудования». 2001 г.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12. «Методика расчета концентраций вредных веществ в атмосферном воздухе от выбросов предприятий». Приказ Министра окружающей среды и водных ресурсов Республики Казахстан от 12 июня 2014 года № 221-Ө.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13. Приказ Министра здравоохранения Республики Казахстан «Об утверждении Гигиенических нормативов к атмосферному воздуху в городских и сельских населенных пунктах» от 02.08.2022 № ҚР ДСМ-70;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14.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И.о. Министра здравоохранения Республики Казахстан № ҚР ДСМ-2 от 11 января 2022 года);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15. РД 52.04.52-85 «Регулирование выбросов при неблагоприятных метеорологических условиях».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16.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утверждены Приказом Министра здравоохранения Республики Казахстан от 20 февраля 2023 года № 26.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17. СНиП РК 4.01-02-2009 «Водоснабжение. Наружные сети и сооружения».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18. СП РК 4.01-101-2012 «Внутренний водопровод и канализация зданий и сооружений».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19. РНД 03.1.0.3.01-96 «Порядок нормирования объемов образования и размещения отходов производства».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20.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и.о. Министра здравоохранения Республики Казахстан № ҚР ДСМ-331/2020 от 25 декабря 2020 года.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21. «Классификатор отходов» Приказ и.о. Министра экологии, геологии и природных ресурсов Республики Казахстан от 6 августа 2021 года № 314.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22. СНиП РК 2.04-01-2010 «Строительная климатология».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23. «Санитарно-эпидемиологические требования к объектам промышленности». Приложение №5. Приказ министра здравоохранения Республики Казахстан № КР ДСМ – 13 от 11.02.2022 года.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24. «Гигиенические нормативы к физическим факторам, оказывающим воздействие на человека». Приказ Министра здравоохранения Республики Казахстан №ҚР ДСМ-15 от 16.02.2022 года.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 xml:space="preserve">25. «Санитарно-эпидемиологические требования к обеспечению радиационной безопасности». Приказ Министра здравоохранения Республики Казахстан № ҚР ДСМ-275/2020 от 15.12.2020 года. </w:t>
      </w:r>
    </w:p>
    <w:p w:rsidR="006F373C" w:rsidRPr="006F373C" w:rsidRDefault="006F373C" w:rsidP="006F373C">
      <w:pPr>
        <w:autoSpaceDN w:val="0"/>
        <w:spacing w:after="0" w:line="240" w:lineRule="auto"/>
        <w:ind w:firstLine="567"/>
        <w:jc w:val="both"/>
        <w:rPr>
          <w:rFonts w:ascii="Times New Roman" w:eastAsia="Calibri" w:hAnsi="Times New Roman" w:cs="Times New Roman"/>
          <w:sz w:val="20"/>
          <w:szCs w:val="20"/>
        </w:rPr>
      </w:pPr>
      <w:r w:rsidRPr="006F373C">
        <w:rPr>
          <w:rFonts w:ascii="Times New Roman" w:eastAsia="Calibri" w:hAnsi="Times New Roman" w:cs="Times New Roman"/>
          <w:sz w:val="20"/>
          <w:szCs w:val="20"/>
        </w:rPr>
        <w:t>26. Научно-методические указания по мониторингу земель РК (Госкомзем, Алматы, 1993 г.).</w:t>
      </w:r>
    </w:p>
    <w:p w:rsidR="006F373C" w:rsidRPr="006F373C" w:rsidRDefault="006F373C" w:rsidP="006F373C">
      <w:pPr>
        <w:autoSpaceDN w:val="0"/>
        <w:rPr>
          <w:rFonts w:ascii="Times New Roman" w:eastAsia="Calibri" w:hAnsi="Times New Roman" w:cs="Times New Roman"/>
          <w:sz w:val="20"/>
          <w:szCs w:val="20"/>
        </w:rPr>
      </w:pPr>
    </w:p>
    <w:p w:rsidR="006F373C" w:rsidRPr="006F373C" w:rsidRDefault="006F373C" w:rsidP="006F373C">
      <w:pPr>
        <w:widowControl w:val="0"/>
        <w:tabs>
          <w:tab w:val="left" w:pos="1210"/>
          <w:tab w:val="left" w:pos="9498"/>
          <w:tab w:val="left" w:pos="9639"/>
        </w:tabs>
        <w:autoSpaceDE w:val="0"/>
        <w:autoSpaceDN w:val="0"/>
        <w:spacing w:after="0" w:line="240" w:lineRule="auto"/>
        <w:ind w:right="142" w:firstLine="567"/>
        <w:jc w:val="both"/>
        <w:outlineLvl w:val="2"/>
        <w:rPr>
          <w:rFonts w:ascii="Times New Roman" w:eastAsia="Times New Roman" w:hAnsi="Times New Roman" w:cs="Times New Roman"/>
          <w:bCs/>
        </w:rPr>
      </w:pPr>
    </w:p>
    <w:p w:rsidR="006F373C" w:rsidRPr="006F373C" w:rsidRDefault="006F373C" w:rsidP="006F373C">
      <w:pPr>
        <w:widowControl w:val="0"/>
        <w:tabs>
          <w:tab w:val="left" w:pos="1210"/>
          <w:tab w:val="left" w:pos="9498"/>
          <w:tab w:val="left" w:pos="9639"/>
        </w:tabs>
        <w:autoSpaceDE w:val="0"/>
        <w:autoSpaceDN w:val="0"/>
        <w:spacing w:after="0" w:line="240" w:lineRule="auto"/>
        <w:ind w:right="142" w:firstLine="567"/>
        <w:jc w:val="both"/>
        <w:outlineLvl w:val="2"/>
        <w:rPr>
          <w:rFonts w:ascii="Times New Roman" w:eastAsia="Times New Roman" w:hAnsi="Times New Roman" w:cs="Times New Roman"/>
          <w:bCs/>
        </w:rPr>
      </w:pPr>
    </w:p>
    <w:p w:rsidR="006F373C" w:rsidRPr="006F373C" w:rsidRDefault="006F373C" w:rsidP="006F373C">
      <w:pPr>
        <w:widowControl w:val="0"/>
        <w:tabs>
          <w:tab w:val="left" w:pos="1210"/>
          <w:tab w:val="left" w:pos="9498"/>
          <w:tab w:val="left" w:pos="9639"/>
        </w:tabs>
        <w:autoSpaceDE w:val="0"/>
        <w:autoSpaceDN w:val="0"/>
        <w:spacing w:after="0" w:line="240" w:lineRule="auto"/>
        <w:ind w:right="142" w:firstLine="567"/>
        <w:jc w:val="both"/>
        <w:outlineLvl w:val="2"/>
        <w:rPr>
          <w:rFonts w:ascii="Times New Roman" w:eastAsia="Times New Roman" w:hAnsi="Times New Roman" w:cs="Times New Roman"/>
          <w:bCs/>
        </w:rPr>
      </w:pPr>
    </w:p>
    <w:p w:rsidR="006F373C" w:rsidRPr="006F373C" w:rsidRDefault="006F373C" w:rsidP="006F373C">
      <w:pPr>
        <w:widowControl w:val="0"/>
        <w:tabs>
          <w:tab w:val="left" w:pos="1210"/>
          <w:tab w:val="left" w:pos="9498"/>
          <w:tab w:val="left" w:pos="9639"/>
        </w:tabs>
        <w:autoSpaceDE w:val="0"/>
        <w:autoSpaceDN w:val="0"/>
        <w:spacing w:after="0" w:line="240" w:lineRule="auto"/>
        <w:ind w:right="142" w:firstLine="567"/>
        <w:jc w:val="both"/>
        <w:outlineLvl w:val="2"/>
        <w:rPr>
          <w:rFonts w:ascii="Times New Roman" w:eastAsia="Times New Roman" w:hAnsi="Times New Roman" w:cs="Times New Roman"/>
          <w:bCs/>
        </w:rPr>
      </w:pPr>
    </w:p>
    <w:p w:rsidR="00F85C27" w:rsidRDefault="00F85C27">
      <w:bookmarkStart w:id="0" w:name="_GoBack"/>
      <w:bookmarkEnd w:id="0"/>
    </w:p>
    <w:sectPr w:rsidR="00F85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等线">
    <w:altName w:val="MS PMincho"/>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265E0"/>
    <w:multiLevelType w:val="hybridMultilevel"/>
    <w:tmpl w:val="7D9672D0"/>
    <w:lvl w:ilvl="0" w:tplc="04190011">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91"/>
    <w:rsid w:val="006F373C"/>
    <w:rsid w:val="00786A91"/>
    <w:rsid w:val="00F8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7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3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7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3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99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7040</Words>
  <Characters>40134</Characters>
  <Application>Microsoft Office Word</Application>
  <DocSecurity>0</DocSecurity>
  <Lines>334</Lines>
  <Paragraphs>94</Paragraphs>
  <ScaleCrop>false</ScaleCrop>
  <Company>*</Company>
  <LinksUpToDate>false</LinksUpToDate>
  <CharactersWithSpaces>47080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2025-10-06T13:39:00Z</dcterms:created>
  <dcterms:modified xsi:type="dcterms:W3CDTF">2025-10-06T13:40:00Z</dcterms:modified>
</cp:coreProperties>
</file>