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5485" w14:textId="77777777" w:rsidR="00723B74" w:rsidRPr="006970D0" w:rsidRDefault="00723B74" w:rsidP="00723B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723B7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НЕТЕХНИЧЕСКОЕ РЕЗЮМЕ ПРОЕКТА</w:t>
      </w:r>
    </w:p>
    <w:p w14:paraId="61C09316" w14:textId="6FE671AD" w:rsidR="00977657" w:rsidRDefault="00977657" w:rsidP="00977657">
      <w:pPr>
        <w:tabs>
          <w:tab w:val="left" w:pos="709"/>
          <w:tab w:val="left" w:pos="882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РАЗДЕЛ «ОХРАНА ОКРУЖАЮЩЕЙ СРЕДЫ» </w:t>
      </w:r>
      <w:r w:rsidR="00723B74" w:rsidRPr="00723B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16966107" w14:textId="13EB4ADD" w:rsidR="006317FC" w:rsidRDefault="00723B74" w:rsidP="001531BA">
      <w:pPr>
        <w:tabs>
          <w:tab w:val="left" w:pos="709"/>
          <w:tab w:val="left" w:pos="882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23B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К </w:t>
      </w:r>
      <w:r w:rsidR="00E523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ПРОЕКТУ ЛИКВИДАЦИИ ПОСЛЕДСТВИЙ ДЕЯТЕЛЬНОСТИ НЕДРОПОЛЬЗОВАНИЯ ПО КОНТРАКТУ НА ДОБЫЧУ УГЛЕВОДОРОДОВ </w:t>
      </w:r>
      <w:r w:rsidR="00E026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НА МЕСТОРОЖДЕНИЯ</w:t>
      </w:r>
      <w:r w:rsidR="00E523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БОРАНКОЛЬ №5112-УВС МЭ от 06.10.2022г.</w:t>
      </w:r>
    </w:p>
    <w:p w14:paraId="2AD5A0E5" w14:textId="77777777" w:rsidR="00E0262E" w:rsidRDefault="00E0262E" w:rsidP="00C231F0">
      <w:pPr>
        <w:spacing w:before="120"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26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Раздел охраны окружающей среды выполнен к «Проекту ликвидации последствий деятельности недропользования по контракту на добычу </w:t>
      </w:r>
      <w:proofErr w:type="spellStart"/>
      <w:r w:rsidRPr="00E026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углводородов</w:t>
      </w:r>
      <w:proofErr w:type="spellEnd"/>
      <w:r w:rsidRPr="00E026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 месторождений </w:t>
      </w:r>
      <w:proofErr w:type="spellStart"/>
      <w:r w:rsidRPr="00E026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Боранколь</w:t>
      </w:r>
      <w:proofErr w:type="spellEnd"/>
      <w:r w:rsidRPr="00E026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№5112-УВС МЭ от 06.10.2022г»</w:t>
      </w:r>
    </w:p>
    <w:p w14:paraId="47E1F902" w14:textId="549D1FB1" w:rsidR="00DA6F0F" w:rsidRPr="00C231F0" w:rsidRDefault="00DA6F0F" w:rsidP="006970D0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31F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Сведения об инициаторе намечаемой деятельности </w:t>
      </w:r>
    </w:p>
    <w:p w14:paraId="309ECF6C" w14:textId="77777777" w:rsidR="00E0262E" w:rsidRDefault="00E0262E" w:rsidP="00A335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D1D20E7" w14:textId="01840FD2" w:rsidR="00E0262E" w:rsidRDefault="00E0262E" w:rsidP="00C231F0">
      <w:pPr>
        <w:pStyle w:val="af"/>
        <w:ind w:firstLine="0"/>
        <w:rPr>
          <w:rFonts w:eastAsia="Calibri"/>
          <w:szCs w:val="24"/>
          <w:lang w:eastAsia="en-US"/>
        </w:rPr>
      </w:pPr>
      <w:r w:rsidRPr="00E0262E">
        <w:rPr>
          <w:rFonts w:eastAsia="Calibri"/>
          <w:szCs w:val="24"/>
          <w:lang w:eastAsia="en-US"/>
        </w:rPr>
        <w:t>ТОО «</w:t>
      </w:r>
      <w:proofErr w:type="spellStart"/>
      <w:r w:rsidRPr="00E0262E">
        <w:rPr>
          <w:rFonts w:eastAsia="Calibri"/>
          <w:szCs w:val="24"/>
          <w:lang w:eastAsia="en-US"/>
        </w:rPr>
        <w:t>Nobilis</w:t>
      </w:r>
      <w:proofErr w:type="spellEnd"/>
      <w:r w:rsidRPr="00E0262E">
        <w:rPr>
          <w:rFonts w:eastAsia="Calibri"/>
          <w:szCs w:val="24"/>
          <w:lang w:eastAsia="en-US"/>
        </w:rPr>
        <w:t xml:space="preserve"> Corp» (далее «Недропользователь») осуществляет свою деятельность на основании Контракта №5112-УВС-МЭ от 06.10.2022г. на добычу углеводородного сырья на месторождении </w:t>
      </w:r>
      <w:proofErr w:type="spellStart"/>
      <w:r w:rsidRPr="00E0262E">
        <w:rPr>
          <w:rFonts w:eastAsia="Calibri"/>
          <w:szCs w:val="24"/>
          <w:lang w:eastAsia="en-US"/>
        </w:rPr>
        <w:t>Боранколь</w:t>
      </w:r>
      <w:proofErr w:type="spellEnd"/>
      <w:r w:rsidRPr="00E0262E">
        <w:rPr>
          <w:rFonts w:eastAsia="Calibri"/>
          <w:szCs w:val="24"/>
          <w:lang w:eastAsia="en-US"/>
        </w:rPr>
        <w:t xml:space="preserve"> (далее «Контракт»), расположенном на территории Бейнеуского района Мангистауской области Республики Казахстан</w:t>
      </w:r>
      <w:r>
        <w:rPr>
          <w:rFonts w:eastAsia="Calibri"/>
          <w:szCs w:val="24"/>
          <w:lang w:eastAsia="en-US"/>
        </w:rPr>
        <w:t>.</w:t>
      </w:r>
    </w:p>
    <w:p w14:paraId="244474CA" w14:textId="714138CE" w:rsidR="00E0262E" w:rsidRDefault="00723B74" w:rsidP="00C231F0">
      <w:pPr>
        <w:pStyle w:val="af"/>
        <w:ind w:firstLine="0"/>
        <w:rPr>
          <w:rFonts w:eastAsia="Calibri"/>
          <w:szCs w:val="24"/>
        </w:rPr>
      </w:pPr>
      <w:r w:rsidRPr="006317FC">
        <w:rPr>
          <w:rFonts w:eastAsia="Arial Unicode MS"/>
          <w:b/>
          <w:i/>
          <w:iCs/>
          <w:szCs w:val="24"/>
          <w:lang w:eastAsia="ru-RU"/>
        </w:rPr>
        <w:t>Общие сведения о месторождении</w:t>
      </w:r>
      <w:r w:rsidR="00B31AF4" w:rsidRPr="006317FC">
        <w:rPr>
          <w:rFonts w:eastAsia="Arial Unicode MS"/>
          <w:b/>
          <w:i/>
          <w:iCs/>
          <w:szCs w:val="24"/>
          <w:lang w:eastAsia="ru-RU"/>
        </w:rPr>
        <w:t>.</w:t>
      </w:r>
      <w:r w:rsidRPr="006317FC">
        <w:rPr>
          <w:rFonts w:eastAsia="Arial Unicode MS"/>
          <w:b/>
          <w:i/>
          <w:iCs/>
          <w:szCs w:val="24"/>
          <w:lang w:eastAsia="ru-RU"/>
        </w:rPr>
        <w:t xml:space="preserve"> </w:t>
      </w:r>
      <w:r w:rsidR="00E0262E" w:rsidRPr="00E0262E">
        <w:rPr>
          <w:rFonts w:eastAsia="Calibri"/>
          <w:szCs w:val="24"/>
        </w:rPr>
        <w:t xml:space="preserve">В административном отношении месторождение </w:t>
      </w:r>
      <w:proofErr w:type="spellStart"/>
      <w:r w:rsidR="00E0262E" w:rsidRPr="00E0262E">
        <w:rPr>
          <w:rFonts w:eastAsia="Calibri"/>
          <w:szCs w:val="24"/>
        </w:rPr>
        <w:t>Боранколь</w:t>
      </w:r>
      <w:proofErr w:type="spellEnd"/>
      <w:r w:rsidR="00E0262E" w:rsidRPr="00E0262E">
        <w:rPr>
          <w:rFonts w:eastAsia="Calibri"/>
          <w:szCs w:val="24"/>
        </w:rPr>
        <w:t xml:space="preserve"> расположено на территории Бейнеуского района Мангистауской области Республики Казахстан (Рис. 1.1). Ближайшие населенные пункты: железнодорожная станция и поселок Опорный расположены от месторождения </w:t>
      </w:r>
      <w:proofErr w:type="spellStart"/>
      <w:r w:rsidR="00E0262E" w:rsidRPr="00E0262E">
        <w:rPr>
          <w:rFonts w:eastAsia="Calibri"/>
          <w:szCs w:val="24"/>
        </w:rPr>
        <w:t>Боранколь</w:t>
      </w:r>
      <w:proofErr w:type="spellEnd"/>
      <w:r w:rsidR="00E0262E" w:rsidRPr="00E0262E">
        <w:rPr>
          <w:rFonts w:eastAsia="Calibri"/>
          <w:szCs w:val="24"/>
        </w:rPr>
        <w:t xml:space="preserve"> – в 15 км; районный центр Бейнеу – в 120 км. Областной центр – город Актау находится на расстоянии более 500 км к юго-западу от месторождения</w:t>
      </w:r>
      <w:r w:rsidR="00E0262E">
        <w:rPr>
          <w:rFonts w:eastAsia="Calibri"/>
          <w:szCs w:val="24"/>
        </w:rPr>
        <w:t>.</w:t>
      </w:r>
    </w:p>
    <w:p w14:paraId="74FF8569" w14:textId="77777777" w:rsidR="00E0262E" w:rsidRDefault="00E0262E" w:rsidP="00E0262E">
      <w:pPr>
        <w:pStyle w:val="af"/>
        <w:rPr>
          <w:rFonts w:eastAsia="Calibri"/>
          <w:szCs w:val="24"/>
        </w:rPr>
      </w:pPr>
    </w:p>
    <w:p w14:paraId="54FEEAE6" w14:textId="50FDB973" w:rsidR="00E0262E" w:rsidRPr="00C231F0" w:rsidRDefault="0093551D" w:rsidP="00E0262E">
      <w:pPr>
        <w:pStyle w:val="af"/>
        <w:rPr>
          <w:rFonts w:eastAsia="Calibri"/>
          <w:b/>
          <w:bCs/>
          <w:i/>
          <w:iCs/>
          <w:szCs w:val="24"/>
        </w:rPr>
      </w:pPr>
      <w:r w:rsidRPr="00C231F0">
        <w:rPr>
          <w:rFonts w:eastAsia="Calibri"/>
          <w:b/>
          <w:bCs/>
          <w:i/>
          <w:iCs/>
          <w:szCs w:val="24"/>
        </w:rPr>
        <w:t>Сведения об инициаторе намечаемой деятельности, его контактные данные</w:t>
      </w:r>
    </w:p>
    <w:p w14:paraId="58B82D0B" w14:textId="30C04D17" w:rsidR="00114B95" w:rsidRPr="00114B95" w:rsidRDefault="00114B95" w:rsidP="00C231F0">
      <w:pPr>
        <w:shd w:val="clear" w:color="auto" w:fill="FFFFFF"/>
        <w:tabs>
          <w:tab w:val="left" w:pos="709"/>
        </w:tabs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C231F0">
        <w:rPr>
          <w:rFonts w:ascii="Times New Roman" w:hAnsi="Times New Roman" w:cs="Times New Roman"/>
          <w:sz w:val="24"/>
          <w:szCs w:val="24"/>
        </w:rPr>
        <w:t>Т</w:t>
      </w:r>
      <w:r w:rsidR="001858A5" w:rsidRPr="00C231F0">
        <w:rPr>
          <w:rFonts w:ascii="Times New Roman" w:hAnsi="Times New Roman" w:cs="Times New Roman"/>
          <w:sz w:val="24"/>
          <w:szCs w:val="24"/>
        </w:rPr>
        <w:t>ОО «</w:t>
      </w:r>
      <w:proofErr w:type="spellStart"/>
      <w:r w:rsidR="00CA447C" w:rsidRPr="00C231F0">
        <w:rPr>
          <w:rFonts w:ascii="Times New Roman" w:hAnsi="Times New Roman" w:cs="Times New Roman"/>
          <w:sz w:val="24"/>
          <w:szCs w:val="24"/>
        </w:rPr>
        <w:t>Nobilis</w:t>
      </w:r>
      <w:proofErr w:type="spellEnd"/>
      <w:r w:rsidR="00CA447C" w:rsidRPr="00C231F0">
        <w:rPr>
          <w:rFonts w:ascii="Times New Roman" w:hAnsi="Times New Roman" w:cs="Times New Roman"/>
          <w:sz w:val="24"/>
          <w:szCs w:val="24"/>
        </w:rPr>
        <w:t xml:space="preserve"> Corp</w:t>
      </w:r>
      <w:r w:rsidR="001858A5" w:rsidRPr="00C231F0">
        <w:rPr>
          <w:rFonts w:ascii="Times New Roman" w:hAnsi="Times New Roman" w:cs="Times New Roman"/>
          <w:sz w:val="24"/>
          <w:szCs w:val="24"/>
        </w:rPr>
        <w:t xml:space="preserve">», </w:t>
      </w:r>
      <w:r w:rsidRPr="00C231F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РК, </w:t>
      </w:r>
      <w:r w:rsidR="00CA447C" w:rsidRPr="00C231F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г. Актау, 17 Микрорайон, д. 39, БЦ «Зодиак», 3 этаж;</w:t>
      </w:r>
      <w:r w:rsidRPr="00C231F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6317FC" w:rsidRPr="00C231F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БИН </w:t>
      </w:r>
      <w:r w:rsidR="00CA447C" w:rsidRPr="00CA447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220540006616;</w:t>
      </w:r>
      <w:r w:rsidR="006317F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э</w:t>
      </w:r>
      <w:r w:rsidRPr="00114B9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л. почта: </w:t>
      </w:r>
      <w:hyperlink r:id="rId5" w:history="1">
        <w:r w:rsidR="00CA447C" w:rsidRPr="00C34C07">
          <w:rPr>
            <w:rStyle w:val="ad"/>
          </w:rPr>
          <w:t>nobilis@btmg.kz</w:t>
        </w:r>
      </w:hyperlink>
      <w:r w:rsidR="00CA447C">
        <w:t xml:space="preserve"> </w:t>
      </w:r>
      <w:r w:rsidR="006317FC"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CA447C">
        <w:rPr>
          <w:rFonts w:ascii="Calibri" w:eastAsia="Calibri" w:hAnsi="Calibri" w:cs="Times New Roman"/>
          <w:kern w:val="0"/>
          <w14:ligatures w14:val="none"/>
        </w:rPr>
        <w:t xml:space="preserve">Исполнительный </w:t>
      </w:r>
      <w:r w:rsidRPr="00114B9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Директор – </w:t>
      </w:r>
      <w:proofErr w:type="spellStart"/>
      <w:r w:rsidR="00CA447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Асылханов</w:t>
      </w:r>
      <w:proofErr w:type="spellEnd"/>
      <w:r w:rsidR="00CA447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Ж.Б.</w:t>
      </w:r>
    </w:p>
    <w:p w14:paraId="46D0F3A0" w14:textId="77777777" w:rsidR="0093551D" w:rsidRPr="00C231F0" w:rsidRDefault="0093551D" w:rsidP="0093551D">
      <w:pPr>
        <w:tabs>
          <w:tab w:val="left" w:pos="0"/>
        </w:tabs>
        <w:suppressAutoHyphens/>
        <w:autoSpaceDE w:val="0"/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C231F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Краткое описание намечаемой деятельности</w:t>
      </w:r>
    </w:p>
    <w:p w14:paraId="7A6C9CA5" w14:textId="371BF69F" w:rsidR="00CA447C" w:rsidRPr="00CA447C" w:rsidRDefault="00CA447C" w:rsidP="00C231F0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A447C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В настоящем Проекте рассмотрены мероприятия по ликвидации последствий, связанные с проведением операций по недропользованию на месторождении </w:t>
      </w:r>
      <w:proofErr w:type="spellStart"/>
      <w:r w:rsidRPr="00CA447C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Боранколь</w:t>
      </w:r>
      <w:proofErr w:type="spellEnd"/>
      <w:r w:rsidRPr="00CA447C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ТОО </w:t>
      </w:r>
      <w:r w:rsidRPr="00CA447C">
        <w:rPr>
          <w:rFonts w:ascii="Times New Roman" w:eastAsia="SimSun" w:hAnsi="Times New Roman" w:cs="Times New Roman"/>
          <w:kern w:val="0"/>
          <w:sz w:val="24"/>
          <w:lang w:eastAsia="zh-CN"/>
          <w14:ligatures w14:val="none"/>
        </w:rPr>
        <w:t>«</w:t>
      </w:r>
      <w:proofErr w:type="spellStart"/>
      <w:r w:rsidRPr="00CA447C">
        <w:rPr>
          <w:rFonts w:ascii="Times New Roman" w:eastAsia="SimSun" w:hAnsi="Times New Roman" w:cs="Times New Roman"/>
          <w:kern w:val="0"/>
          <w:sz w:val="24"/>
          <w:lang w:eastAsia="zh-CN"/>
          <w14:ligatures w14:val="none"/>
        </w:rPr>
        <w:t>Nobilis</w:t>
      </w:r>
      <w:proofErr w:type="spellEnd"/>
      <w:r w:rsidRPr="00CA447C">
        <w:rPr>
          <w:rFonts w:ascii="Times New Roman" w:eastAsia="SimSun" w:hAnsi="Times New Roman" w:cs="Times New Roman"/>
          <w:kern w:val="0"/>
          <w:sz w:val="24"/>
          <w:lang w:eastAsia="zh-CN"/>
          <w14:ligatures w14:val="none"/>
        </w:rPr>
        <w:t xml:space="preserve"> Corp» по завершении периода рентабельной эксплуатации</w:t>
      </w:r>
      <w:r w:rsidRPr="00CA447C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33C26E9D" w14:textId="77777777" w:rsidR="00CA447C" w:rsidRPr="00C231F0" w:rsidRDefault="00CA447C" w:rsidP="00CA447C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iCs/>
          <w:kern w:val="0"/>
          <w:sz w:val="24"/>
          <w:szCs w:val="24"/>
          <w:u w:val="single"/>
          <w:lang w:eastAsia="zh-CN"/>
          <w14:ligatures w14:val="none"/>
        </w:rPr>
      </w:pPr>
      <w:r w:rsidRPr="00C231F0">
        <w:rPr>
          <w:rFonts w:ascii="Times New Roman" w:eastAsia="SimSun" w:hAnsi="Times New Roman" w:cs="Times New Roman"/>
          <w:i/>
          <w:iCs/>
          <w:kern w:val="0"/>
          <w:sz w:val="24"/>
          <w:szCs w:val="24"/>
          <w:u w:val="single"/>
          <w:lang w:eastAsia="zh-CN"/>
          <w14:ligatures w14:val="none"/>
        </w:rPr>
        <w:t xml:space="preserve">Ликвидации последствий недропользования на месторождении </w:t>
      </w:r>
      <w:proofErr w:type="spellStart"/>
      <w:r w:rsidRPr="00C231F0">
        <w:rPr>
          <w:rFonts w:ascii="Times New Roman" w:eastAsia="SimSun" w:hAnsi="Times New Roman" w:cs="Times New Roman"/>
          <w:i/>
          <w:iCs/>
          <w:kern w:val="0"/>
          <w:sz w:val="24"/>
          <w:szCs w:val="24"/>
          <w:u w:val="single"/>
          <w:lang w:eastAsia="zh-CN"/>
          <w14:ligatures w14:val="none"/>
        </w:rPr>
        <w:t>Боранколь</w:t>
      </w:r>
      <w:proofErr w:type="spellEnd"/>
      <w:r w:rsidRPr="00C231F0">
        <w:rPr>
          <w:rFonts w:ascii="Times New Roman" w:eastAsia="SimSun" w:hAnsi="Times New Roman" w:cs="Times New Roman"/>
          <w:i/>
          <w:iCs/>
          <w:kern w:val="0"/>
          <w:sz w:val="24"/>
          <w:szCs w:val="24"/>
          <w:u w:val="single"/>
          <w:lang w:eastAsia="zh-CN"/>
          <w14:ligatures w14:val="none"/>
        </w:rPr>
        <w:t xml:space="preserve"> будут производиться по следующим направлениям:</w:t>
      </w:r>
    </w:p>
    <w:p w14:paraId="54CF7741" w14:textId="77777777" w:rsidR="00C231F0" w:rsidRDefault="00CA447C" w:rsidP="00C231F0">
      <w:pPr>
        <w:pStyle w:val="a7"/>
        <w:numPr>
          <w:ilvl w:val="0"/>
          <w:numId w:val="22"/>
        </w:numPr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231F0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физическая ликвидация скважин с установкой цементных мостов;</w:t>
      </w:r>
    </w:p>
    <w:p w14:paraId="0FC78E1C" w14:textId="77777777" w:rsidR="00C231F0" w:rsidRDefault="00CA447C" w:rsidP="00C231F0">
      <w:pPr>
        <w:pStyle w:val="a7"/>
        <w:numPr>
          <w:ilvl w:val="0"/>
          <w:numId w:val="22"/>
        </w:numPr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231F0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демонтаж наземного и подземного оборудования скважин и коммуникаций с вывозом за пределы месторождения;</w:t>
      </w:r>
    </w:p>
    <w:p w14:paraId="37A0388D" w14:textId="77777777" w:rsidR="00C231F0" w:rsidRDefault="00CA447C" w:rsidP="00C231F0">
      <w:pPr>
        <w:pStyle w:val="a7"/>
        <w:numPr>
          <w:ilvl w:val="0"/>
          <w:numId w:val="22"/>
        </w:numPr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231F0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демонтаж нефтесборных и других сооружений, расположенных на территории месторождения;</w:t>
      </w:r>
    </w:p>
    <w:p w14:paraId="5541A69A" w14:textId="0D0FF114" w:rsidR="00CA447C" w:rsidRPr="00C231F0" w:rsidRDefault="00CA447C" w:rsidP="00C231F0">
      <w:pPr>
        <w:pStyle w:val="a7"/>
        <w:numPr>
          <w:ilvl w:val="0"/>
          <w:numId w:val="22"/>
        </w:numPr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231F0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рекультивацию техническую и биологическую.</w:t>
      </w:r>
    </w:p>
    <w:p w14:paraId="52A139AF" w14:textId="77777777" w:rsidR="00CA447C" w:rsidRPr="00C231F0" w:rsidRDefault="00CA447C" w:rsidP="00CA447C">
      <w:pPr>
        <w:tabs>
          <w:tab w:val="left" w:pos="982"/>
        </w:tabs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i/>
          <w:iCs/>
          <w:kern w:val="0"/>
          <w:sz w:val="24"/>
          <w:szCs w:val="24"/>
          <w:u w:val="single"/>
          <w:lang w:eastAsia="zh-CN"/>
          <w14:ligatures w14:val="none"/>
        </w:rPr>
      </w:pPr>
      <w:r w:rsidRPr="00C231F0">
        <w:rPr>
          <w:rFonts w:ascii="Times New Roman" w:eastAsia="SimSun" w:hAnsi="Times New Roman" w:cs="Times New Roman"/>
          <w:i/>
          <w:iCs/>
          <w:kern w:val="0"/>
          <w:sz w:val="24"/>
          <w:szCs w:val="24"/>
          <w:u w:val="single"/>
          <w:lang w:eastAsia="zh-CN"/>
          <w14:ligatures w14:val="none"/>
        </w:rPr>
        <w:t>На конец рентабельного периода ликвидации подлежат 45 скважин, из них:</w:t>
      </w:r>
    </w:p>
    <w:p w14:paraId="581B5EEC" w14:textId="77777777" w:rsidR="00C231F0" w:rsidRDefault="00CA447C" w:rsidP="00C231F0">
      <w:pPr>
        <w:pStyle w:val="a7"/>
        <w:numPr>
          <w:ilvl w:val="0"/>
          <w:numId w:val="21"/>
        </w:numPr>
        <w:tabs>
          <w:tab w:val="left" w:pos="982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231F0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18 добывающих нефтяных;</w:t>
      </w:r>
    </w:p>
    <w:p w14:paraId="6601FD39" w14:textId="77777777" w:rsidR="00C231F0" w:rsidRDefault="00CA447C" w:rsidP="00C231F0">
      <w:pPr>
        <w:pStyle w:val="a7"/>
        <w:numPr>
          <w:ilvl w:val="0"/>
          <w:numId w:val="21"/>
        </w:numPr>
        <w:tabs>
          <w:tab w:val="left" w:pos="982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231F0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5 нагнетательных, </w:t>
      </w:r>
    </w:p>
    <w:p w14:paraId="7BFA6060" w14:textId="77777777" w:rsidR="00C231F0" w:rsidRDefault="00CA447C" w:rsidP="00C231F0">
      <w:pPr>
        <w:pStyle w:val="a7"/>
        <w:numPr>
          <w:ilvl w:val="0"/>
          <w:numId w:val="21"/>
        </w:numPr>
        <w:tabs>
          <w:tab w:val="left" w:pos="982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231F0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13 газодобывающих; </w:t>
      </w:r>
    </w:p>
    <w:p w14:paraId="29C2644E" w14:textId="77777777" w:rsidR="00C231F0" w:rsidRDefault="00CA447C" w:rsidP="00C231F0">
      <w:pPr>
        <w:pStyle w:val="a7"/>
        <w:numPr>
          <w:ilvl w:val="0"/>
          <w:numId w:val="21"/>
        </w:numPr>
        <w:tabs>
          <w:tab w:val="left" w:pos="982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231F0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5 специальных поглощающих; </w:t>
      </w:r>
    </w:p>
    <w:p w14:paraId="069F7DFD" w14:textId="77777777" w:rsidR="00C231F0" w:rsidRDefault="00CA447C" w:rsidP="00C231F0">
      <w:pPr>
        <w:pStyle w:val="a7"/>
        <w:numPr>
          <w:ilvl w:val="0"/>
          <w:numId w:val="21"/>
        </w:numPr>
        <w:tabs>
          <w:tab w:val="left" w:pos="982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231F0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3 водозаборных; </w:t>
      </w:r>
    </w:p>
    <w:p w14:paraId="034D2AB4" w14:textId="52E71863" w:rsidR="00CA447C" w:rsidRPr="00C231F0" w:rsidRDefault="00CA447C" w:rsidP="00C231F0">
      <w:pPr>
        <w:pStyle w:val="a7"/>
        <w:numPr>
          <w:ilvl w:val="0"/>
          <w:numId w:val="21"/>
        </w:numPr>
        <w:tabs>
          <w:tab w:val="left" w:pos="982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231F0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1 в консервации. </w:t>
      </w:r>
    </w:p>
    <w:p w14:paraId="426BF1CA" w14:textId="77777777" w:rsidR="00CA447C" w:rsidRDefault="00CA447C" w:rsidP="00C231F0">
      <w:pPr>
        <w:tabs>
          <w:tab w:val="left" w:pos="982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FF"/>
          <w:kern w:val="0"/>
          <w:sz w:val="24"/>
          <w:szCs w:val="24"/>
          <w:lang w:eastAsia="zh-CN"/>
          <w14:ligatures w14:val="none"/>
        </w:rPr>
      </w:pPr>
      <w:r w:rsidRPr="00CA447C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В работе проведена ориентировочная оценка необходимых материально-технических, трудовых затрат на ликвидацию скважин и других производственно-хозяйственных объектов и сооружений, а также на рекультивацию промышленно использованных земель</w:t>
      </w:r>
      <w:r w:rsidRPr="00CA447C">
        <w:rPr>
          <w:rFonts w:ascii="Times New Roman" w:eastAsia="SimSun" w:hAnsi="Times New Roman" w:cs="Times New Roman"/>
          <w:color w:val="0000FF"/>
          <w:kern w:val="0"/>
          <w:sz w:val="24"/>
          <w:szCs w:val="24"/>
          <w:lang w:eastAsia="zh-CN"/>
          <w14:ligatures w14:val="none"/>
        </w:rPr>
        <w:t xml:space="preserve">. </w:t>
      </w:r>
    </w:p>
    <w:p w14:paraId="4F663C5E" w14:textId="77777777" w:rsidR="0093551D" w:rsidRDefault="0093551D" w:rsidP="00CA447C">
      <w:pPr>
        <w:tabs>
          <w:tab w:val="left" w:pos="982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FF"/>
          <w:kern w:val="0"/>
          <w:sz w:val="24"/>
          <w:szCs w:val="24"/>
          <w:lang w:eastAsia="zh-CN"/>
          <w14:ligatures w14:val="none"/>
        </w:rPr>
      </w:pPr>
    </w:p>
    <w:p w14:paraId="086E5171" w14:textId="77777777" w:rsidR="0093551D" w:rsidRDefault="0093551D" w:rsidP="00CA447C">
      <w:pPr>
        <w:tabs>
          <w:tab w:val="left" w:pos="982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FF"/>
          <w:kern w:val="0"/>
          <w:sz w:val="24"/>
          <w:szCs w:val="24"/>
          <w:lang w:eastAsia="zh-CN"/>
          <w14:ligatures w14:val="none"/>
        </w:rPr>
      </w:pPr>
    </w:p>
    <w:p w14:paraId="5886F4CB" w14:textId="38ED0937" w:rsidR="0093551D" w:rsidRPr="00C231F0" w:rsidRDefault="0093551D" w:rsidP="00C231F0">
      <w:pPr>
        <w:tabs>
          <w:tab w:val="left" w:pos="982"/>
        </w:tabs>
        <w:suppressAutoHyphens/>
        <w:spacing w:after="12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  <w:r w:rsidRPr="00C231F0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lastRenderedPageBreak/>
        <w:t>Информация о предельных количественных и качественных показателях эмиссий, физических воздействий на окружающую среду, предельном количестве накопления отходов, а также их захоронения, если оно планируется в рамках намечаемой деятельности.</w:t>
      </w:r>
    </w:p>
    <w:p w14:paraId="768F7E19" w14:textId="393C7664" w:rsidR="0093551D" w:rsidRPr="0093551D" w:rsidRDefault="0093551D" w:rsidP="00C231F0">
      <w:pPr>
        <w:tabs>
          <w:tab w:val="left" w:pos="982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3551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Источниками выделения загрязняющих веществ при проведении работ по ликвидации последствий недропользования будут являться: планировочные работы, ДЭС, буровой агрегат, сварочные работы, автотранспортная техника.</w:t>
      </w:r>
    </w:p>
    <w:p w14:paraId="45040BCC" w14:textId="7D062E22" w:rsidR="0093551D" w:rsidRDefault="0093551D" w:rsidP="00C231F0">
      <w:pPr>
        <w:tabs>
          <w:tab w:val="left" w:pos="982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3551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Количество источников выбросов вредных веществ при ликвидации последствий недропользования, составит всего 12 ед., организованных – 4 ед., неорганизованных – 8 ед.</w:t>
      </w:r>
    </w:p>
    <w:p w14:paraId="4340858C" w14:textId="77777777" w:rsidR="0093551D" w:rsidRPr="0093551D" w:rsidRDefault="0093551D" w:rsidP="00C231F0">
      <w:pPr>
        <w:tabs>
          <w:tab w:val="left" w:pos="982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3551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Суммарные выбросы от стационарных источников при строительстве скважин от 1 скважины составляет – 33,846877 г/с, 77,958609 т/г.</w:t>
      </w:r>
    </w:p>
    <w:p w14:paraId="7F6CE5CF" w14:textId="1B2826E9" w:rsidR="0093551D" w:rsidRDefault="0093551D" w:rsidP="00C231F0">
      <w:pPr>
        <w:tabs>
          <w:tab w:val="left" w:pos="982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3551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Суммарные выбросы от стационарных источников при ликвидации одной скважины месторождения </w:t>
      </w:r>
      <w:proofErr w:type="spellStart"/>
      <w:r w:rsidRPr="0093551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Боранколь</w:t>
      </w:r>
      <w:proofErr w:type="spellEnd"/>
      <w:r w:rsidRPr="0093551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составляют – 4,566494 г/с, 1,631193605 т/г; соответственно при ликвидации 45 скважин – 205,49223 г/с, 73,4037122 тонн/год.</w:t>
      </w:r>
    </w:p>
    <w:p w14:paraId="50F58D51" w14:textId="0E9E3FA3" w:rsidR="0093551D" w:rsidRPr="00C231F0" w:rsidRDefault="0093551D" w:rsidP="00C231F0">
      <w:pPr>
        <w:tabs>
          <w:tab w:val="left" w:pos="982"/>
        </w:tabs>
        <w:suppressAutoHyphens/>
        <w:spacing w:before="120"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  <w:r w:rsidRPr="00C231F0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Информация об ожидаемых видах, характеристиках и количестве отходов, которые будут образованы в ходе строительства и эксплуатации объектов в рамках намечаемой деятельности.</w:t>
      </w:r>
    </w:p>
    <w:p w14:paraId="15BCF2E1" w14:textId="77777777" w:rsidR="0093551D" w:rsidRPr="0093551D" w:rsidRDefault="0093551D" w:rsidP="0093551D">
      <w:pPr>
        <w:tabs>
          <w:tab w:val="left" w:pos="982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3551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Виды отходов определяются на основании Классификатора отходов (Приказ и.о. Министра экологии, геологии и природных ресурсов Республики Казахстан от 6 августа 2021 года № 314).</w:t>
      </w:r>
    </w:p>
    <w:p w14:paraId="0CBE55BE" w14:textId="77777777" w:rsidR="0093551D" w:rsidRPr="0093551D" w:rsidRDefault="0093551D" w:rsidP="0093551D">
      <w:pPr>
        <w:tabs>
          <w:tab w:val="left" w:pos="982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3551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Виды отходов относятся к опасным или неопасным в соответствии с классификатором отходов.</w:t>
      </w:r>
    </w:p>
    <w:p w14:paraId="0724F54C" w14:textId="599203D5" w:rsidR="0093551D" w:rsidRPr="0020743D" w:rsidRDefault="0093551D" w:rsidP="0020743D">
      <w:pPr>
        <w:tabs>
          <w:tab w:val="left" w:pos="982"/>
        </w:tabs>
        <w:suppressAutoHyphens/>
        <w:spacing w:before="120" w:after="12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  <w:r w:rsidRPr="0020743D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 xml:space="preserve">Объем образования отходов на </w:t>
      </w:r>
      <w:r w:rsidR="0020743D" w:rsidRPr="0020743D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период ликвидации</w:t>
      </w:r>
      <w:r w:rsidR="0020743D" w:rsidRPr="0020743D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 xml:space="preserve"> от 45</w:t>
      </w:r>
      <w:r w:rsidR="0020743D" w:rsidRPr="0020743D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 xml:space="preserve"> скважин </w:t>
      </w:r>
      <w:r w:rsidRPr="0020743D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составля</w:t>
      </w:r>
      <w:r w:rsidR="0020743D" w:rsidRPr="0020743D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ю</w:t>
      </w:r>
      <w:r w:rsidRPr="0020743D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 xml:space="preserve">т: </w:t>
      </w:r>
      <w:r w:rsidR="0020743D" w:rsidRPr="0020743D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1441,3185</w:t>
      </w:r>
      <w:r w:rsidRPr="0020743D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 xml:space="preserve"> т/г.</w:t>
      </w:r>
    </w:p>
    <w:p w14:paraId="2FE30F18" w14:textId="63D8CBB6" w:rsidR="0093551D" w:rsidRPr="0093551D" w:rsidRDefault="0093551D" w:rsidP="0020743D">
      <w:pPr>
        <w:tabs>
          <w:tab w:val="left" w:pos="982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3551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Опасные отходы –</w:t>
      </w:r>
      <w:r w:rsidR="0020743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20743D" w:rsidRPr="0093551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промасленная </w:t>
      </w:r>
      <w:r w:rsidR="00C231F0" w:rsidRPr="0093551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ветошь –</w:t>
      </w:r>
      <w:r w:rsidR="0020743D" w:rsidRPr="0093551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20743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1,143</w:t>
      </w:r>
      <w:r w:rsidR="0020743D" w:rsidRPr="0093551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т/г,</w:t>
      </w:r>
      <w:r w:rsidR="0020743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93551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использованная тара – </w:t>
      </w:r>
      <w:r w:rsidR="0020743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40,5</w:t>
      </w:r>
      <w:r w:rsidRPr="0093551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т/г</w:t>
      </w:r>
      <w:r w:rsidR="0020743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, г</w:t>
      </w:r>
      <w:r w:rsidR="0020743D" w:rsidRPr="0020743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рунт и камни, содержащие опасные вещества</w:t>
      </w:r>
      <w:r w:rsidR="0020743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– 1350 т/г.</w:t>
      </w:r>
    </w:p>
    <w:p w14:paraId="5CDA8388" w14:textId="01A4736E" w:rsidR="0093551D" w:rsidRPr="0093551D" w:rsidRDefault="0093551D" w:rsidP="0093551D">
      <w:pPr>
        <w:tabs>
          <w:tab w:val="left" w:pos="982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3551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Не опасные отходы – </w:t>
      </w:r>
      <w:r w:rsidR="00C231F0" w:rsidRPr="0093551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металлолом –</w:t>
      </w:r>
      <w:r w:rsidRPr="0093551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20743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45</w:t>
      </w:r>
      <w:r w:rsidRPr="0093551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т/г, огарки сварочных </w:t>
      </w:r>
      <w:r w:rsidR="00C231F0" w:rsidRPr="0093551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электродов –</w:t>
      </w:r>
      <w:r w:rsidRPr="0093551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20743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0,0405</w:t>
      </w:r>
      <w:r w:rsidRPr="0093551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т/г, коммунальные отходы – (200301) – </w:t>
      </w:r>
      <w:r w:rsidR="0020743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4,635 </w:t>
      </w:r>
      <w:r w:rsidRPr="0093551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т/г.</w:t>
      </w:r>
    </w:p>
    <w:p w14:paraId="4B45E20A" w14:textId="3A8E850D" w:rsidR="0093551D" w:rsidRDefault="0020743D" w:rsidP="0020743D">
      <w:pPr>
        <w:tabs>
          <w:tab w:val="left" w:pos="982"/>
        </w:tabs>
        <w:suppressAutoHyphens/>
        <w:spacing w:before="120" w:after="12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  <w:r w:rsidRPr="0020743D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Объем образования отходов при ликвидации наземных сооружений</w:t>
      </w:r>
      <w:r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 xml:space="preserve"> </w:t>
      </w:r>
      <w:r w:rsidRPr="0020743D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 xml:space="preserve">составляют: </w:t>
      </w:r>
      <w:r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30669,952</w:t>
      </w:r>
      <w:r w:rsidRPr="0020743D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 xml:space="preserve"> т/г.</w:t>
      </w:r>
    </w:p>
    <w:p w14:paraId="52F38ED9" w14:textId="1623D903" w:rsidR="0020743D" w:rsidRPr="0020743D" w:rsidRDefault="0020743D" w:rsidP="0020743D">
      <w:pPr>
        <w:tabs>
          <w:tab w:val="left" w:pos="982"/>
        </w:tabs>
        <w:suppressAutoHyphens/>
        <w:spacing w:before="120" w:after="12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0743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Опасные отходы –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20743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отработанная </w:t>
      </w:r>
      <w:r w:rsidR="00C231F0" w:rsidRPr="0020743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масла –</w:t>
      </w:r>
      <w:r w:rsidRPr="0020743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7,44</w:t>
      </w:r>
      <w:r w:rsidRPr="0020743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т/г, промасленная ветошь – 0,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635</w:t>
      </w:r>
      <w:r w:rsidRPr="0020743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т/г, использованная тара – 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1,875</w:t>
      </w:r>
      <w:r w:rsidRPr="0020743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т/г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, г</w:t>
      </w:r>
      <w:r w:rsidRPr="0020743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рунт и камни, содержащие опасные вещества – 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10000</w:t>
      </w:r>
      <w:r w:rsidRPr="0020743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т/г.</w:t>
      </w:r>
    </w:p>
    <w:p w14:paraId="4044ABB0" w14:textId="007E59BF" w:rsidR="0020743D" w:rsidRDefault="0020743D" w:rsidP="0020743D">
      <w:pPr>
        <w:tabs>
          <w:tab w:val="left" w:pos="982"/>
        </w:tabs>
        <w:suppressAutoHyphens/>
        <w:spacing w:before="120" w:after="12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0743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Не опасные отходы – металлолом – (17 04 07) – 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3005</w:t>
      </w:r>
      <w:r w:rsidRPr="0020743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т/г, огарки сварочных электродов – (120113) –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0,012</w:t>
      </w:r>
      <w:r w:rsidRPr="0020743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т/г, </w:t>
      </w:r>
      <w:r w:rsidR="00C231F0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строительные отходы – 17639 т/г, пищевые отходы – 2,74 т/г, </w:t>
      </w:r>
      <w:r w:rsidRPr="0020743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коммунальные отходы  – </w:t>
      </w:r>
      <w:r w:rsidR="00C231F0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13,25</w:t>
      </w:r>
      <w:r w:rsidRPr="0020743D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т/г.</w:t>
      </w:r>
    </w:p>
    <w:p w14:paraId="7045D8FD" w14:textId="4F24C76C" w:rsidR="00C231F0" w:rsidRPr="00C231F0" w:rsidRDefault="00C231F0" w:rsidP="00C231F0">
      <w:pPr>
        <w:tabs>
          <w:tab w:val="left" w:pos="982"/>
        </w:tabs>
        <w:suppressAutoHyphens/>
        <w:spacing w:before="120" w:after="12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  <w:r w:rsidRPr="00C231F0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Водопотребление и водоотведение</w:t>
      </w:r>
    </w:p>
    <w:p w14:paraId="1C388A09" w14:textId="510351E6" w:rsidR="00F42C1A" w:rsidRPr="00C231F0" w:rsidRDefault="00F42C1A" w:rsidP="00C231F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C231F0">
        <w:rPr>
          <w:rFonts w:ascii="Times New Roman" w:hAnsi="Times New Roman" w:cs="Times New Roman"/>
          <w:bCs/>
          <w:sz w:val="24"/>
          <w:szCs w:val="24"/>
        </w:rPr>
        <w:t>Для объектов ТОО «</w:t>
      </w:r>
      <w:proofErr w:type="spellStart"/>
      <w:r w:rsidRPr="00C231F0">
        <w:rPr>
          <w:rFonts w:ascii="Times New Roman" w:hAnsi="Times New Roman" w:cs="Times New Roman"/>
          <w:bCs/>
          <w:sz w:val="24"/>
          <w:szCs w:val="24"/>
        </w:rPr>
        <w:t>Nobilis</w:t>
      </w:r>
      <w:proofErr w:type="spellEnd"/>
      <w:r w:rsidRPr="00C231F0">
        <w:rPr>
          <w:rFonts w:ascii="Times New Roman" w:hAnsi="Times New Roman" w:cs="Times New Roman"/>
          <w:bCs/>
          <w:sz w:val="24"/>
          <w:szCs w:val="24"/>
        </w:rPr>
        <w:t xml:space="preserve"> Corp» на месторождении </w:t>
      </w:r>
      <w:proofErr w:type="spellStart"/>
      <w:r w:rsidRPr="00C231F0">
        <w:rPr>
          <w:rFonts w:ascii="Times New Roman" w:hAnsi="Times New Roman" w:cs="Times New Roman"/>
          <w:bCs/>
          <w:sz w:val="24"/>
          <w:szCs w:val="24"/>
        </w:rPr>
        <w:t>Боранколь</w:t>
      </w:r>
      <w:proofErr w:type="spellEnd"/>
      <w:r w:rsidRPr="00C231F0">
        <w:rPr>
          <w:rFonts w:ascii="Times New Roman" w:hAnsi="Times New Roman" w:cs="Times New Roman"/>
          <w:bCs/>
          <w:sz w:val="24"/>
          <w:szCs w:val="24"/>
        </w:rPr>
        <w:t xml:space="preserve"> источниками водоснабжения являются: </w:t>
      </w:r>
    </w:p>
    <w:p w14:paraId="40143484" w14:textId="77777777" w:rsidR="00F42C1A" w:rsidRPr="00C231F0" w:rsidRDefault="00F42C1A" w:rsidP="00C231F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C231F0">
        <w:rPr>
          <w:rFonts w:ascii="Times New Roman" w:hAnsi="Times New Roman" w:cs="Times New Roman"/>
          <w:bCs/>
          <w:sz w:val="24"/>
          <w:szCs w:val="24"/>
        </w:rPr>
        <w:t>- Волжская вода, поступающая по магистральному трубопроводу «Астрахань- Мангышлак» по договору с АО «КазТрансОйл». Для обеспечения части хозяйственно-бытовых и питьевых нужд на предприятии используется привозная вода.</w:t>
      </w:r>
    </w:p>
    <w:p w14:paraId="622F7D19" w14:textId="77777777" w:rsidR="00F42C1A" w:rsidRPr="00C231F0" w:rsidRDefault="00F42C1A" w:rsidP="00C231F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C231F0">
        <w:rPr>
          <w:rFonts w:ascii="Times New Roman" w:hAnsi="Times New Roman" w:cs="Times New Roman"/>
          <w:bCs/>
          <w:sz w:val="24"/>
          <w:szCs w:val="24"/>
        </w:rPr>
        <w:t>Поставка питьевой бутилированной воды на месторождение осуществляется на договорной основе.</w:t>
      </w:r>
    </w:p>
    <w:p w14:paraId="52DF1D6B" w14:textId="77777777" w:rsidR="00F42C1A" w:rsidRPr="00C231F0" w:rsidRDefault="00F42C1A" w:rsidP="00C231F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C231F0">
        <w:rPr>
          <w:rFonts w:ascii="Times New Roman" w:hAnsi="Times New Roman" w:cs="Times New Roman"/>
          <w:bCs/>
          <w:sz w:val="24"/>
          <w:szCs w:val="24"/>
        </w:rPr>
        <w:t>На этапе проектируемых работ должны быть заключены договора с соответствующими организациями на доставку технической и питьевой воды.</w:t>
      </w:r>
    </w:p>
    <w:p w14:paraId="54787CF1" w14:textId="77777777" w:rsidR="00F42C1A" w:rsidRPr="00C231F0" w:rsidRDefault="00F42C1A" w:rsidP="00C231F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C231F0">
        <w:rPr>
          <w:rFonts w:ascii="Times New Roman" w:hAnsi="Times New Roman" w:cs="Times New Roman"/>
          <w:bCs/>
          <w:sz w:val="24"/>
          <w:szCs w:val="24"/>
        </w:rPr>
        <w:t>Вода будет использоваться на хозяйственно–бытовые, питьевые и производственно-технологические нужды. На хозяйственно-бытовые и питьевые нужды работающего персонала при проведении работ будет использоваться вода питьевого качества.</w:t>
      </w:r>
    </w:p>
    <w:p w14:paraId="2D5E190C" w14:textId="77777777" w:rsidR="00F42C1A" w:rsidRPr="00C231F0" w:rsidRDefault="00F42C1A" w:rsidP="00C231F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C231F0">
        <w:rPr>
          <w:rFonts w:ascii="Times New Roman" w:hAnsi="Times New Roman" w:cs="Times New Roman"/>
          <w:bCs/>
          <w:sz w:val="24"/>
          <w:szCs w:val="24"/>
        </w:rPr>
        <w:lastRenderedPageBreak/>
        <w:t>На технологические нужды будет использоваться техническая вода. Вода питьевого качества будет использоваться на питье, приготовление пищи, прачечных, душевых, туалетах. Для производственной и хозяйственно-бытовой деятельности предприятия используется питьевая и техническая вода.</w:t>
      </w:r>
    </w:p>
    <w:p w14:paraId="45B42889" w14:textId="0DF39FA1" w:rsidR="006317FC" w:rsidRPr="00C231F0" w:rsidRDefault="00F42C1A" w:rsidP="00C231F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C231F0">
        <w:rPr>
          <w:rFonts w:ascii="Times New Roman" w:hAnsi="Times New Roman" w:cs="Times New Roman"/>
          <w:bCs/>
          <w:sz w:val="24"/>
          <w:szCs w:val="24"/>
        </w:rPr>
        <w:t>Поверхностного и подземного водозабора нет. Специальное водопользование не планируется.</w:t>
      </w:r>
    </w:p>
    <w:p w14:paraId="57B05C0D" w14:textId="6C12B7BB" w:rsidR="00114B95" w:rsidRPr="00C231F0" w:rsidRDefault="00114B95" w:rsidP="006317FC">
      <w:pPr>
        <w:pStyle w:val="11"/>
        <w:spacing w:after="0"/>
        <w:ind w:firstLine="709"/>
        <w:outlineLvl w:val="9"/>
        <w:rPr>
          <w:rFonts w:eastAsia="Times New Roman"/>
          <w:b w:val="0"/>
          <w:i/>
          <w:iCs/>
          <w:szCs w:val="24"/>
          <w:u w:val="single"/>
        </w:rPr>
      </w:pPr>
      <w:r w:rsidRPr="00C231F0">
        <w:rPr>
          <w:rFonts w:eastAsia="Times New Roman"/>
          <w:i/>
          <w:iCs/>
          <w:szCs w:val="24"/>
          <w:u w:val="single"/>
        </w:rPr>
        <w:t>Объем водоотведение и водопотребление потребления воды</w:t>
      </w:r>
    </w:p>
    <w:p w14:paraId="23C83FFB" w14:textId="3ED485B6" w:rsidR="00114B95" w:rsidRPr="00C231F0" w:rsidRDefault="00114B95" w:rsidP="00114B95">
      <w:pPr>
        <w:shd w:val="clear" w:color="auto" w:fill="FFFFFF"/>
        <w:tabs>
          <w:tab w:val="left" w:pos="709"/>
        </w:tabs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C231F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Баланс водоотведения и водопотребления </w:t>
      </w:r>
      <w:r w:rsidR="00F42C1A" w:rsidRPr="00C231F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при ликвидации скважин </w:t>
      </w:r>
      <w:r w:rsidRPr="00C231F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составляет</w:t>
      </w:r>
      <w:r w:rsidRPr="00C231F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:</w:t>
      </w:r>
    </w:p>
    <w:p w14:paraId="470C5512" w14:textId="41720774" w:rsidR="006317FC" w:rsidRPr="006317FC" w:rsidRDefault="006317FC" w:rsidP="006317FC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52689629"/>
      <w:r w:rsidRPr="006317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Водопотребление от 1 </w:t>
      </w:r>
      <w:proofErr w:type="spellStart"/>
      <w:r w:rsidRPr="006317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скв</w:t>
      </w:r>
      <w:proofErr w:type="spellEnd"/>
      <w:r w:rsidRPr="006317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r w:rsidR="0093551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736,47</w:t>
      </w:r>
      <w:r w:rsidRPr="006317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м3/цикл, от 4</w:t>
      </w:r>
      <w:r w:rsidR="00F42C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6317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317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скв</w:t>
      </w:r>
      <w:proofErr w:type="spellEnd"/>
      <w:r w:rsidRPr="006317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r w:rsidR="0093551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33141,15</w:t>
      </w:r>
      <w:r w:rsidRPr="006317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м3/цикл; </w:t>
      </w:r>
    </w:p>
    <w:bookmarkEnd w:id="0"/>
    <w:p w14:paraId="3F287D43" w14:textId="5553E1A4" w:rsidR="006317FC" w:rsidRDefault="006317FC" w:rsidP="006317FC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317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Водоотведение от 1 </w:t>
      </w:r>
      <w:proofErr w:type="spellStart"/>
      <w:r w:rsidRPr="006317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скв</w:t>
      </w:r>
      <w:proofErr w:type="spellEnd"/>
      <w:r w:rsidRPr="006317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r w:rsidR="0093551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589,176</w:t>
      </w:r>
      <w:r w:rsidRPr="006317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м3/цикл, от 4</w:t>
      </w:r>
      <w:r w:rsidR="0093551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6317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317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скв</w:t>
      </w:r>
      <w:proofErr w:type="spellEnd"/>
      <w:r w:rsidRPr="006317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r w:rsidR="0093551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26512,92</w:t>
      </w:r>
      <w:r w:rsidRPr="006317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м3/цикл.</w:t>
      </w:r>
    </w:p>
    <w:p w14:paraId="2ACF67CD" w14:textId="560B8DE3" w:rsidR="0093551D" w:rsidRPr="00C231F0" w:rsidRDefault="0093551D" w:rsidP="0093551D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C231F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Баланс водоотведения и водопотребления при ликвидации наземных сооружений и рекультивации земель составляет:</w:t>
      </w:r>
    </w:p>
    <w:p w14:paraId="24C3F9BD" w14:textId="5D730D6E" w:rsidR="001531BA" w:rsidRDefault="0093551D" w:rsidP="0093551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3551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Водопотребление –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3175,2</w:t>
      </w:r>
      <w:r w:rsidRPr="0093551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м3/цикл, Водоотведение –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2540,16</w:t>
      </w:r>
      <w:r w:rsidRPr="0093551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м3/цикл</w:t>
      </w:r>
      <w:r w:rsidR="00C231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5320377B" w14:textId="0164F828" w:rsidR="00C231F0" w:rsidRPr="00C231F0" w:rsidRDefault="00C231F0" w:rsidP="00C231F0">
      <w:pPr>
        <w:shd w:val="clear" w:color="auto" w:fill="FFFFFF"/>
        <w:tabs>
          <w:tab w:val="left" w:pos="709"/>
        </w:tabs>
        <w:spacing w:before="120"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C231F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Информации о вероятности возникновения аварий и опасных природных явлений; о возможных существенных вредных воздействиях на окружающую среду о мерах по предотвращению аварий и опасных природных явлений и ликвидации их последствий, включая оповещение населения</w:t>
      </w:r>
      <w:r w:rsidRPr="00C231F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.</w:t>
      </w:r>
    </w:p>
    <w:p w14:paraId="4C5ABC5E" w14:textId="77777777" w:rsidR="00C231F0" w:rsidRPr="002C1B3C" w:rsidRDefault="00C231F0" w:rsidP="00C23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B3C">
        <w:rPr>
          <w:rFonts w:ascii="Times New Roman" w:hAnsi="Times New Roman" w:cs="Times New Roman"/>
          <w:sz w:val="24"/>
          <w:szCs w:val="24"/>
        </w:rPr>
        <w:t>Основными мерами предупреждения аварий является строгое исполнение технологической и производственной дисциплины, оперативный контроль, а также:</w:t>
      </w:r>
    </w:p>
    <w:p w14:paraId="4FF94EB8" w14:textId="77777777" w:rsidR="00C231F0" w:rsidRPr="002C1B3C" w:rsidRDefault="00C231F0" w:rsidP="00C231F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2C1B3C">
        <w:rPr>
          <w:rFonts w:ascii="Times New Roman" w:hAnsi="Times New Roman" w:cs="Times New Roman"/>
          <w:bCs/>
          <w:sz w:val="24"/>
          <w:szCs w:val="24"/>
          <w:lang w:val="x-none"/>
        </w:rPr>
        <w:t>строгое выполнение проектных решений при проведении строительных работ;</w:t>
      </w:r>
    </w:p>
    <w:p w14:paraId="2A4DCA41" w14:textId="77777777" w:rsidR="00C231F0" w:rsidRPr="002C1B3C" w:rsidRDefault="00C231F0" w:rsidP="00C231F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2C1B3C">
        <w:rPr>
          <w:rFonts w:ascii="Times New Roman" w:hAnsi="Times New Roman" w:cs="Times New Roman"/>
          <w:bCs/>
          <w:sz w:val="24"/>
          <w:szCs w:val="24"/>
          <w:lang w:val="x-none"/>
        </w:rPr>
        <w:t>обязательное соблюдение всех правил эксплуатации технологического</w:t>
      </w:r>
    </w:p>
    <w:p w14:paraId="0554D830" w14:textId="77777777" w:rsidR="00C231F0" w:rsidRPr="002C1B3C" w:rsidRDefault="00C231F0" w:rsidP="00C231F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2C1B3C">
        <w:rPr>
          <w:rFonts w:ascii="Times New Roman" w:hAnsi="Times New Roman" w:cs="Times New Roman"/>
          <w:bCs/>
          <w:sz w:val="24"/>
          <w:szCs w:val="24"/>
          <w:lang w:val="x-none"/>
        </w:rPr>
        <w:t>оборудования при строительстве и эксплуатации объектов;</w:t>
      </w:r>
    </w:p>
    <w:p w14:paraId="22F6623C" w14:textId="77777777" w:rsidR="00C231F0" w:rsidRPr="002C1B3C" w:rsidRDefault="00C231F0" w:rsidP="00C231F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2C1B3C">
        <w:rPr>
          <w:rFonts w:ascii="Times New Roman" w:hAnsi="Times New Roman" w:cs="Times New Roman"/>
          <w:bCs/>
          <w:sz w:val="24"/>
          <w:szCs w:val="24"/>
          <w:lang w:val="x-none"/>
        </w:rPr>
        <w:t>периодическое проведение инструктажей и занятий по технике безопасности;</w:t>
      </w:r>
    </w:p>
    <w:p w14:paraId="6123657F" w14:textId="77777777" w:rsidR="00C231F0" w:rsidRPr="002C1B3C" w:rsidRDefault="00C231F0" w:rsidP="00C231F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2C1B3C">
        <w:rPr>
          <w:rFonts w:ascii="Times New Roman" w:hAnsi="Times New Roman" w:cs="Times New Roman"/>
          <w:bCs/>
          <w:sz w:val="24"/>
          <w:szCs w:val="24"/>
          <w:lang w:val="x-none"/>
        </w:rPr>
        <w:t>регулярное проведение учений по тревоге;</w:t>
      </w:r>
    </w:p>
    <w:p w14:paraId="25F9A0D7" w14:textId="77777777" w:rsidR="00C231F0" w:rsidRPr="002C1B3C" w:rsidRDefault="00C231F0" w:rsidP="00C231F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2C1B3C">
        <w:rPr>
          <w:rFonts w:ascii="Times New Roman" w:hAnsi="Times New Roman" w:cs="Times New Roman"/>
          <w:bCs/>
          <w:sz w:val="24"/>
          <w:szCs w:val="24"/>
          <w:lang w:val="x-none"/>
        </w:rPr>
        <w:t>контроль за наличием спасательного и защитного оборудования и умением персонала им пользоваться;</w:t>
      </w:r>
    </w:p>
    <w:p w14:paraId="749C1A90" w14:textId="77777777" w:rsidR="00C231F0" w:rsidRPr="002C1B3C" w:rsidRDefault="00C231F0" w:rsidP="00C231F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2C1B3C">
        <w:rPr>
          <w:rFonts w:ascii="Times New Roman" w:hAnsi="Times New Roman" w:cs="Times New Roman"/>
          <w:bCs/>
          <w:sz w:val="24"/>
          <w:szCs w:val="24"/>
          <w:lang w:val="x-none"/>
        </w:rPr>
        <w:t>своевременное устранение утечки во время работы механизмов;</w:t>
      </w:r>
    </w:p>
    <w:p w14:paraId="23B40AF0" w14:textId="77777777" w:rsidR="00C231F0" w:rsidRPr="002C1B3C" w:rsidRDefault="00C231F0" w:rsidP="00C231F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2C1B3C">
        <w:rPr>
          <w:rFonts w:ascii="Times New Roman" w:hAnsi="Times New Roman" w:cs="Times New Roman"/>
          <w:bCs/>
          <w:sz w:val="24"/>
          <w:szCs w:val="24"/>
          <w:lang w:val="x-none"/>
        </w:rPr>
        <w:t>использование контейнеров для сбора отходов производства и потребления.</w:t>
      </w:r>
    </w:p>
    <w:p w14:paraId="4D146025" w14:textId="77777777" w:rsidR="00C231F0" w:rsidRPr="002C1B3C" w:rsidRDefault="00C231F0" w:rsidP="00C23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B3C">
        <w:rPr>
          <w:rFonts w:ascii="Times New Roman" w:hAnsi="Times New Roman" w:cs="Times New Roman"/>
          <w:sz w:val="24"/>
          <w:szCs w:val="24"/>
        </w:rPr>
        <w:t>В случае фиксирования аварийных ситуаций, связанных с загрязнением окружающей среды, руководство предприятия должно проинформировать о данных фактах областной Департамент экологии, принять меры по ликвидации последствий после аварий, определить размер ущерба, причиненного компонентам окружающей среды, осуществить соответствующие платежи в фонд охраны природы. Своевременная ликвидация аварий уменьшает степень отрицательного воздействия на окружающую природную среду.</w:t>
      </w:r>
    </w:p>
    <w:p w14:paraId="21B945CF" w14:textId="77777777" w:rsidR="00C231F0" w:rsidRPr="002C1B3C" w:rsidRDefault="00C231F0" w:rsidP="00C23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B3C">
        <w:rPr>
          <w:rFonts w:ascii="Times New Roman" w:hAnsi="Times New Roman" w:cs="Times New Roman"/>
          <w:sz w:val="24"/>
          <w:szCs w:val="24"/>
        </w:rPr>
        <w:t xml:space="preserve">После устранения аварийной ситуации на предприятии должны быть откорректированы мероприятия по предупреждению подобных ситуаций. </w:t>
      </w:r>
    </w:p>
    <w:p w14:paraId="5BB7CBEC" w14:textId="77777777" w:rsidR="00C231F0" w:rsidRPr="002C1B3C" w:rsidRDefault="00C231F0" w:rsidP="00C23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B3C">
        <w:rPr>
          <w:rFonts w:ascii="Times New Roman" w:hAnsi="Times New Roman" w:cs="Times New Roman"/>
          <w:sz w:val="24"/>
          <w:szCs w:val="24"/>
        </w:rPr>
        <w:t xml:space="preserve">План детализации мониторинга должен быть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ситуации. </w:t>
      </w:r>
    </w:p>
    <w:p w14:paraId="3516FFA4" w14:textId="77777777" w:rsidR="00C231F0" w:rsidRDefault="00C231F0" w:rsidP="00C23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B3C">
        <w:rPr>
          <w:rFonts w:ascii="Times New Roman" w:hAnsi="Times New Roman" w:cs="Times New Roman"/>
          <w:sz w:val="24"/>
          <w:szCs w:val="24"/>
        </w:rPr>
        <w:t>После ликвидации аварийной ситуации вышеуказанные виды наблюдений переходят на постоянно действующий режим мониторинга со сгущением точек наблюдений (отбора проб) в границах зоны влияния аварии. Данные наблюдения проводятся на протяжении цикла реабилитации территории, в том числе в течение двух лет после её завершения.</w:t>
      </w:r>
    </w:p>
    <w:p w14:paraId="71CB9330" w14:textId="77777777" w:rsidR="00C231F0" w:rsidRDefault="00C231F0" w:rsidP="00C23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10298D" w14:textId="77777777" w:rsidR="00C231F0" w:rsidRDefault="00C231F0" w:rsidP="00C23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1C1466" w14:textId="77777777" w:rsidR="00C231F0" w:rsidRDefault="00C231F0" w:rsidP="00C23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824283" w14:textId="77777777" w:rsidR="00C231F0" w:rsidRDefault="00C231F0" w:rsidP="00C23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CAEC94" w14:textId="36CE6192" w:rsidR="00C231F0" w:rsidRPr="00C231F0" w:rsidRDefault="00C231F0" w:rsidP="00C231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31F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Разработка плана действий в чрезвычайных ситуациях по индивидуальному предупреждению и (или) ликвидации последствий загрязнения окружающей среды (загрязнения земельных ресурсов, атмосферного воздуха и водных ресурсов).</w:t>
      </w:r>
    </w:p>
    <w:p w14:paraId="33024505" w14:textId="77777777" w:rsidR="00C231F0" w:rsidRPr="00C231F0" w:rsidRDefault="00C231F0" w:rsidP="00C231F0">
      <w:pPr>
        <w:shd w:val="clear" w:color="auto" w:fill="FFFFFF"/>
        <w:tabs>
          <w:tab w:val="left" w:pos="709"/>
        </w:tabs>
        <w:spacing w:before="120"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31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Согласно ст. 211 ЭК РК при возникновении аварийной ситуации на объектах I и II категорий, в результате которой происходит или может произойти нарушение установленных экологических нормативов, оператор объекта безотлагательно, но в любом случае в срок не более двух часов с момента обнаружения аварийной ситуации обязан сообщить об этом в уполномоченный орган в области охраны окружающей среды и предпринять все необходимые меры по предотвращению загрязнения атмосферного воздуха вплоть до частичной или полной остановки эксплуатации соответствующих стационарных источников или объекта в целом, а также по устранению негативных последствий для окружающей среды, вызванных такой аварийной ситуацией.</w:t>
      </w:r>
    </w:p>
    <w:p w14:paraId="64296ECF" w14:textId="791E8F74" w:rsidR="00C231F0" w:rsidRPr="00C231F0" w:rsidRDefault="00C231F0" w:rsidP="00C231F0">
      <w:pPr>
        <w:shd w:val="clear" w:color="auto" w:fill="FFFFFF"/>
        <w:tabs>
          <w:tab w:val="left" w:pos="709"/>
        </w:tabs>
        <w:spacing w:before="120"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231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При обнаружении аварийных выбросов загрязняющих веществ в окружающую среду, </w:t>
      </w:r>
      <w:proofErr w:type="spellStart"/>
      <w:r w:rsidRPr="00C231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т.е</w:t>
      </w:r>
      <w:proofErr w:type="spellEnd"/>
      <w:r w:rsidRPr="00C231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при угрозе возникновения чрезвычайной экологической ситуации техногенного характера диспетчер объекта обязан немедленно об этом информировать соответствующие технические службы, а также руководство службы ОТ, ТБ и ООС для приятия мер по нормализации обстановки, а оно, в свою очередь, должно информировать государственные органы охраны окружающей среды и другие ведомства в установленном законодательством порядке.</w:t>
      </w:r>
    </w:p>
    <w:sectPr w:rsidR="00C231F0" w:rsidRPr="00C2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D78D66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22EEEA2"/>
    <w:name w:val="WW8Num10"/>
    <w:lvl w:ilvl="0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6A1C21"/>
    <w:multiLevelType w:val="hybridMultilevel"/>
    <w:tmpl w:val="B6F435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97276"/>
    <w:multiLevelType w:val="hybridMultilevel"/>
    <w:tmpl w:val="F5C08074"/>
    <w:lvl w:ilvl="0" w:tplc="30C69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B0791"/>
    <w:multiLevelType w:val="hybridMultilevel"/>
    <w:tmpl w:val="F488B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3215A"/>
    <w:multiLevelType w:val="hybridMultilevel"/>
    <w:tmpl w:val="8612E9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95A99"/>
    <w:multiLevelType w:val="multilevel"/>
    <w:tmpl w:val="0676618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3"/>
      <w:numFmt w:val="decimal"/>
      <w:isLgl/>
      <w:lvlText w:val="%1.%2"/>
      <w:lvlJc w:val="left"/>
      <w:pPr>
        <w:ind w:left="644" w:hanging="360"/>
      </w:pPr>
    </w:lvl>
    <w:lvl w:ilvl="2">
      <w:start w:val="1"/>
      <w:numFmt w:val="decimal"/>
      <w:isLgl/>
      <w:lvlText w:val="%1.%2.%3"/>
      <w:lvlJc w:val="left"/>
      <w:pPr>
        <w:ind w:left="1004" w:hanging="720"/>
      </w:pPr>
    </w:lvl>
    <w:lvl w:ilvl="3">
      <w:start w:val="1"/>
      <w:numFmt w:val="decimal"/>
      <w:isLgl/>
      <w:lvlText w:val="%1.%2.%3.%4"/>
      <w:lvlJc w:val="left"/>
      <w:pPr>
        <w:ind w:left="1004" w:hanging="720"/>
      </w:pPr>
    </w:lvl>
    <w:lvl w:ilvl="4">
      <w:start w:val="1"/>
      <w:numFmt w:val="decimal"/>
      <w:isLgl/>
      <w:lvlText w:val="%1.%2.%3.%4.%5"/>
      <w:lvlJc w:val="left"/>
      <w:pPr>
        <w:ind w:left="1364" w:hanging="1080"/>
      </w:pPr>
    </w:lvl>
    <w:lvl w:ilvl="5">
      <w:start w:val="1"/>
      <w:numFmt w:val="decimal"/>
      <w:isLgl/>
      <w:lvlText w:val="%1.%2.%3.%4.%5.%6"/>
      <w:lvlJc w:val="left"/>
      <w:pPr>
        <w:ind w:left="1364" w:hanging="1080"/>
      </w:pPr>
    </w:lvl>
    <w:lvl w:ilvl="6">
      <w:start w:val="1"/>
      <w:numFmt w:val="decimal"/>
      <w:isLgl/>
      <w:lvlText w:val="%1.%2.%3.%4.%5.%6.%7"/>
      <w:lvlJc w:val="left"/>
      <w:pPr>
        <w:ind w:left="1724" w:hanging="1440"/>
      </w:p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</w:lvl>
  </w:abstractNum>
  <w:abstractNum w:abstractNumId="8" w15:restartNumberingAfterBreak="0">
    <w:nsid w:val="1B180D4A"/>
    <w:multiLevelType w:val="hybridMultilevel"/>
    <w:tmpl w:val="12A6EE46"/>
    <w:lvl w:ilvl="0" w:tplc="B6BE3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C6200"/>
    <w:multiLevelType w:val="hybridMultilevel"/>
    <w:tmpl w:val="781E86AA"/>
    <w:lvl w:ilvl="0" w:tplc="041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0" w15:restartNumberingAfterBreak="0">
    <w:nsid w:val="27A771A5"/>
    <w:multiLevelType w:val="hybridMultilevel"/>
    <w:tmpl w:val="51BE46B4"/>
    <w:lvl w:ilvl="0" w:tplc="30C69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C5618"/>
    <w:multiLevelType w:val="hybridMultilevel"/>
    <w:tmpl w:val="33385A06"/>
    <w:lvl w:ilvl="0" w:tplc="30C69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646B3"/>
    <w:multiLevelType w:val="hybridMultilevel"/>
    <w:tmpl w:val="E8E2CF1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CA057CD"/>
    <w:multiLevelType w:val="hybridMultilevel"/>
    <w:tmpl w:val="30FE0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245EA"/>
    <w:multiLevelType w:val="hybridMultilevel"/>
    <w:tmpl w:val="EC147262"/>
    <w:lvl w:ilvl="0" w:tplc="30C69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664CA"/>
    <w:multiLevelType w:val="hybridMultilevel"/>
    <w:tmpl w:val="A874F33E"/>
    <w:lvl w:ilvl="0" w:tplc="30C69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C1E5B"/>
    <w:multiLevelType w:val="hybridMultilevel"/>
    <w:tmpl w:val="77F434BA"/>
    <w:lvl w:ilvl="0" w:tplc="B6BE325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A92209E"/>
    <w:multiLevelType w:val="hybridMultilevel"/>
    <w:tmpl w:val="15362886"/>
    <w:lvl w:ilvl="0" w:tplc="30C69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304B0"/>
    <w:multiLevelType w:val="hybridMultilevel"/>
    <w:tmpl w:val="74E608CC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D3929"/>
    <w:multiLevelType w:val="hybridMultilevel"/>
    <w:tmpl w:val="0E3434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E07D5"/>
    <w:multiLevelType w:val="hybridMultilevel"/>
    <w:tmpl w:val="36DE744E"/>
    <w:lvl w:ilvl="0" w:tplc="87F2C84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AD5474"/>
    <w:multiLevelType w:val="hybridMultilevel"/>
    <w:tmpl w:val="83721D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927819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0246423">
    <w:abstractNumId w:val="13"/>
  </w:num>
  <w:num w:numId="3" w16cid:durableId="295570632">
    <w:abstractNumId w:val="6"/>
  </w:num>
  <w:num w:numId="4" w16cid:durableId="1666591256">
    <w:abstractNumId w:val="3"/>
  </w:num>
  <w:num w:numId="5" w16cid:durableId="339040553">
    <w:abstractNumId w:val="5"/>
  </w:num>
  <w:num w:numId="6" w16cid:durableId="625082582">
    <w:abstractNumId w:val="9"/>
  </w:num>
  <w:num w:numId="7" w16cid:durableId="16200620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2758522">
    <w:abstractNumId w:val="2"/>
  </w:num>
  <w:num w:numId="9" w16cid:durableId="737097127">
    <w:abstractNumId w:val="12"/>
  </w:num>
  <w:num w:numId="10" w16cid:durableId="1759136150">
    <w:abstractNumId w:val="8"/>
  </w:num>
  <w:num w:numId="11" w16cid:durableId="87123518">
    <w:abstractNumId w:val="14"/>
  </w:num>
  <w:num w:numId="12" w16cid:durableId="651329022">
    <w:abstractNumId w:val="11"/>
  </w:num>
  <w:num w:numId="13" w16cid:durableId="1541161494">
    <w:abstractNumId w:val="17"/>
  </w:num>
  <w:num w:numId="14" w16cid:durableId="1598519440">
    <w:abstractNumId w:val="21"/>
  </w:num>
  <w:num w:numId="15" w16cid:durableId="72971524">
    <w:abstractNumId w:val="19"/>
  </w:num>
  <w:num w:numId="16" w16cid:durableId="1920282869">
    <w:abstractNumId w:val="15"/>
  </w:num>
  <w:num w:numId="17" w16cid:durableId="2089419537">
    <w:abstractNumId w:val="16"/>
  </w:num>
  <w:num w:numId="18" w16cid:durableId="747919417">
    <w:abstractNumId w:val="1"/>
  </w:num>
  <w:num w:numId="19" w16cid:durableId="222645532">
    <w:abstractNumId w:val="0"/>
  </w:num>
  <w:num w:numId="20" w16cid:durableId="328102811">
    <w:abstractNumId w:val="20"/>
  </w:num>
  <w:num w:numId="21" w16cid:durableId="1669358391">
    <w:abstractNumId w:val="4"/>
  </w:num>
  <w:num w:numId="22" w16cid:durableId="9832373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F3"/>
    <w:rsid w:val="00044BF4"/>
    <w:rsid w:val="000D6D17"/>
    <w:rsid w:val="00114B95"/>
    <w:rsid w:val="001531BA"/>
    <w:rsid w:val="00155034"/>
    <w:rsid w:val="001858A5"/>
    <w:rsid w:val="001A4CE0"/>
    <w:rsid w:val="0020743D"/>
    <w:rsid w:val="00217721"/>
    <w:rsid w:val="00272586"/>
    <w:rsid w:val="00274C83"/>
    <w:rsid w:val="00296BB6"/>
    <w:rsid w:val="002C1B3C"/>
    <w:rsid w:val="002C6EC2"/>
    <w:rsid w:val="0038014F"/>
    <w:rsid w:val="00461C5E"/>
    <w:rsid w:val="004E6CB8"/>
    <w:rsid w:val="004F1E0B"/>
    <w:rsid w:val="005452F0"/>
    <w:rsid w:val="006024FE"/>
    <w:rsid w:val="006317FC"/>
    <w:rsid w:val="006970D0"/>
    <w:rsid w:val="006B715E"/>
    <w:rsid w:val="00700823"/>
    <w:rsid w:val="00712A42"/>
    <w:rsid w:val="00722987"/>
    <w:rsid w:val="00723B74"/>
    <w:rsid w:val="00777335"/>
    <w:rsid w:val="0083149D"/>
    <w:rsid w:val="0086053F"/>
    <w:rsid w:val="0093551D"/>
    <w:rsid w:val="009719B5"/>
    <w:rsid w:val="00977657"/>
    <w:rsid w:val="00990796"/>
    <w:rsid w:val="009D6870"/>
    <w:rsid w:val="009F7660"/>
    <w:rsid w:val="00A33501"/>
    <w:rsid w:val="00A841E1"/>
    <w:rsid w:val="00AC02DF"/>
    <w:rsid w:val="00AD1982"/>
    <w:rsid w:val="00B31AF4"/>
    <w:rsid w:val="00B56E3B"/>
    <w:rsid w:val="00BD202C"/>
    <w:rsid w:val="00C021FB"/>
    <w:rsid w:val="00C231F0"/>
    <w:rsid w:val="00CA447C"/>
    <w:rsid w:val="00CD0283"/>
    <w:rsid w:val="00CF733D"/>
    <w:rsid w:val="00DA6F0F"/>
    <w:rsid w:val="00DB47AC"/>
    <w:rsid w:val="00E0262E"/>
    <w:rsid w:val="00E523DB"/>
    <w:rsid w:val="00E56B3A"/>
    <w:rsid w:val="00F42C1A"/>
    <w:rsid w:val="00F773F3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E3AF2"/>
  <w15:chartTrackingRefBased/>
  <w15:docId w15:val="{89DCFC58-FECC-46A3-9FEB-171AA023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5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7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7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5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57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57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57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57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57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57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57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5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5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5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5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57F3"/>
    <w:rPr>
      <w:i/>
      <w:iCs/>
      <w:color w:val="404040" w:themeColor="text1" w:themeTint="BF"/>
    </w:rPr>
  </w:style>
  <w:style w:type="paragraph" w:styleId="a7">
    <w:name w:val="List Paragraph"/>
    <w:aliases w:val="Paragraph,Citation List,Resume Title,List Paragraph Char Char,Bullet 1,List Paragraph1,b1,Number_1,SGLText List Paragraph,new,lp1,Normal Sentence,Colorful List - Accent 11,ListPar1,List Paragraph2,List Paragraph11,list1,Figure_name,HEAD 3"/>
    <w:basedOn w:val="a"/>
    <w:link w:val="a8"/>
    <w:uiPriority w:val="34"/>
    <w:qFormat/>
    <w:rsid w:val="00FF57F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F57F3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F5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FF57F3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FF57F3"/>
    <w:rPr>
      <w:b/>
      <w:bCs/>
      <w:smallCaps/>
      <w:color w:val="2F5496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1858A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858A5"/>
    <w:rPr>
      <w:color w:val="605E5C"/>
      <w:shd w:val="clear" w:color="auto" w:fill="E1DFDD"/>
    </w:rPr>
  </w:style>
  <w:style w:type="paragraph" w:customStyle="1" w:styleId="11">
    <w:name w:val="1 РАЗ"/>
    <w:basedOn w:val="a"/>
    <w:next w:val="a"/>
    <w:link w:val="12"/>
    <w:qFormat/>
    <w:rsid w:val="00114B95"/>
    <w:pPr>
      <w:spacing w:after="240" w:line="240" w:lineRule="auto"/>
      <w:ind w:firstLine="720"/>
      <w:jc w:val="both"/>
      <w:outlineLvl w:val="1"/>
    </w:pPr>
    <w:rPr>
      <w:rFonts w:ascii="Times New Roman" w:eastAsia="Arial Unicode MS" w:hAnsi="Times New Roman" w:cs="Times New Roman"/>
      <w:b/>
      <w:kern w:val="0"/>
      <w:sz w:val="24"/>
      <w:szCs w:val="20"/>
      <w:lang w:eastAsia="ru-RU"/>
      <w14:ligatures w14:val="none"/>
    </w:rPr>
  </w:style>
  <w:style w:type="character" w:customStyle="1" w:styleId="12">
    <w:name w:val="1 РАЗ Знак"/>
    <w:link w:val="11"/>
    <w:locked/>
    <w:rsid w:val="00114B95"/>
    <w:rPr>
      <w:rFonts w:ascii="Times New Roman" w:eastAsia="Arial Unicode MS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Default">
    <w:name w:val="Default"/>
    <w:link w:val="Default0"/>
    <w:qFormat/>
    <w:rsid w:val="00296B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Default0">
    <w:name w:val="Default Знак"/>
    <w:link w:val="Default"/>
    <w:rsid w:val="00296BB6"/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a8">
    <w:name w:val="Абзац списка Знак"/>
    <w:aliases w:val="Paragraph Знак,Citation List Знак,Resume Title Знак,List Paragraph Char Char Знак,Bullet 1 Знак,List Paragraph1 Знак,b1 Знак,Number_1 Знак,SGLText List Paragraph Знак,new Знак,lp1 Знак,Normal Sentence Знак,ListPar1 Знак,list1 Знак"/>
    <w:basedOn w:val="a0"/>
    <w:link w:val="a7"/>
    <w:uiPriority w:val="34"/>
    <w:qFormat/>
    <w:locked/>
    <w:rsid w:val="00E56B3A"/>
  </w:style>
  <w:style w:type="paragraph" w:customStyle="1" w:styleId="af">
    <w:name w:val="текст КРГ"/>
    <w:basedOn w:val="a"/>
    <w:link w:val="af0"/>
    <w:qFormat/>
    <w:rsid w:val="006317FC"/>
    <w:pPr>
      <w:spacing w:after="0" w:line="240" w:lineRule="auto"/>
      <w:ind w:firstLine="709"/>
      <w:jc w:val="both"/>
    </w:pPr>
    <w:rPr>
      <w:rFonts w:ascii="Times New Roman" w:hAnsi="Times New Roman" w:cs="Times New Roman"/>
      <w:kern w:val="0"/>
      <w:sz w:val="24"/>
      <w:lang w:eastAsia="ko-KR"/>
      <w14:ligatures w14:val="none"/>
    </w:rPr>
  </w:style>
  <w:style w:type="character" w:customStyle="1" w:styleId="af0">
    <w:name w:val="текст КРГ Знак"/>
    <w:basedOn w:val="a0"/>
    <w:link w:val="af"/>
    <w:rsid w:val="006317FC"/>
    <w:rPr>
      <w:rFonts w:ascii="Times New Roman" w:hAnsi="Times New Roman" w:cs="Times New Roman"/>
      <w:kern w:val="0"/>
      <w:sz w:val="24"/>
      <w:lang w:eastAsia="ko-K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317F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99"/>
    <w:semiHidden/>
    <w:unhideWhenUsed/>
    <w:rsid w:val="004F1E0B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4F1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bilis@btm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KZN 267</dc:creator>
  <cp:keywords/>
  <dc:description/>
  <cp:lastModifiedBy>KZN 267</cp:lastModifiedBy>
  <cp:revision>89</cp:revision>
  <dcterms:created xsi:type="dcterms:W3CDTF">2025-01-31T13:30:00Z</dcterms:created>
  <dcterms:modified xsi:type="dcterms:W3CDTF">2025-10-08T10:26:00Z</dcterms:modified>
</cp:coreProperties>
</file>