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4C17FFCB" w14:textId="77777777" w:rsidR="00EF49E1" w:rsidRDefault="00EF49E1" w:rsidP="00AA7812">
      <w:pPr>
        <w:ind w:right="-1" w:firstLine="567"/>
        <w:jc w:val="both"/>
        <w:rPr>
          <w:sz w:val="28"/>
        </w:rPr>
      </w:pPr>
      <w:r w:rsidRPr="00EF49E1">
        <w:rPr>
          <w:sz w:val="28"/>
        </w:rPr>
        <w:t>Полигон ТБО села Тасоткель Тасоткельского сельского округа Шуского района КГУ «Отдел жилищно-коммунального хозяйства, пассажирского транспорта, автомобильных дорог и жилищной инспекции акимата Шуского района» расположено по адресу: Жамбылская область, Шуский район, Тасоткельский сельский округ, в 2 км на запад от села Тасоткель.</w:t>
      </w:r>
    </w:p>
    <w:p w14:paraId="41EA605D" w14:textId="77777777" w:rsidR="00EF49E1" w:rsidRDefault="00EF49E1" w:rsidP="00AA7812">
      <w:pPr>
        <w:ind w:right="-1" w:firstLine="567"/>
        <w:jc w:val="both"/>
        <w:rPr>
          <w:sz w:val="28"/>
          <w:szCs w:val="28"/>
          <w:shd w:val="clear" w:color="auto" w:fill="FFFFFF"/>
        </w:rPr>
      </w:pPr>
      <w:r w:rsidRPr="00EF49E1">
        <w:rPr>
          <w:sz w:val="28"/>
          <w:szCs w:val="28"/>
          <w:shd w:val="clear" w:color="auto" w:fill="FFFFFF"/>
        </w:rPr>
        <w:t>Территория воздействия – Жамбылская область, Шуский район, Тасоткельский с.о. Географические координаты воздействия: 43°21'11"СШ, 73°35'14"ВД.</w:t>
      </w:r>
    </w:p>
    <w:p w14:paraId="7B783CD5" w14:textId="5EE63E21"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07D344DF" w14:textId="6A5B815D" w:rsidR="00AF2B8F" w:rsidRDefault="00554776" w:rsidP="00AA7812">
      <w:pPr>
        <w:ind w:right="-1" w:firstLine="567"/>
        <w:jc w:val="both"/>
        <w:rPr>
          <w:sz w:val="28"/>
        </w:rPr>
      </w:pPr>
      <w:r w:rsidRPr="00554776">
        <w:rPr>
          <w:sz w:val="28"/>
        </w:rPr>
        <w:t xml:space="preserve">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 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4F5BAF" w:rsidRPr="004F5BAF">
        <w:rPr>
          <w:sz w:val="28"/>
        </w:rPr>
        <w:t>в объеме 4,05467 тонн/год (0,16091 г/с), 2 твердых загрязняющих веществ (пыль неорганическая (SiO2 20-70%), пыль неорганическая) в объеме 2,32869 тонн/год (0,74134 г/с).</w:t>
      </w:r>
    </w:p>
    <w:p w14:paraId="1152BFB2" w14:textId="68E72DC1"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65473C8D" w:rsidR="001A0BF3" w:rsidRDefault="001A0BF3" w:rsidP="00AA7812">
      <w:pPr>
        <w:ind w:right="-1" w:firstLine="567"/>
        <w:jc w:val="both"/>
        <w:rPr>
          <w:sz w:val="28"/>
        </w:rPr>
      </w:pPr>
      <w:r>
        <w:rPr>
          <w:sz w:val="28"/>
        </w:rPr>
        <w:t xml:space="preserve">2026 год - </w:t>
      </w:r>
      <w:r w:rsidR="00AA30FB" w:rsidRPr="00AA30FB">
        <w:rPr>
          <w:sz w:val="28"/>
        </w:rPr>
        <w:t>526,829</w:t>
      </w:r>
      <w:r w:rsidR="008F589B">
        <w:rPr>
          <w:sz w:val="28"/>
        </w:rPr>
        <w:t>7</w:t>
      </w:r>
      <w:r w:rsidR="00AA30FB">
        <w:rPr>
          <w:sz w:val="28"/>
        </w:rPr>
        <w:t xml:space="preserve"> </w:t>
      </w:r>
      <w:r w:rsidRPr="00101937">
        <w:rPr>
          <w:sz w:val="28"/>
        </w:rPr>
        <w:t>т/год</w:t>
      </w:r>
      <w:r>
        <w:rPr>
          <w:sz w:val="28"/>
        </w:rPr>
        <w:t>.</w:t>
      </w:r>
    </w:p>
    <w:p w14:paraId="34641979" w14:textId="193980D9" w:rsidR="001A0BF3" w:rsidRDefault="001A0BF3" w:rsidP="00AA7812">
      <w:pPr>
        <w:ind w:right="-1" w:firstLine="567"/>
        <w:jc w:val="both"/>
        <w:rPr>
          <w:sz w:val="28"/>
        </w:rPr>
      </w:pPr>
      <w:r>
        <w:rPr>
          <w:sz w:val="28"/>
        </w:rPr>
        <w:t xml:space="preserve">2027 год - </w:t>
      </w:r>
      <w:r w:rsidR="00AA30FB" w:rsidRPr="00AA30FB">
        <w:rPr>
          <w:sz w:val="28"/>
        </w:rPr>
        <w:t>542,6125</w:t>
      </w:r>
      <w:r w:rsidR="00AA30FB">
        <w:rPr>
          <w:sz w:val="28"/>
        </w:rPr>
        <w:t xml:space="preserve"> </w:t>
      </w:r>
      <w:r w:rsidRPr="00101937">
        <w:rPr>
          <w:sz w:val="28"/>
        </w:rPr>
        <w:t>т/год.</w:t>
      </w:r>
    </w:p>
    <w:p w14:paraId="7F3214EA" w14:textId="101DB2E7" w:rsidR="001A0BF3" w:rsidRDefault="001A0BF3" w:rsidP="00AA7812">
      <w:pPr>
        <w:ind w:right="-1" w:firstLine="567"/>
        <w:jc w:val="both"/>
        <w:rPr>
          <w:sz w:val="28"/>
        </w:rPr>
      </w:pPr>
      <w:r>
        <w:rPr>
          <w:sz w:val="28"/>
        </w:rPr>
        <w:t>2028 год -</w:t>
      </w:r>
      <w:r w:rsidR="00494988" w:rsidRPr="00494988">
        <w:rPr>
          <w:sz w:val="28"/>
        </w:rPr>
        <w:t xml:space="preserve"> </w:t>
      </w:r>
      <w:r w:rsidR="00AA30FB" w:rsidRPr="00AA30FB">
        <w:rPr>
          <w:sz w:val="28"/>
        </w:rPr>
        <w:t>558,8689</w:t>
      </w:r>
      <w:r w:rsidR="00AA30FB">
        <w:rPr>
          <w:sz w:val="28"/>
        </w:rPr>
        <w:t xml:space="preserve"> </w:t>
      </w:r>
      <w:r w:rsidRPr="00101937">
        <w:rPr>
          <w:sz w:val="28"/>
        </w:rPr>
        <w:t>т/год.</w:t>
      </w:r>
    </w:p>
    <w:p w14:paraId="3F594CAB" w14:textId="4CAE9C0E" w:rsidR="001A0BF3" w:rsidRDefault="001A0BF3" w:rsidP="00AA7812">
      <w:pPr>
        <w:ind w:right="-1" w:firstLine="567"/>
        <w:jc w:val="both"/>
        <w:rPr>
          <w:sz w:val="28"/>
        </w:rPr>
      </w:pPr>
      <w:r>
        <w:rPr>
          <w:sz w:val="28"/>
        </w:rPr>
        <w:t>2029 год -</w:t>
      </w:r>
      <w:r w:rsidR="00494988" w:rsidRPr="00494988">
        <w:rPr>
          <w:sz w:val="28"/>
        </w:rPr>
        <w:t xml:space="preserve"> </w:t>
      </w:r>
      <w:r w:rsidR="00AA30FB" w:rsidRPr="00AA30FB">
        <w:rPr>
          <w:sz w:val="28"/>
        </w:rPr>
        <w:t>575,6129</w:t>
      </w:r>
      <w:r w:rsidR="00AA30FB">
        <w:rPr>
          <w:sz w:val="28"/>
        </w:rPr>
        <w:t xml:space="preserve"> </w:t>
      </w:r>
      <w:r w:rsidRPr="00101937">
        <w:rPr>
          <w:sz w:val="28"/>
        </w:rPr>
        <w:t>т/год.</w:t>
      </w:r>
    </w:p>
    <w:p w14:paraId="5FDF191B" w14:textId="769CF44A"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AA30FB" w:rsidRPr="00AA30FB">
        <w:rPr>
          <w:sz w:val="28"/>
        </w:rPr>
        <w:t>592,8593</w:t>
      </w:r>
      <w:r w:rsidR="00AA30FB">
        <w:rPr>
          <w:sz w:val="28"/>
        </w:rPr>
        <w:t xml:space="preserve"> </w:t>
      </w:r>
      <w:r w:rsidRPr="00101937">
        <w:rPr>
          <w:sz w:val="28"/>
        </w:rPr>
        <w:t>т/год.</w:t>
      </w:r>
    </w:p>
    <w:p w14:paraId="0CD30A9C" w14:textId="0421F97D" w:rsidR="001A0BF3" w:rsidRDefault="001A0BF3" w:rsidP="00AA7812">
      <w:pPr>
        <w:ind w:right="-1" w:firstLine="567"/>
        <w:jc w:val="both"/>
        <w:rPr>
          <w:sz w:val="28"/>
        </w:rPr>
      </w:pPr>
      <w:r>
        <w:rPr>
          <w:sz w:val="28"/>
        </w:rPr>
        <w:t>2031 год -</w:t>
      </w:r>
      <w:r w:rsidR="00494988" w:rsidRPr="00494988">
        <w:rPr>
          <w:sz w:val="28"/>
        </w:rPr>
        <w:t xml:space="preserve"> </w:t>
      </w:r>
      <w:r w:rsidR="00AA30FB" w:rsidRPr="00AA30FB">
        <w:rPr>
          <w:sz w:val="28"/>
        </w:rPr>
        <w:t>610,623</w:t>
      </w:r>
      <w:r w:rsidR="008F589B">
        <w:rPr>
          <w:sz w:val="28"/>
        </w:rPr>
        <w:t>1</w:t>
      </w:r>
      <w:r w:rsidR="00AA30FB">
        <w:rPr>
          <w:sz w:val="28"/>
        </w:rPr>
        <w:t xml:space="preserve"> </w:t>
      </w:r>
      <w:r w:rsidRPr="00101937">
        <w:rPr>
          <w:sz w:val="28"/>
        </w:rPr>
        <w:t>т/год.</w:t>
      </w:r>
    </w:p>
    <w:p w14:paraId="174AC86F" w14:textId="685E6AA8" w:rsidR="001A0BF3" w:rsidRDefault="001A0BF3" w:rsidP="00AA7812">
      <w:pPr>
        <w:ind w:right="-1" w:firstLine="567"/>
        <w:jc w:val="both"/>
        <w:rPr>
          <w:sz w:val="28"/>
        </w:rPr>
      </w:pPr>
      <w:r>
        <w:rPr>
          <w:sz w:val="28"/>
        </w:rPr>
        <w:t>2032 год -</w:t>
      </w:r>
      <w:r w:rsidR="00494988" w:rsidRPr="00494988">
        <w:rPr>
          <w:sz w:val="28"/>
        </w:rPr>
        <w:t xml:space="preserve"> </w:t>
      </w:r>
      <w:r w:rsidR="00AA30FB" w:rsidRPr="00AA30FB">
        <w:rPr>
          <w:sz w:val="28"/>
        </w:rPr>
        <w:t>628,9197</w:t>
      </w:r>
      <w:r w:rsidR="00AA30FB">
        <w:rPr>
          <w:sz w:val="28"/>
        </w:rPr>
        <w:t xml:space="preserve"> </w:t>
      </w:r>
      <w:r w:rsidRPr="00101937">
        <w:rPr>
          <w:sz w:val="28"/>
        </w:rPr>
        <w:t>т/год.</w:t>
      </w:r>
    </w:p>
    <w:p w14:paraId="2AF801EC" w14:textId="0A27BF6C" w:rsidR="001A0BF3" w:rsidRDefault="001A0BF3" w:rsidP="00AA7812">
      <w:pPr>
        <w:ind w:right="-1" w:firstLine="567"/>
        <w:jc w:val="both"/>
        <w:rPr>
          <w:sz w:val="28"/>
        </w:rPr>
      </w:pPr>
      <w:r>
        <w:rPr>
          <w:sz w:val="28"/>
        </w:rPr>
        <w:t>2033 год -</w:t>
      </w:r>
      <w:r w:rsidR="00494988" w:rsidRPr="00494988">
        <w:rPr>
          <w:sz w:val="28"/>
        </w:rPr>
        <w:t xml:space="preserve"> </w:t>
      </w:r>
      <w:r w:rsidR="00AA30FB" w:rsidRPr="00AA30FB">
        <w:rPr>
          <w:sz w:val="28"/>
        </w:rPr>
        <w:t>647,7653</w:t>
      </w:r>
      <w:r w:rsidR="00AA30FB">
        <w:rPr>
          <w:sz w:val="28"/>
        </w:rPr>
        <w:t xml:space="preserve"> </w:t>
      </w:r>
      <w:r w:rsidRPr="00101937">
        <w:rPr>
          <w:sz w:val="28"/>
        </w:rPr>
        <w:t>т/год.</w:t>
      </w:r>
    </w:p>
    <w:p w14:paraId="267970CE" w14:textId="071A9927" w:rsidR="00456F00" w:rsidRDefault="001A0BF3" w:rsidP="00AA7812">
      <w:pPr>
        <w:ind w:right="-1" w:firstLine="567"/>
        <w:jc w:val="both"/>
        <w:rPr>
          <w:sz w:val="28"/>
        </w:rPr>
      </w:pPr>
      <w:r>
        <w:rPr>
          <w:sz w:val="28"/>
        </w:rPr>
        <w:t>2034 год -</w:t>
      </w:r>
      <w:r w:rsidR="00494988" w:rsidRPr="00494988">
        <w:rPr>
          <w:sz w:val="28"/>
        </w:rPr>
        <w:t xml:space="preserve"> </w:t>
      </w:r>
      <w:r w:rsidR="00AA30FB" w:rsidRPr="00AA30FB">
        <w:rPr>
          <w:sz w:val="28"/>
        </w:rPr>
        <w:t>667,176</w:t>
      </w:r>
      <w:r w:rsidR="008116B4">
        <w:rPr>
          <w:sz w:val="28"/>
        </w:rPr>
        <w:t>3</w:t>
      </w:r>
      <w:r w:rsidR="00AA30FB">
        <w:rPr>
          <w:sz w:val="28"/>
        </w:rPr>
        <w:t xml:space="preserve"> </w:t>
      </w:r>
      <w:r w:rsidRPr="00101937">
        <w:rPr>
          <w:sz w:val="28"/>
        </w:rPr>
        <w:t>т/год.</w:t>
      </w:r>
    </w:p>
    <w:p w14:paraId="0FDCD1A5" w14:textId="7C27FF5E" w:rsidR="00494988" w:rsidRDefault="00494988" w:rsidP="00AA7812">
      <w:pPr>
        <w:ind w:right="-1" w:firstLine="567"/>
        <w:jc w:val="both"/>
        <w:rPr>
          <w:sz w:val="28"/>
        </w:rPr>
      </w:pPr>
      <w:r>
        <w:rPr>
          <w:sz w:val="28"/>
        </w:rPr>
        <w:t>2035 год -</w:t>
      </w:r>
      <w:r w:rsidRPr="00494988">
        <w:rPr>
          <w:sz w:val="28"/>
        </w:rPr>
        <w:t xml:space="preserve"> </w:t>
      </w:r>
      <w:r w:rsidR="00AA30FB" w:rsidRPr="00AA30FB">
        <w:rPr>
          <w:sz w:val="28"/>
        </w:rPr>
        <w:t>687,1695</w:t>
      </w:r>
      <w:r w:rsidR="00AA30FB">
        <w:rPr>
          <w:sz w:val="28"/>
        </w:rPr>
        <w:t xml:space="preserve">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43C6C"/>
    <w:rsid w:val="00272548"/>
    <w:rsid w:val="00284440"/>
    <w:rsid w:val="00285BB1"/>
    <w:rsid w:val="002F2FC2"/>
    <w:rsid w:val="00335DBE"/>
    <w:rsid w:val="00343EBE"/>
    <w:rsid w:val="003456CB"/>
    <w:rsid w:val="003A50F3"/>
    <w:rsid w:val="00452653"/>
    <w:rsid w:val="00456F00"/>
    <w:rsid w:val="00494988"/>
    <w:rsid w:val="004C3011"/>
    <w:rsid w:val="004E20A1"/>
    <w:rsid w:val="004F4574"/>
    <w:rsid w:val="004F5BAF"/>
    <w:rsid w:val="0052742B"/>
    <w:rsid w:val="00541464"/>
    <w:rsid w:val="00541B6A"/>
    <w:rsid w:val="00554776"/>
    <w:rsid w:val="005653A8"/>
    <w:rsid w:val="00566B31"/>
    <w:rsid w:val="005808E5"/>
    <w:rsid w:val="00582F90"/>
    <w:rsid w:val="00587181"/>
    <w:rsid w:val="00597934"/>
    <w:rsid w:val="005B5BEB"/>
    <w:rsid w:val="00610480"/>
    <w:rsid w:val="006305C3"/>
    <w:rsid w:val="00640FE3"/>
    <w:rsid w:val="00652971"/>
    <w:rsid w:val="006A3463"/>
    <w:rsid w:val="006B55F0"/>
    <w:rsid w:val="006D6564"/>
    <w:rsid w:val="006E271D"/>
    <w:rsid w:val="007060B7"/>
    <w:rsid w:val="00712270"/>
    <w:rsid w:val="00763792"/>
    <w:rsid w:val="00794AC1"/>
    <w:rsid w:val="00796BE3"/>
    <w:rsid w:val="007E37DC"/>
    <w:rsid w:val="007E41BC"/>
    <w:rsid w:val="007F5D3F"/>
    <w:rsid w:val="008116B4"/>
    <w:rsid w:val="00815C0E"/>
    <w:rsid w:val="00846997"/>
    <w:rsid w:val="008B233D"/>
    <w:rsid w:val="008B5AAB"/>
    <w:rsid w:val="008F589B"/>
    <w:rsid w:val="008F641D"/>
    <w:rsid w:val="008F7DF9"/>
    <w:rsid w:val="0091310B"/>
    <w:rsid w:val="009669DD"/>
    <w:rsid w:val="00970D5A"/>
    <w:rsid w:val="009D37B2"/>
    <w:rsid w:val="009F7583"/>
    <w:rsid w:val="00A767A3"/>
    <w:rsid w:val="00A87029"/>
    <w:rsid w:val="00AA30FB"/>
    <w:rsid w:val="00AA7812"/>
    <w:rsid w:val="00AB065F"/>
    <w:rsid w:val="00AC039D"/>
    <w:rsid w:val="00AC7824"/>
    <w:rsid w:val="00AD0514"/>
    <w:rsid w:val="00AF2B8F"/>
    <w:rsid w:val="00B466EB"/>
    <w:rsid w:val="00B65660"/>
    <w:rsid w:val="00B8608E"/>
    <w:rsid w:val="00B939D2"/>
    <w:rsid w:val="00C1481D"/>
    <w:rsid w:val="00C35F26"/>
    <w:rsid w:val="00CB16D4"/>
    <w:rsid w:val="00CC0ED0"/>
    <w:rsid w:val="00D21C95"/>
    <w:rsid w:val="00D409EC"/>
    <w:rsid w:val="00D665D6"/>
    <w:rsid w:val="00D70F1E"/>
    <w:rsid w:val="00D7519E"/>
    <w:rsid w:val="00D93B70"/>
    <w:rsid w:val="00DB2FA2"/>
    <w:rsid w:val="00E76930"/>
    <w:rsid w:val="00E83F39"/>
    <w:rsid w:val="00E9622A"/>
    <w:rsid w:val="00E973EA"/>
    <w:rsid w:val="00EA7081"/>
    <w:rsid w:val="00EE4991"/>
    <w:rsid w:val="00EF49E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9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896</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23</cp:revision>
  <dcterms:created xsi:type="dcterms:W3CDTF">2025-10-13T15:53:00Z</dcterms:created>
  <dcterms:modified xsi:type="dcterms:W3CDTF">2025-10-15T07:20:00Z</dcterms:modified>
</cp:coreProperties>
</file>