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EDD8A" w14:textId="34BF150C" w:rsidR="0006534D" w:rsidRPr="0034139C" w:rsidRDefault="00EA68B9" w:rsidP="003413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39C">
        <w:rPr>
          <w:rFonts w:ascii="Times New Roman" w:hAnsi="Times New Roman" w:cs="Times New Roman"/>
          <w:b/>
          <w:bCs/>
          <w:sz w:val="28"/>
          <w:szCs w:val="28"/>
        </w:rPr>
        <w:t>Нетехническое Резюме</w:t>
      </w:r>
    </w:p>
    <w:p w14:paraId="421E1079" w14:textId="1BE1C73D" w:rsidR="00EA68B9" w:rsidRPr="0034139C" w:rsidRDefault="00EA68B9" w:rsidP="00EA68B9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Инициатор намечаемой деятельности – </w:t>
      </w:r>
      <w:r w:rsidR="00062E53" w:rsidRPr="00062E53">
        <w:rPr>
          <w:rFonts w:ascii="Times New Roman" w:hAnsi="Times New Roman" w:cs="Times New Roman"/>
          <w:bCs/>
          <w:sz w:val="24"/>
          <w:szCs w:val="24"/>
        </w:rPr>
        <w:t xml:space="preserve">филиал УМГ «Актау» АО «Интергаз </w:t>
      </w:r>
      <w:r w:rsidR="00C90D17">
        <w:rPr>
          <w:rFonts w:ascii="Times New Roman" w:hAnsi="Times New Roman" w:cs="Times New Roman"/>
          <w:bCs/>
          <w:sz w:val="24"/>
          <w:szCs w:val="24"/>
        </w:rPr>
        <w:t>Ц</w:t>
      </w:r>
      <w:r w:rsidR="00062E53" w:rsidRPr="00062E53">
        <w:rPr>
          <w:rFonts w:ascii="Times New Roman" w:hAnsi="Times New Roman" w:cs="Times New Roman"/>
          <w:bCs/>
          <w:sz w:val="24"/>
          <w:szCs w:val="24"/>
        </w:rPr>
        <w:t>ентральная Азия»</w:t>
      </w:r>
      <w:r w:rsidRPr="0034139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3761294" w14:textId="77777777" w:rsidR="00062E53" w:rsidRPr="00062E53" w:rsidRDefault="00062E53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62E53">
        <w:rPr>
          <w:rFonts w:ascii="Times New Roman" w:hAnsi="Times New Roman" w:cs="Times New Roman"/>
          <w:bCs/>
          <w:sz w:val="24"/>
          <w:szCs w:val="24"/>
        </w:rPr>
        <w:t>Юридический адрес РК, Мангистауская область, г.Актау, 12 микрорайон, здание 74/1.</w:t>
      </w:r>
    </w:p>
    <w:p w14:paraId="35926BBC" w14:textId="77777777" w:rsidR="00062E53" w:rsidRDefault="00062E53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62E53">
        <w:rPr>
          <w:rFonts w:ascii="Times New Roman" w:hAnsi="Times New Roman" w:cs="Times New Roman"/>
          <w:bCs/>
          <w:sz w:val="24"/>
          <w:szCs w:val="24"/>
        </w:rPr>
        <w:t>Фактический адрес: РК, Мангистауская область, г.Актау, 12 микрорайон, здание 74.</w:t>
      </w:r>
    </w:p>
    <w:p w14:paraId="1B74F323" w14:textId="22B218AA" w:rsidR="00EA68B9" w:rsidRPr="0034139C" w:rsidRDefault="00EA68B9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9F9F9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БИН </w:t>
      </w:r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>081141004731</w:t>
      </w:r>
      <w:r w:rsidRPr="0034139C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70A038D0" w14:textId="4F9156C9" w:rsidR="00EA68B9" w:rsidRPr="0034139C" w:rsidRDefault="00EA68B9" w:rsidP="00EA68B9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Директор </w:t>
      </w:r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>Джумабаев А.А.</w:t>
      </w:r>
    </w:p>
    <w:p w14:paraId="4DB07F1E" w14:textId="1A921D70" w:rsidR="00EA68B9" w:rsidRPr="0034139C" w:rsidRDefault="00420D0F" w:rsidP="00EA68B9">
      <w:pPr>
        <w:ind w:firstLine="567"/>
        <w:rPr>
          <w:rFonts w:ascii="Times New Roman" w:hAnsi="Times New Roman" w:cs="Times New Roman"/>
          <w:spacing w:val="2"/>
          <w:sz w:val="24"/>
          <w:szCs w:val="24"/>
        </w:rPr>
      </w:pPr>
      <w:hyperlink r:id="rId5" w:history="1">
        <w:r w:rsidR="00EA68B9" w:rsidRPr="0034139C">
          <w:rPr>
            <w:rStyle w:val="a4"/>
            <w:rFonts w:ascii="Times New Roman" w:hAnsi="Times New Roman" w:cs="Times New Roman"/>
            <w:sz w:val="24"/>
            <w:szCs w:val="24"/>
          </w:rPr>
          <w:t>Контакты</w:t>
        </w:r>
      </w:hyperlink>
      <w:r w:rsidR="00EA68B9" w:rsidRPr="0034139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062E53">
        <w:rPr>
          <w:rFonts w:ascii="Times New Roman" w:hAnsi="Times New Roman" w:cs="Times New Roman"/>
          <w:spacing w:val="2"/>
          <w:sz w:val="24"/>
          <w:szCs w:val="24"/>
        </w:rPr>
        <w:t>87015326997</w:t>
      </w:r>
    </w:p>
    <w:p w14:paraId="07098FF9" w14:textId="188C988F" w:rsidR="00EA68B9" w:rsidRPr="0034139C" w:rsidRDefault="00EA68B9" w:rsidP="00EA68B9">
      <w:pPr>
        <w:pStyle w:val="a5"/>
        <w:rPr>
          <w:bCs/>
          <w:szCs w:val="24"/>
        </w:rPr>
      </w:pPr>
      <w:r w:rsidRPr="0034139C">
        <w:rPr>
          <w:szCs w:val="24"/>
          <w:lang w:val="en-US"/>
        </w:rPr>
        <w:t>E</w:t>
      </w:r>
      <w:r w:rsidRPr="0034139C">
        <w:rPr>
          <w:szCs w:val="24"/>
        </w:rPr>
        <w:t>_</w:t>
      </w:r>
      <w:r w:rsidRPr="0034139C">
        <w:rPr>
          <w:szCs w:val="24"/>
          <w:lang w:val="en-US"/>
        </w:rPr>
        <w:t>mail</w:t>
      </w:r>
      <w:r w:rsidRPr="0034139C">
        <w:rPr>
          <w:szCs w:val="24"/>
        </w:rPr>
        <w:t xml:space="preserve">: </w:t>
      </w:r>
      <w:r w:rsidR="00062E53" w:rsidRPr="00062E53">
        <w:rPr>
          <w:spacing w:val="2"/>
          <w:szCs w:val="24"/>
        </w:rPr>
        <w:t>tekeeva@ica.kz</w:t>
      </w:r>
    </w:p>
    <w:p w14:paraId="425854E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Основной ОКЭД: Эксплуатация магистральных газопроводов</w:t>
      </w:r>
    </w:p>
    <w:p w14:paraId="51BE95E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Основной задачей УМГ «Актау» является прием газа в газотранспортную систему «Средняя Азия-Центр», «Окарем-Бейнеу» и обеспечение транзитной транспортировки природного газа, а также поставка для потребителей Мангистауской области РК. </w:t>
      </w:r>
    </w:p>
    <w:p w14:paraId="1788E921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 настоящее время УМГ «Актау» эксплуатирует магистральные газопроводы «Средняя Азия – Центр», «Окарем-Бейнеу», «Бейнеу-Жанаозен», «Жанаозен-Жетыбай-Актау», «Жетыбай-Курык» общей протяженностью 2344,742 км, газопроводы-отводы на автоматических газораспределительных станциях протяженностью 252,99 км, а также 37 АГРС для газоснабжения потребителей г. Актау и Мангистауской области.</w:t>
      </w:r>
    </w:p>
    <w:p w14:paraId="7A644B49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В состав УМГ «Актау» входят 3 линейно-производственных управления (Жанаозенское ЛПУ, Бейнеуское ЛПУ, Опорненское ЛПУ) и 1 отдаленная промплощадка Жанаозенского ЛПУ. </w:t>
      </w:r>
    </w:p>
    <w:p w14:paraId="74A9277A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Жанаозенское линейное производственное управление (Жанаозенский ЛПУ) входит в состав Управления магистральных газопроводов (УМГ) «Актау» АО «Интергаз Центральная Азия».</w:t>
      </w:r>
    </w:p>
    <w:p w14:paraId="185C6C2F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Газ для транспортировки на КС «Жанаозен» поступает с месторождений Республики Туркменистан от ГП «Туркментрансгаз» по магистральному газопроводу (МГ) «Окарем- Бейнеу». Жанаозенское ЛПУ обслуживает МГ от границы Турменистана 527 км до 820 км.</w:t>
      </w:r>
    </w:p>
    <w:p w14:paraId="2CAEFA1A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В настоящее время, в связи с тем, что от ГП «Туркментрансгаз» природный газ не поступает, МГ «Окарем-Бейнеу» эксплуатируется в двух направлениях. При увеличении </w:t>
      </w:r>
      <w:proofErr w:type="gramStart"/>
      <w:r w:rsidRPr="00420D0F">
        <w:rPr>
          <w:rFonts w:eastAsiaTheme="minorHAnsi"/>
          <w:color w:val="000000"/>
          <w:lang w:eastAsia="en-US"/>
        </w:rPr>
        <w:t>объема  газа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со стороны Бекдаш, его транспортировка по МГ производится от Бекдаша на КС «Бейнеу». При уменьшении объемов транспортируемого газа со стороны Бекдаш, для покрытия    неравномерности    поступления     газа    в     г.     Актау    его     подача    по МГ «Окарем-Бейнеу» предусматривается со стороны ЛПУ «Бейнеу», т.е. в обратном направлении.</w:t>
      </w:r>
    </w:p>
    <w:p w14:paraId="4FBD85A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Объекты Жанаозенского ЛПУ дислоцируется на отдельно расположенных площадках:</w:t>
      </w:r>
    </w:p>
    <w:p w14:paraId="34BDE33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Промплощадка №1 - Компрессорной станции (КС) «Жанаозен» предназначена для промежуточного поднятия давления транспортируемого газа по газопроводу Окарем-Бейнеу и расположена на 527-820 км трассы магистрального газопровода. Площадка расположена в г. Жанаозен Мангистауской области на расстоянии 10 км от промышленной части города, в юго-восточном направлении   к   пос.   Куланды.   </w:t>
      </w:r>
    </w:p>
    <w:p w14:paraId="73C3672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Расстояние до Каспийского моря – 77,5 км.</w:t>
      </w:r>
    </w:p>
    <w:p w14:paraId="2A588A99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Площадка №2 - Общежитие Жанаозенского ЛПУ. Расположено на расстоянии 1 км от компрессорной станции. </w:t>
      </w:r>
    </w:p>
    <w:p w14:paraId="21C9E42E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Расстояние до Каспийского моря – 76,5 км.</w:t>
      </w:r>
    </w:p>
    <w:p w14:paraId="59436EF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Ситуационная карта-схема района расположения общежития Жанаозенского ЛПУ представлена в Приложении 5.</w:t>
      </w:r>
    </w:p>
    <w:p w14:paraId="0B049A54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Промышленная площадка №3. Расположены две АГРС: АГРС (тип АГРС 1/3 СПН) АО “КТО” и АГРС (тип АГРС 1/3) на </w:t>
      </w:r>
      <w:proofErr w:type="gramStart"/>
      <w:r w:rsidRPr="00420D0F">
        <w:rPr>
          <w:rFonts w:eastAsiaTheme="minorHAnsi"/>
          <w:color w:val="000000"/>
          <w:lang w:eastAsia="en-US"/>
        </w:rPr>
        <w:t>с.«</w:t>
      </w:r>
      <w:proofErr w:type="gramEnd"/>
      <w:r w:rsidRPr="00420D0F">
        <w:rPr>
          <w:rFonts w:eastAsiaTheme="minorHAnsi"/>
          <w:color w:val="000000"/>
          <w:lang w:eastAsia="en-US"/>
        </w:rPr>
        <w:t>Сай-Утес». Промплощадка находится на расстоянии 1,3 км от поселка Сай-Утес, соседствующей промышленной зоны с близи площадки нет. Промплощадка располагается на расстояниях 818 и 819 км магистрального газопровода Туркменистан-Казахстан (Окарем-Бейнеу). Расстояние до Каспийского моря 200 км. Ситуационная карта-схема района расположения представлена в Приложении 5.</w:t>
      </w:r>
    </w:p>
    <w:p w14:paraId="4AA13C84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lastRenderedPageBreak/>
        <w:t>Промышленная площадка №4. АГРС (тип Кавказ-5) на с.Акшымырау- Кызан находится в Мангистауском районе Мангистауской области на расстоянии 1,4 км МГ «Окарем-Бейнеу» и 1,4 км западнее от поселка Сай-Утес. Расстояние до Каспийского моря 200 км. Ситуационная карта-схема района расположения в Приложении 5.</w:t>
      </w:r>
    </w:p>
    <w:p w14:paraId="269B700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Промышленная площадка №5. АГРС (тип Кавказ-5) на с.Шолтобе-Уштаган располагается в Мангистауском районе Мангистауской области на расстоянии 12 км восточнее от поселка Сазды, это ближайшая жилая зона в округе, промышленной зоны в округе нет. Ситуационная карта-схема района расположения АГРС «Шолтобе-Уштаган» представлена в Приложении 5. </w:t>
      </w:r>
    </w:p>
    <w:p w14:paraId="3426128A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Линейная часть Жанаозенского ЛПУ представляет собой одну нитку МГ «Окарем-Бейнеу» диаметром 1020, 1220 мм и 2 ветки лупинга диаметром 1020 мм. Граница обслуживания магистрального газопровода Жанаозенского ЛПУ от 527 до 820 км.</w:t>
      </w:r>
    </w:p>
    <w:p w14:paraId="33A208F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К Жанаозенской ЛПУ относятся следующие строительные объекты:</w:t>
      </w:r>
    </w:p>
    <w:p w14:paraId="6A3F5EA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Рабочий проект “Капитальный ремонт 1-нитки МГ «Бейнеу-Жанаозен» в Мангистауской области» (период эксплуатации) включающий следующие основные объекты: </w:t>
      </w:r>
    </w:p>
    <w:p w14:paraId="1C1EDB80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1.</w:t>
      </w:r>
      <w:r w:rsidRPr="00420D0F">
        <w:rPr>
          <w:rFonts w:eastAsiaTheme="minorHAnsi"/>
          <w:color w:val="000000"/>
          <w:lang w:eastAsia="en-US"/>
        </w:rPr>
        <w:tab/>
        <w:t>1-я нитка МГ «Бейнеу-Жанаозен» на участке 692-999.8 км. В состав Жанаозенский ЛПУ войдет только 1 пусковой комплекс. В состав 1-й нитки АГРС «Сай-Утес».</w:t>
      </w:r>
    </w:p>
    <w:p w14:paraId="66D78521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Предусмотренная АГРС представляет собой блочно-комплектное оборудование полной заводской готовности. </w:t>
      </w:r>
    </w:p>
    <w:p w14:paraId="751B35B3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АГРС обеспечивает выполнение следующих основных функций:</w:t>
      </w:r>
    </w:p>
    <w:p w14:paraId="2FE817C1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>очистку газа от капельной влаги и механических примесей;</w:t>
      </w:r>
    </w:p>
    <w:p w14:paraId="75E4072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>подогрев газа;</w:t>
      </w:r>
    </w:p>
    <w:p w14:paraId="47F42EC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>измерение расхода газа с регистрацией по всему диапазону выходного давления;</w:t>
      </w:r>
    </w:p>
    <w:p w14:paraId="7DB44636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>редуцирование давления газа до заданного;</w:t>
      </w:r>
    </w:p>
    <w:p w14:paraId="07F67A5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>одоризация природного газа;</w:t>
      </w:r>
    </w:p>
    <w:p w14:paraId="15C0CEE7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>управление режимами работы технологического оборудования станции;</w:t>
      </w:r>
    </w:p>
    <w:p w14:paraId="20CE1F3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</w:t>
      </w:r>
      <w:r w:rsidRPr="00420D0F">
        <w:rPr>
          <w:rFonts w:eastAsiaTheme="minorHAnsi"/>
          <w:color w:val="000000"/>
          <w:lang w:eastAsia="en-US"/>
        </w:rPr>
        <w:tab/>
        <w:t xml:space="preserve">выдачу аварийного обобщенного сигнала при нарушениях режимов работы.  </w:t>
      </w:r>
    </w:p>
    <w:p w14:paraId="1E90CD76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От границ магистрального газопровода и планируемых площадок располагаются следующие селитебные зоны:</w:t>
      </w:r>
    </w:p>
    <w:p w14:paraId="3426F618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западной стороны расположен п. Бейнеу на расстоянии 1,147 км;</w:t>
      </w:r>
    </w:p>
    <w:p w14:paraId="55BBC278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северо-западной стороны расположена ст. Устюрт на расстоянии 2,127 км;</w:t>
      </w:r>
    </w:p>
    <w:p w14:paraId="1F2067F0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северо-западной стороны расположена ст. Сай-Отес на расстоянии 1,863 км;</w:t>
      </w:r>
    </w:p>
    <w:p w14:paraId="39401CB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западной стороны расположено с. Узень на расстоянии 2,051 км;</w:t>
      </w:r>
    </w:p>
    <w:p w14:paraId="6B9A204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северо-западной стороны расположен г. Жанаозен на расстоянии 1,855 км;</w:t>
      </w:r>
    </w:p>
    <w:p w14:paraId="12D4F313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юго-восточной стороны расположено с. Куланды на расстоянии 2,462 км.</w:t>
      </w:r>
    </w:p>
    <w:p w14:paraId="0E7DEB0F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proofErr w:type="gramStart"/>
      <w:r w:rsidRPr="00420D0F">
        <w:rPr>
          <w:rFonts w:eastAsiaTheme="minorHAnsi"/>
          <w:color w:val="000000"/>
          <w:lang w:eastAsia="en-US"/>
        </w:rPr>
        <w:t>От границы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проектируемой АГРС селитебная зона располагается на расстоянии:</w:t>
      </w:r>
    </w:p>
    <w:p w14:paraId="0FAF590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 северо-западной стороны на расстоянии 1,466 км расположена ст. Сай-Отес.</w:t>
      </w:r>
    </w:p>
    <w:p w14:paraId="54F7D67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Ближайшей ООПТ к объектам проектирования относится Карагие-Каракольский государственный (зоологический) заказник республиканского значения, расположенный на расстоянии около 9 км от с. Курык.</w:t>
      </w:r>
    </w:p>
    <w:p w14:paraId="42EC249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Расстояние до Каспийского моря 175 км, до р. Манаши 134 км.</w:t>
      </w:r>
    </w:p>
    <w:p w14:paraId="7843C07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На землях, отведенных под реализацию проекта «Капитальный ремонт 1-нитки МГ «Бейнеу-Жанаозен»» в ходе проведения археологической экспертизы, было выявлено 3 объекта ИКН, признанных памятниками археологии, в том числе (Приложение 8):</w:t>
      </w:r>
    </w:p>
    <w:p w14:paraId="5A3C783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Курагнный могильник РЖВ (объект №1, курганы №№ 1, 2, 3, 4);</w:t>
      </w:r>
    </w:p>
    <w:p w14:paraId="5CDDADA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Одиночный курган РЖВ (объект №2, курганы № 5);</w:t>
      </w:r>
    </w:p>
    <w:p w14:paraId="3F5CA6CE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Курганный могильник РЖВ (объект №3, курганы №№ 6, 7, 8, 9, 10, 11, 12).</w:t>
      </w:r>
    </w:p>
    <w:p w14:paraId="6078085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Полоса отвода земель нарушает охранную зону курганов №№ 1, 2, 3.</w:t>
      </w:r>
    </w:p>
    <w:p w14:paraId="77E429A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 целях обеспечения сохранности, необходимо соблюдать рекомендуемые мероприятия:</w:t>
      </w:r>
    </w:p>
    <w:p w14:paraId="071F9D4E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проведение комплекса научно-исследовательских работ по полному научному изучению с последующим проведение историко-культурной экспертизы;</w:t>
      </w:r>
    </w:p>
    <w:p w14:paraId="62E26983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соблюдение охранной зоны в размере 40 м от границ выявленных памятников археологии;</w:t>
      </w:r>
    </w:p>
    <w:p w14:paraId="22F6BEE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- в случае обнаружения остатков древних сооружений, артефактов, костей и иных признаков древней материальной культуры, необходимо остановить все строительные работы и сообщать о находках в местный исполнительный орган или в ТОО «Археологическая экспедиция».</w:t>
      </w:r>
    </w:p>
    <w:p w14:paraId="6F0758FF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lastRenderedPageBreak/>
        <w:t>Заключение археологической экспертизы согласовано ГУ «Мангистауский государственный историко-культурный заповедник» Управления культуры, развития языков и архивного дела Мангистауской области» (письмо от 30 апреля 2021 года № 158), представлено в разделе ОВОС.</w:t>
      </w:r>
    </w:p>
    <w:p w14:paraId="07EE12BF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Все сопутствующие заключения по проекту ОВОС представлены в прикрепленном проекте ОВОС, прошедшем экспертизу РГП "Госэкспертиза".</w:t>
      </w:r>
    </w:p>
    <w:p w14:paraId="5351D046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«Строительство 2 нитки магистрального газопровода «Бейнеу-Жанаозен» в Мангистауской области» (период эксплуатации). </w:t>
      </w:r>
    </w:p>
    <w:p w14:paraId="04AFF1B0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В состав объекта входят: </w:t>
      </w:r>
    </w:p>
    <w:p w14:paraId="6CD7A1C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Линейная часть магистрального газопровода «Бейнеу-Жанаозен» Ду1020 мм длиной 308 км;</w:t>
      </w:r>
    </w:p>
    <w:p w14:paraId="276591D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Основное и вспомогательное оборудования и сооружений сопутствующие к магистральному газопроводу сопутствующие к магистральному газопроводу;</w:t>
      </w:r>
    </w:p>
    <w:p w14:paraId="7E993421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ВЛЭП;</w:t>
      </w:r>
    </w:p>
    <w:p w14:paraId="5671D15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Средства ЭХЗ.</w:t>
      </w:r>
    </w:p>
    <w:p w14:paraId="67781007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Подключение вновь построенного магистрального газопровода «Бейнеу-Жанаозен» к действующим магистральным газопроводам в районе с. Бейнеу и г. Жанаозен.</w:t>
      </w:r>
    </w:p>
    <w:p w14:paraId="040BC333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Дополнительное подключение газопроводов-отводов АГРС подключенные к действующему параллельно лежащему магистральному газопроводу «Окарем-Бейнеу».</w:t>
      </w:r>
    </w:p>
    <w:p w14:paraId="524C2928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Трасса 2-й нитки МГ «Бейнеу-Жанаозен» пересекает три административных района: Бейнеуский, Мангистауский и Каракиянский.</w:t>
      </w:r>
    </w:p>
    <w:p w14:paraId="4ED3D51F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Для строительства МГ во временное пользование сроком 25 лет выделено – 409,4582 га, из них 386,5935 га – пастбища (копии правоустанавливающих документов на земельные участки представлены в Приложении 2).</w:t>
      </w:r>
    </w:p>
    <w:p w14:paraId="2FA3EE30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От границ магистрального газопровода и планируемых площадок располагаются следующие </w:t>
      </w:r>
      <w:proofErr w:type="gramStart"/>
      <w:r w:rsidRPr="00420D0F">
        <w:rPr>
          <w:rFonts w:eastAsiaTheme="minorHAnsi"/>
          <w:color w:val="000000"/>
          <w:lang w:eastAsia="en-US"/>
        </w:rPr>
        <w:t>селитебные  зоны</w:t>
      </w:r>
      <w:proofErr w:type="gramEnd"/>
      <w:r w:rsidRPr="00420D0F">
        <w:rPr>
          <w:rFonts w:eastAsiaTheme="minorHAnsi"/>
          <w:color w:val="000000"/>
          <w:lang w:eastAsia="en-US"/>
        </w:rPr>
        <w:t>:</w:t>
      </w:r>
    </w:p>
    <w:p w14:paraId="3EF57ECE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- с западной </w:t>
      </w:r>
      <w:proofErr w:type="gramStart"/>
      <w:r w:rsidRPr="00420D0F">
        <w:rPr>
          <w:rFonts w:eastAsiaTheme="minorHAnsi"/>
          <w:color w:val="000000"/>
          <w:lang w:eastAsia="en-US"/>
        </w:rPr>
        <w:t>стороны  расположен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п. Бейнеу на расстоянии 1,147 км;</w:t>
      </w:r>
    </w:p>
    <w:p w14:paraId="6B0E76B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- с северо-западной </w:t>
      </w:r>
      <w:proofErr w:type="gramStart"/>
      <w:r w:rsidRPr="00420D0F">
        <w:rPr>
          <w:rFonts w:eastAsiaTheme="minorHAnsi"/>
          <w:color w:val="000000"/>
          <w:lang w:eastAsia="en-US"/>
        </w:rPr>
        <w:t>стороны  расположена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ст. Устюрт на расстоянии 2,127 км;</w:t>
      </w:r>
    </w:p>
    <w:p w14:paraId="24EDD23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- с северо-западной </w:t>
      </w:r>
      <w:proofErr w:type="gramStart"/>
      <w:r w:rsidRPr="00420D0F">
        <w:rPr>
          <w:rFonts w:eastAsiaTheme="minorHAnsi"/>
          <w:color w:val="000000"/>
          <w:lang w:eastAsia="en-US"/>
        </w:rPr>
        <w:t>стороны  расположена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ст. Сай-Отес на расстоянии 1,863 км;</w:t>
      </w:r>
    </w:p>
    <w:p w14:paraId="52A6E34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- с западной </w:t>
      </w:r>
      <w:proofErr w:type="gramStart"/>
      <w:r w:rsidRPr="00420D0F">
        <w:rPr>
          <w:rFonts w:eastAsiaTheme="minorHAnsi"/>
          <w:color w:val="000000"/>
          <w:lang w:eastAsia="en-US"/>
        </w:rPr>
        <w:t>стороны  расположено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с. Узень на расстоянии 2,051 км;</w:t>
      </w:r>
    </w:p>
    <w:p w14:paraId="676AA77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- с северо-западной </w:t>
      </w:r>
      <w:proofErr w:type="gramStart"/>
      <w:r w:rsidRPr="00420D0F">
        <w:rPr>
          <w:rFonts w:eastAsiaTheme="minorHAnsi"/>
          <w:color w:val="000000"/>
          <w:lang w:eastAsia="en-US"/>
        </w:rPr>
        <w:t>стороны  расположен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г. Жанаозен на расстоянии 1,855 км;</w:t>
      </w:r>
    </w:p>
    <w:p w14:paraId="01A827D4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- с юго-восточной </w:t>
      </w:r>
      <w:proofErr w:type="gramStart"/>
      <w:r w:rsidRPr="00420D0F">
        <w:rPr>
          <w:rFonts w:eastAsiaTheme="minorHAnsi"/>
          <w:color w:val="000000"/>
          <w:lang w:eastAsia="en-US"/>
        </w:rPr>
        <w:t>стороны  расположено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с. Куланды на расстоянии 2,462 км.</w:t>
      </w:r>
    </w:p>
    <w:p w14:paraId="2B0C931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Расстояние от 2 нитки до Каспийского моря </w:t>
      </w:r>
      <w:proofErr w:type="gramStart"/>
      <w:r w:rsidRPr="00420D0F">
        <w:rPr>
          <w:rFonts w:eastAsiaTheme="minorHAnsi"/>
          <w:color w:val="000000"/>
          <w:lang w:eastAsia="en-US"/>
        </w:rPr>
        <w:t>составляет  63</w:t>
      </w:r>
      <w:proofErr w:type="gramEnd"/>
      <w:r w:rsidRPr="00420D0F">
        <w:rPr>
          <w:rFonts w:eastAsiaTheme="minorHAnsi"/>
          <w:color w:val="000000"/>
          <w:lang w:eastAsia="en-US"/>
        </w:rPr>
        <w:t>,3 км.</w:t>
      </w:r>
    </w:p>
    <w:p w14:paraId="1C7366C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Ближайшей ООПТ к объектам проектирования относится Карагие-Каракольский государственный (зоологический) заказник республиканского значения, расположенный на расстоянии около 9 км от с. Курык.</w:t>
      </w:r>
    </w:p>
    <w:p w14:paraId="123A6641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Участок строительства объекта не относится к землям государственного лесного фонда и особо охраняемым природным территориям, </w:t>
      </w:r>
      <w:proofErr w:type="gramStart"/>
      <w:r w:rsidRPr="00420D0F">
        <w:rPr>
          <w:rFonts w:eastAsiaTheme="minorHAnsi"/>
          <w:color w:val="000000"/>
          <w:lang w:eastAsia="en-US"/>
        </w:rPr>
        <w:t>растения и животные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занесенные в Красную книгу Республики Казахстан отсутствуют.</w:t>
      </w:r>
    </w:p>
    <w:p w14:paraId="65717CC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Все сопутствующие согласования получены во время прохождения экспертизы в РГП "Госэкспертиза".</w:t>
      </w:r>
    </w:p>
    <w:p w14:paraId="4DCDBAF9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Рабочий проект «Реконструкция КС «Бейнеу» и КС «Жанаозен»» (период эксплуатации).</w:t>
      </w:r>
    </w:p>
    <w:p w14:paraId="688AB33A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Информация с проекта «Оценка воздействия на окружающую среду рабочему проекту «Реконструкция КС «Бейнеу» и КС «Жанаозен» приведена на период эксплуатации.</w:t>
      </w:r>
    </w:p>
    <w:p w14:paraId="2C0AB0EE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КС «Бейнеу» входит в состав Бейнеуского ЛПУ и эксплуатируется в системе магистральных газопроводов Средняя Азия-Центр (САЦ) с 60-х годов прошлого века на </w:t>
      </w:r>
      <w:proofErr w:type="gramStart"/>
      <w:r w:rsidRPr="00420D0F">
        <w:rPr>
          <w:rFonts w:eastAsiaTheme="minorHAnsi"/>
          <w:color w:val="000000"/>
          <w:lang w:eastAsia="en-US"/>
        </w:rPr>
        <w:t>участке  Бейнеу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-Опорная и МГ Окайрем-Бейнеу. </w:t>
      </w:r>
    </w:p>
    <w:p w14:paraId="313273C7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Бейнеуское линейное производственное управление (Бейнеуское ЛПУ) входит в состав Управления магистральных газопроводов (УМГ) «Актау» АО «Интергаз Центральная Азия». </w:t>
      </w:r>
    </w:p>
    <w:p w14:paraId="7790608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КС «Бейнеу» расположена в Бейнеуском районе Мангистауской области Республики Казахстан, в северо-восточном направлении от административного центра Бейнеуского района, с.Бейнеу, Бейнеуского район, Мангистауской оласти и юго-западнее от ГИС «Бейнеу». Село Бейнеу является узловой железнодорожной станцией Республики Казахстан. </w:t>
      </w:r>
    </w:p>
    <w:p w14:paraId="78D4D118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На </w:t>
      </w:r>
      <w:proofErr w:type="gramStart"/>
      <w:r w:rsidRPr="00420D0F">
        <w:rPr>
          <w:rFonts w:eastAsiaTheme="minorHAnsi"/>
          <w:color w:val="000000"/>
          <w:lang w:eastAsia="en-US"/>
        </w:rPr>
        <w:t>промплощадке  КС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«Бейнеу» находятся ЛПДС Бейнеу «Казтрансойл» (тип АГРС 3), ГРП Бейнеу (тип ТР–886) и АГРС с.Бейнеу (тип Кавказ–15), которые расположены на расстоянии 45 м от КС.</w:t>
      </w:r>
    </w:p>
    <w:p w14:paraId="176677D6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 НДВ Жанаозенское ЛПУ добавились только КС «Жанаозен».</w:t>
      </w:r>
    </w:p>
    <w:p w14:paraId="511018C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lastRenderedPageBreak/>
        <w:t>КС «Жанаозен» входит в состав Жанаозенского линейного производственного управления (Жанаозенское ЛПУ) и входит в состав Управления магистральных газопроводов (УМГ) «Актау» АО «Интергаз Центральная Азия».</w:t>
      </w:r>
    </w:p>
    <w:p w14:paraId="71940B98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КС «Жанаозен» расположена на 527-820 км от трассы магистрального газопровода, в г.Жанаозен Мангистауской области на расстоянии около 10 км от города в юго-восточном направлении к п. Куланды и предназначена для промежуточного поднятия давления транспортируемого газа по газопроводу Окайрем-Бейнеу. </w:t>
      </w:r>
    </w:p>
    <w:p w14:paraId="578DBCF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Основным объектом компрессорной станции является компрессорный цех, в котором установлены газоперекачивающие агрегаты (ГПА) и вспомогательные системы, обеспечивающие эксплуатацию ГПА и другого оборудования КС.</w:t>
      </w:r>
    </w:p>
    <w:p w14:paraId="7397BF46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Действующая КС «Жанаозен» расположена на 527-820 км от трассы магистрального газопровода, в г. Жанаозен Мангистауской области на расстоянии около 10 км от города в юго-восточном направлении к п. Куланды. </w:t>
      </w:r>
    </w:p>
    <w:p w14:paraId="1F91D552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Расстояние до областного центра, г.Актау, 147 км. Сообщение с ним </w:t>
      </w:r>
      <w:proofErr w:type="gramStart"/>
      <w:r w:rsidRPr="00420D0F">
        <w:rPr>
          <w:rFonts w:eastAsiaTheme="minorHAnsi"/>
          <w:color w:val="000000"/>
          <w:lang w:eastAsia="en-US"/>
        </w:rPr>
        <w:t>по автомобильной областного значения</w:t>
      </w:r>
      <w:proofErr w:type="gramEnd"/>
      <w:r w:rsidRPr="00420D0F">
        <w:rPr>
          <w:rFonts w:eastAsiaTheme="minorHAnsi"/>
          <w:color w:val="000000"/>
          <w:lang w:eastAsia="en-US"/>
        </w:rPr>
        <w:t>.</w:t>
      </w:r>
    </w:p>
    <w:p w14:paraId="38B16C0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 xml:space="preserve">КС «Жанаозен» и реверсная линия КС «Жанаозен» будет размещена на расстоянии более 77,5 км </w:t>
      </w:r>
      <w:proofErr w:type="gramStart"/>
      <w:r w:rsidRPr="00420D0F">
        <w:rPr>
          <w:rFonts w:eastAsiaTheme="minorHAnsi"/>
          <w:color w:val="000000"/>
          <w:lang w:eastAsia="en-US"/>
        </w:rPr>
        <w:t>от  берега</w:t>
      </w:r>
      <w:proofErr w:type="gramEnd"/>
      <w:r w:rsidRPr="00420D0F">
        <w:rPr>
          <w:rFonts w:eastAsiaTheme="minorHAnsi"/>
          <w:color w:val="000000"/>
          <w:lang w:eastAsia="en-US"/>
        </w:rPr>
        <w:t xml:space="preserve"> Каспийского моря.</w:t>
      </w:r>
    </w:p>
    <w:p w14:paraId="098B1095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Действующие КС «Бейнеу» и КС «Жанаозен», а также проектируемая реверсная линия компрессорной станции «Жанаозен» с подключением от выходного шлейфа к действующему магистральному газопроводу Лупинг «Окайрем-Бейнеу» расположены за границей водоохранной зоны Каспийского моря, установленного размера 2000 м на территории районов п. Курык Мангистауской области.</w:t>
      </w:r>
    </w:p>
    <w:p w14:paraId="3707E026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Ближайшей ООПТ к КС «Жаназен» относится Кендерли-Каясанская государственная заповедная зона на расстоянии 3828 м.</w:t>
      </w:r>
    </w:p>
    <w:p w14:paraId="442ED83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На территории объектов реконструкции КС «Жанаозен» и строительства проектируемой реверсной линии КС «Жанаозен» согласно заключению Археологической экспедиции памятников истории и культуры не обнаружено.</w:t>
      </w:r>
    </w:p>
    <w:p w14:paraId="542A6C1C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Все сопутствующие согласования получены во время прохождения экспертизы в РГП "Госэкспертиза".</w:t>
      </w:r>
    </w:p>
    <w:p w14:paraId="7A8240BD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Лесов и сельскохозяйственных угодий вокруг площадок предприятия нет.</w:t>
      </w:r>
    </w:p>
    <w:p w14:paraId="426E34B0" w14:textId="71FA994E" w:rsidR="00EA68B9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Посты наблюдений за загрязнением атмосферного воздуха на площадке предприятия отсутствуют.</w:t>
      </w:r>
    </w:p>
    <w:p w14:paraId="001B1793" w14:textId="77777777" w:rsidR="00062E53" w:rsidRPr="0034139C" w:rsidRDefault="00062E53" w:rsidP="00062E53">
      <w:pPr>
        <w:pStyle w:val="21"/>
      </w:pPr>
    </w:p>
    <w:p w14:paraId="18E80CFF" w14:textId="77777777" w:rsidR="00EA68B9" w:rsidRPr="0034139C" w:rsidRDefault="00EA68B9" w:rsidP="00062E53">
      <w:pPr>
        <w:pStyle w:val="a7"/>
        <w:jc w:val="center"/>
        <w:rPr>
          <w:b/>
          <w:bCs/>
          <w:i/>
          <w:iCs/>
          <w:color w:val="002060"/>
        </w:rPr>
      </w:pPr>
      <w:r w:rsidRPr="0034139C">
        <w:rPr>
          <w:b/>
          <w:bCs/>
          <w:i/>
          <w:iCs/>
          <w:color w:val="002060"/>
        </w:rPr>
        <w:t>Категория и класс опасности объекта</w:t>
      </w:r>
    </w:p>
    <w:p w14:paraId="70D0B6B3" w14:textId="5AB941D1" w:rsidR="0034139C" w:rsidRDefault="00062E53" w:rsidP="00062E5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4139C" w:rsidSect="0034139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В соответствии с Приложением 2 Экологического кодекса Республики Казахстан от 2 января 2021 года No 400-VI ЗРК объект относится ко II категории хозяйственной деятельности объектов, оказывающих негативное воздействие на окружающую среду (Раздел 2. Виды намечаемой деятельности и иные критерии, на основании которых осуществляется отнесение объектов, оказывающих негативное воздействие на окружающую среду, к объектам II категории, п.п. 7.13. транспортировка по магистральным трубопроводам газа, продуктов переработки газа, нефти и нефтепродуктов).</w:t>
      </w:r>
    </w:p>
    <w:p w14:paraId="26381B12" w14:textId="42271801" w:rsidR="00EA68B9" w:rsidRPr="0034139C" w:rsidRDefault="00EA68B9" w:rsidP="00EA68B9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33CEFFF" w14:textId="1B5B5F4A" w:rsidR="00EA68B9" w:rsidRPr="0034139C" w:rsidRDefault="00EA68B9" w:rsidP="00EA68B9">
      <w:pPr>
        <w:pStyle w:val="a9"/>
        <w:rPr>
          <w:rFonts w:ascii="Times New Roman" w:hAnsi="Times New Roman"/>
          <w:szCs w:val="24"/>
        </w:rPr>
      </w:pPr>
      <w:bookmarkStart w:id="0" w:name="_Toc187789195"/>
      <w:r w:rsidRPr="0034139C">
        <w:rPr>
          <w:rFonts w:ascii="Times New Roman" w:hAnsi="Times New Roman"/>
          <w:szCs w:val="24"/>
        </w:rPr>
        <w:t xml:space="preserve">Рисунок 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STYLEREF 1 \s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>.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SEQ Рисунок \* ARABIC \s 1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 xml:space="preserve"> Карта месторасположения предприятия</w:t>
      </w:r>
      <w:bookmarkEnd w:id="0"/>
    </w:p>
    <w:p w14:paraId="73CFDA42" w14:textId="77777777" w:rsidR="00EA68B9" w:rsidRPr="0034139C" w:rsidRDefault="00EA68B9" w:rsidP="00EA68B9">
      <w:pPr>
        <w:pStyle w:val="21"/>
      </w:pPr>
    </w:p>
    <w:p w14:paraId="07F500E7" w14:textId="50884202" w:rsidR="00EA68B9" w:rsidRPr="0034139C" w:rsidRDefault="00C90D17" w:rsidP="00EA68B9">
      <w:pPr>
        <w:pStyle w:val="21"/>
        <w:ind w:firstLine="0"/>
        <w:rPr>
          <w:b/>
          <w:iCs/>
          <w:color w:val="000000" w:themeColor="text1"/>
        </w:rPr>
      </w:pPr>
      <w:r w:rsidRPr="008A1641">
        <w:rPr>
          <w:noProof/>
        </w:rPr>
        <w:drawing>
          <wp:inline distT="0" distB="0" distL="0" distR="0" wp14:anchorId="16591BB3" wp14:editId="738854C0">
            <wp:extent cx="9356278" cy="4099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861" cy="41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8B9" w:rsidRPr="0034139C">
        <w:br w:type="page"/>
      </w:r>
    </w:p>
    <w:p w14:paraId="10F54FAA" w14:textId="77777777" w:rsidR="00EA68B9" w:rsidRPr="0034139C" w:rsidRDefault="00EA68B9" w:rsidP="00EA68B9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  <w:sectPr w:rsidR="00EA68B9" w:rsidRPr="0034139C" w:rsidSect="00AB3A1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7B0021D5" w14:textId="77777777" w:rsidR="00EA68B9" w:rsidRPr="0034139C" w:rsidRDefault="00EA68B9" w:rsidP="00EA68B9">
      <w:pPr>
        <w:pStyle w:val="2"/>
        <w:rPr>
          <w:rFonts w:ascii="Times New Roman" w:hAnsi="Times New Roman" w:cs="Times New Roman"/>
          <w:szCs w:val="24"/>
          <w:shd w:val="clear" w:color="auto" w:fill="FFFFFF"/>
        </w:rPr>
      </w:pPr>
      <w:bookmarkStart w:id="1" w:name="_Toc187789106"/>
      <w:r w:rsidRPr="0034139C">
        <w:rPr>
          <w:rFonts w:ascii="Times New Roman" w:hAnsi="Times New Roman" w:cs="Times New Roman"/>
          <w:szCs w:val="24"/>
          <w:shd w:val="clear" w:color="auto" w:fill="FFFFFF"/>
        </w:rPr>
        <w:lastRenderedPageBreak/>
        <w:t>1.3. Источники и масштабы расчетного химического загрязнения.</w:t>
      </w:r>
      <w:bookmarkEnd w:id="1"/>
    </w:p>
    <w:p w14:paraId="6681E950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Расчет проведен на УПРЗА ЭРА v 3.0 фирмы НПП "Логос-Плюс", Новосибирск</w:t>
      </w:r>
    </w:p>
    <w:p w14:paraId="20E08D5D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Расчет выполнен ТОО «Экологический центр проектирования».</w:t>
      </w:r>
    </w:p>
    <w:p w14:paraId="619BE075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Расчет величин приземных концентраций загрязняющих веществ в атмосферном воздухе (ПДК) проведен в соответствии с РНД 211.2.01.01-97 «Методика расчета концентраций в атмосферном воздухе вредных веществ, содержащихся в выбросах предприятий». Алматы, 1997 г.</w:t>
      </w:r>
    </w:p>
    <w:p w14:paraId="33FEC0C5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В соответствии с Санитарными правилами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 приказа и.о. Министра здравоохранения Республики Казахстан от 11 января 2022 года № ҚР ДСМ-2 размер СЗЗ устанавливается в каждом конкретном случае (в том числе при выборе земельного участка), с расчетами ожидаемого загрязнения атмосферного воздуха (с учетом фоновых концентраций загрязняющих веществ в атмосферном воздухе (далее – фоновая концентрация)).</w:t>
      </w:r>
    </w:p>
    <w:p w14:paraId="4F361E5B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Санитарно-защитная зона установлена непосредственно от источников загрязнения атмосферы.</w:t>
      </w:r>
    </w:p>
    <w:p w14:paraId="6A376C43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 xml:space="preserve">Минимальная </w:t>
      </w:r>
      <w:proofErr w:type="gramStart"/>
      <w:r w:rsidRPr="00420D0F">
        <w:rPr>
          <w:rFonts w:ascii="Times New Roman" w:hAnsi="Times New Roman" w:cs="Times New Roman"/>
          <w:sz w:val="24"/>
          <w:szCs w:val="24"/>
        </w:rPr>
        <w:t>нормативная  санитарно</w:t>
      </w:r>
      <w:proofErr w:type="gramEnd"/>
      <w:r w:rsidRPr="00420D0F">
        <w:rPr>
          <w:rFonts w:ascii="Times New Roman" w:hAnsi="Times New Roman" w:cs="Times New Roman"/>
          <w:sz w:val="24"/>
          <w:szCs w:val="24"/>
        </w:rPr>
        <w:t>-защитная  зона  для  Жанаозенского  ЛПУ УМГ «Актау» принимается согласно санитарно-эпидемиологическому заключению №378 от 04.12.2014 г. и составляет:</w:t>
      </w:r>
    </w:p>
    <w:p w14:paraId="6B41330F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Минимальная   нормативная   санитарно-защитная   зона   для   Жанаозенского    ЛПУ УМГ «Актау» принимается согласно санитарно-эпидемиологическому заключению №494 от 21.10.2013 г. и составляет:</w:t>
      </w:r>
    </w:p>
    <w:p w14:paraId="3F50B5CB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-для компрессорной станции «Жанаозен» – 700 м;</w:t>
      </w:r>
    </w:p>
    <w:p w14:paraId="165B0397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20D0F">
        <w:rPr>
          <w:rFonts w:ascii="Times New Roman" w:hAnsi="Times New Roman" w:cs="Times New Roman"/>
          <w:sz w:val="24"/>
          <w:szCs w:val="24"/>
        </w:rPr>
        <w:t>для котельной общежития</w:t>
      </w:r>
      <w:proofErr w:type="gramEnd"/>
      <w:r w:rsidRPr="00420D0F">
        <w:rPr>
          <w:rFonts w:ascii="Times New Roman" w:hAnsi="Times New Roman" w:cs="Times New Roman"/>
          <w:sz w:val="24"/>
          <w:szCs w:val="24"/>
        </w:rPr>
        <w:t xml:space="preserve"> Жанаозенского ЛПУ – 50 м;</w:t>
      </w:r>
    </w:p>
    <w:p w14:paraId="3CA57F56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-для линейной части газопровода минимальный разрыв 350 м по обе стороны газопровода;</w:t>
      </w:r>
    </w:p>
    <w:p w14:paraId="3412EB06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- для АГРС (Промплощадки №3, №4, №5) – 300 м.</w:t>
      </w:r>
    </w:p>
    <w:p w14:paraId="54CF046B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Объект относится к I классу опасности согласно санитарной классификации производственных объектов.</w:t>
      </w:r>
    </w:p>
    <w:p w14:paraId="24E96267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 xml:space="preserve">Предприятием была пройдена процедура определения категории объекта. </w:t>
      </w:r>
    </w:p>
    <w:p w14:paraId="2870C19E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 xml:space="preserve">Согласно Решения по определению категории объекта, оказывающего негативное воздействие на окружающую среду от «9» сентябрь 2021 г. площадке "Жанаозенское ЛПУ" присвоена II категория. </w:t>
      </w:r>
    </w:p>
    <w:p w14:paraId="08C086B8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 xml:space="preserve">Согласно Решения по определению категории объекта, оказывающего негативное воздействие на окружающую среду от «29» октябрь 2021 г. площадке РП "Реконструкция КС Бейнеу и КС Жанаозен" присвоена II категория. </w:t>
      </w:r>
    </w:p>
    <w:p w14:paraId="5CFCFCC9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 xml:space="preserve">Согласно Решения по определению категории объекта, оказывающего негативное воздействие на окружающую среду от «28» октябрь 2021 </w:t>
      </w:r>
      <w:proofErr w:type="gramStart"/>
      <w:r w:rsidRPr="00420D0F">
        <w:rPr>
          <w:rFonts w:ascii="Times New Roman" w:hAnsi="Times New Roman" w:cs="Times New Roman"/>
          <w:sz w:val="24"/>
          <w:szCs w:val="24"/>
        </w:rPr>
        <w:t>г.площадке</w:t>
      </w:r>
      <w:proofErr w:type="gramEnd"/>
      <w:r w:rsidRPr="00420D0F">
        <w:rPr>
          <w:rFonts w:ascii="Times New Roman" w:hAnsi="Times New Roman" w:cs="Times New Roman"/>
          <w:sz w:val="24"/>
          <w:szCs w:val="24"/>
        </w:rPr>
        <w:t xml:space="preserve"> "Капитальный ремонт 1 нитки МГ "Бейнеу-Жанаозен" присвоена II категория.</w:t>
      </w:r>
    </w:p>
    <w:p w14:paraId="707A90D8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Согласно Решения по определению категории объекта, оказывающего негативное воздействие на окружающую среду от «28» октябрь 2021 г. к площадке РП "Строительство 2 нитки МГ "Бейнеу-Жанаозен"" присвоена II категория.</w:t>
      </w:r>
    </w:p>
    <w:p w14:paraId="2913A8E7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Размер СЗЗ для проектируемой АГРС (площадки 1 Нитка, 2 Нитка) на период эксплуатации принят согласно п.п. 30 пункта 3 Приложения 1 к Санитарным правилам «Санитарно-эпидемиологические требования по установлению санитарно-защитной зоны производственных объектов», утвержденным приказом Министра национальной экономики Республики Казахстан №237 от 20.03.2015 г. и составляет 300 м. Период СМР не классифицируется.</w:t>
      </w:r>
    </w:p>
    <w:p w14:paraId="72437843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lastRenderedPageBreak/>
        <w:t>Размер СЗЗ для КС «Жанаозен» и КС «Бейнеу» на период эксплуатации установлен действующим проектом ПДВ и санитарно-эпидемиологическими заключениями № R.05.X.KZ84VBZ00003875 от 25.06.2019 г. и № R.05.X.KZ40VBS00118918 от 04.09.2018 г. согласно Таблицы 1 Приложения 7 к Санитарным правилам «Санитарно-эпидемиологические требования по установлению санитарно-защитной зоны производственных объектов», утвержденным приказом Министра национальной экономики Республики Казахстан №237 от 20.03.2015 г. и составляет 700 м.</w:t>
      </w:r>
    </w:p>
    <w:p w14:paraId="21699415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Достаточность ширины санитарно-защитной зоны подтверждена расчетами прогнозируемых уровней загрязнения в соответствии с действующими указаниями по расчету рассеивания в атмосфере вредных веществ, содержащихся в выбросах предприятия.</w:t>
      </w:r>
    </w:p>
    <w:p w14:paraId="6A62B947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 w:rsidRPr="00420D0F">
        <w:rPr>
          <w:rFonts w:ascii="Times New Roman" w:hAnsi="Times New Roman" w:cs="Times New Roman"/>
          <w:sz w:val="24"/>
          <w:szCs w:val="24"/>
        </w:rPr>
        <w:t>расчетам рассеивания загрязнения атмосферного воздуха</w:t>
      </w:r>
      <w:proofErr w:type="gramEnd"/>
      <w:r w:rsidRPr="00420D0F">
        <w:rPr>
          <w:rFonts w:ascii="Times New Roman" w:hAnsi="Times New Roman" w:cs="Times New Roman"/>
          <w:sz w:val="24"/>
          <w:szCs w:val="24"/>
        </w:rPr>
        <w:t xml:space="preserve"> проведенных в расчетном прямоугольнике по всем загрязняющим веществам, выделяющимся от источников выбросов предприятия уровень загрязнения на границе санитарно-защитной зоны и за ее пределами составил менее 1,0 ПДК.</w:t>
      </w:r>
    </w:p>
    <w:p w14:paraId="686AB5DA" w14:textId="77777777" w:rsidR="00420D0F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Для залповых выбросов, которые являются составной частью технологического процесса, оценивается разовая и суммарная за год величина (г/с, т/год). Максимальные разовые залповые выбросы (г/с) не нормируются ввиду их кратковременности и в расчетах рассеивания вредных веществ в атмосфере не учитываются. Суммарная за год величина залповых выбросов нормируется при установлении общего годового выброса с учетом штатного режима работы оборудования (т/год).</w:t>
      </w:r>
    </w:p>
    <w:p w14:paraId="21974DCB" w14:textId="60CF5CF6" w:rsidR="00EA68B9" w:rsidRPr="00420D0F" w:rsidRDefault="00420D0F" w:rsidP="00420D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D0F">
        <w:rPr>
          <w:rFonts w:ascii="Times New Roman" w:hAnsi="Times New Roman" w:cs="Times New Roman"/>
          <w:sz w:val="24"/>
          <w:szCs w:val="24"/>
        </w:rPr>
        <w:t>Результаты расчета величин приземных концентраций представлены в сводной таблице результатов расчётов рассеивания загрязняющих веществ.</w:t>
      </w:r>
      <w:bookmarkStart w:id="2" w:name="_GoBack"/>
      <w:bookmarkEnd w:id="2"/>
    </w:p>
    <w:sectPr w:rsidR="00EA68B9" w:rsidRPr="00420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MT">
    <w:altName w:val="Yu Gothic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B432B"/>
    <w:multiLevelType w:val="hybridMultilevel"/>
    <w:tmpl w:val="7F0081C2"/>
    <w:lvl w:ilvl="0" w:tplc="8EA26CB4">
      <w:start w:val="1"/>
      <w:numFmt w:val="decimal"/>
      <w:lvlText w:val="Раздел %1."/>
      <w:lvlJc w:val="left"/>
      <w:pPr>
        <w:ind w:left="1287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DA"/>
    <w:rsid w:val="000521DA"/>
    <w:rsid w:val="00062E53"/>
    <w:rsid w:val="0006534D"/>
    <w:rsid w:val="0034139C"/>
    <w:rsid w:val="00390CEB"/>
    <w:rsid w:val="00420D0F"/>
    <w:rsid w:val="0066119F"/>
    <w:rsid w:val="00773C24"/>
    <w:rsid w:val="009716C4"/>
    <w:rsid w:val="00C90D17"/>
    <w:rsid w:val="00EA68B9"/>
    <w:rsid w:val="00F70A71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34BD"/>
  <w15:chartTrackingRefBased/>
  <w15:docId w15:val="{C3BBD13C-856B-4F35-9721-CF72C640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6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A68B9"/>
    <w:pPr>
      <w:keepNext/>
      <w:spacing w:after="0" w:line="240" w:lineRule="auto"/>
      <w:jc w:val="center"/>
      <w:outlineLvl w:val="1"/>
    </w:pPr>
    <w:rPr>
      <w:rFonts w:ascii="Garamond" w:hAnsi="Garamond" w:cs="ArialMT"/>
      <w:b/>
      <w:bCs/>
      <w:i/>
      <w:iCs/>
      <w:color w:val="00206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EA68B9"/>
    <w:rPr>
      <w:color w:val="0000FF"/>
      <w:u w:val="single"/>
    </w:rPr>
  </w:style>
  <w:style w:type="paragraph" w:styleId="a5">
    <w:name w:val="List Paragraph"/>
    <w:aliases w:val="Заголовок первого уровня,Citation List,Resume Title,List Paragraph Char Char,Bullet 1,List Paragraph1,b1,Number_1,SGLText List Paragraph,new,lp1,Normal Sentence,Colorful List - Accent 11,ListPar1,List Paragraph2,List Paragraph11,罗"/>
    <w:basedOn w:val="a"/>
    <w:link w:val="a6"/>
    <w:qFormat/>
    <w:rsid w:val="00EA68B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1">
    <w:name w:val="Абзац списка1"/>
    <w:basedOn w:val="a"/>
    <w:link w:val="ListParagraphChar2"/>
    <w:qFormat/>
    <w:rsid w:val="00EA68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qFormat/>
    <w:rsid w:val="00EA68B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Обычный КГНТ"/>
    <w:basedOn w:val="a"/>
    <w:link w:val="a8"/>
    <w:qFormat/>
    <w:rsid w:val="00EA68B9"/>
    <w:pPr>
      <w:spacing w:after="0" w:line="240" w:lineRule="auto"/>
      <w:ind w:right="170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КГНТ Знак"/>
    <w:link w:val="a7"/>
    <w:rsid w:val="00EA68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">
    <w:name w:val="Абзац списка2"/>
    <w:basedOn w:val="a"/>
    <w:qFormat/>
    <w:rsid w:val="00EA68B9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Заголовок первого уровня Знак,Citation List Знак,Resume Title Знак,List Paragraph Char Char Знак,Bullet 1 Знак,List Paragraph1 Знак,b1 Знак,Number_1 Знак,SGLText List Paragraph Знак,new Знак,lp1 Знак,Normal Sentence Знак,ListPar1 Знак"/>
    <w:link w:val="a5"/>
    <w:qFormat/>
    <w:locked/>
    <w:rsid w:val="00EA68B9"/>
    <w:rPr>
      <w:rFonts w:ascii="Times New Roman" w:eastAsia="Calibri" w:hAnsi="Times New Roman" w:cs="Times New Roman"/>
      <w:sz w:val="24"/>
    </w:rPr>
  </w:style>
  <w:style w:type="character" w:customStyle="1" w:styleId="ListParagraphChar2">
    <w:name w:val="List Paragraph Char2"/>
    <w:link w:val="11"/>
    <w:locked/>
    <w:rsid w:val="00EA68B9"/>
    <w:rPr>
      <w:rFonts w:ascii="Times New Roman" w:eastAsia="Times New Roman" w:hAnsi="Times New Roman" w:cs="Times New Roman"/>
      <w:sz w:val="24"/>
    </w:rPr>
  </w:style>
  <w:style w:type="paragraph" w:customStyle="1" w:styleId="12">
    <w:name w:val="Без интервала1"/>
    <w:link w:val="NoSpacingChar"/>
    <w:qFormat/>
    <w:rsid w:val="00EA68B9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4"/>
    </w:rPr>
  </w:style>
  <w:style w:type="character" w:customStyle="1" w:styleId="NoSpacingChar">
    <w:name w:val="No Spacing Char"/>
    <w:link w:val="12"/>
    <w:locked/>
    <w:rsid w:val="00EA68B9"/>
    <w:rPr>
      <w:rFonts w:ascii="Times New Roman" w:eastAsia="Batang" w:hAnsi="Times New Roman" w:cs="Times New Roman"/>
      <w:sz w:val="24"/>
    </w:rPr>
  </w:style>
  <w:style w:type="paragraph" w:customStyle="1" w:styleId="13">
    <w:name w:val="Заголовок1"/>
    <w:basedOn w:val="1"/>
    <w:qFormat/>
    <w:rsid w:val="00EA68B9"/>
    <w:pPr>
      <w:keepLines w:val="0"/>
      <w:spacing w:before="0" w:line="240" w:lineRule="auto"/>
      <w:ind w:firstLine="567"/>
      <w:jc w:val="both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10">
    <w:name w:val="Заголовок 1 Знак"/>
    <w:basedOn w:val="a0"/>
    <w:link w:val="1"/>
    <w:rsid w:val="00EA6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caption"/>
    <w:aliases w:val="Шапка таблицы,CPR Caption,headings,Table Caption"/>
    <w:basedOn w:val="a"/>
    <w:next w:val="a"/>
    <w:link w:val="aa"/>
    <w:unhideWhenUsed/>
    <w:qFormat/>
    <w:rsid w:val="00EA68B9"/>
    <w:pPr>
      <w:spacing w:after="0" w:line="240" w:lineRule="auto"/>
      <w:jc w:val="center"/>
    </w:pPr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aa">
    <w:name w:val="Название объекта Знак"/>
    <w:aliases w:val="Шапка таблицы Знак,CPR Caption Знак,headings Знак,Table Caption Знак"/>
    <w:link w:val="a9"/>
    <w:rsid w:val="00EA68B9"/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EA68B9"/>
    <w:rPr>
      <w:rFonts w:ascii="Garamond" w:hAnsi="Garamond" w:cs="ArialMT"/>
      <w:b/>
      <w:bCs/>
      <w:i/>
      <w:iCs/>
      <w:color w:val="00206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altynalmas.kz/contact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2725</Words>
  <Characters>15533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Бексұлтан Төлеубеков</dc:creator>
  <cp:keywords/>
  <dc:description/>
  <cp:lastModifiedBy>Турсунбаев Кайсар</cp:lastModifiedBy>
  <cp:revision>8</cp:revision>
  <cp:lastPrinted>2025-02-06T10:50:00Z</cp:lastPrinted>
  <dcterms:created xsi:type="dcterms:W3CDTF">2025-02-06T10:48:00Z</dcterms:created>
  <dcterms:modified xsi:type="dcterms:W3CDTF">2025-10-16T19:01:00Z</dcterms:modified>
</cp:coreProperties>
</file>