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1700" w14:textId="77777777" w:rsidR="00F325A8" w:rsidRPr="00642599" w:rsidRDefault="00F325A8" w:rsidP="00FF3F0E">
      <w:pPr>
        <w:tabs>
          <w:tab w:val="left" w:pos="993"/>
        </w:tabs>
        <w:ind w:firstLine="435"/>
        <w:jc w:val="both"/>
        <w:rPr>
          <w:b/>
          <w:color w:val="000000"/>
          <w:spacing w:val="2"/>
          <w:sz w:val="22"/>
          <w:szCs w:val="22"/>
        </w:rPr>
      </w:pPr>
      <w:r w:rsidRPr="00642599">
        <w:rPr>
          <w:b/>
          <w:color w:val="000000"/>
          <w:spacing w:val="2"/>
          <w:sz w:val="22"/>
          <w:szCs w:val="2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095A2A47" w14:textId="77777777" w:rsidR="00F325A8" w:rsidRPr="00642599" w:rsidRDefault="00F325A8" w:rsidP="00FF3F0E">
      <w:pPr>
        <w:pStyle w:val="ad"/>
        <w:spacing w:after="0"/>
        <w:ind w:left="0" w:firstLine="709"/>
        <w:jc w:val="both"/>
        <w:rPr>
          <w:rFonts w:eastAsia="Interface User"/>
          <w:sz w:val="22"/>
          <w:szCs w:val="22"/>
        </w:rPr>
      </w:pPr>
    </w:p>
    <w:p w14:paraId="0624C57A" w14:textId="77777777" w:rsidR="00F325A8" w:rsidRPr="00642599" w:rsidRDefault="00F325A8" w:rsidP="00FF3F0E">
      <w:pPr>
        <w:pStyle w:val="1136"/>
        <w:spacing w:before="0"/>
        <w:ind w:firstLine="567"/>
        <w:rPr>
          <w:rFonts w:ascii="Times New Roman" w:hAnsi="Times New Roman"/>
          <w:b/>
          <w:color w:val="auto"/>
          <w:sz w:val="22"/>
          <w:szCs w:val="22"/>
          <w:u w:val="single"/>
        </w:rPr>
      </w:pPr>
      <w:r w:rsidRPr="00642599">
        <w:rPr>
          <w:rFonts w:ascii="Times New Roman" w:hAnsi="Times New Roman"/>
          <w:b/>
          <w:color w:val="auto"/>
          <w:sz w:val="22"/>
          <w:szCs w:val="22"/>
          <w:u w:val="single"/>
        </w:rPr>
        <w:t>Атмосферный воздух</w:t>
      </w:r>
    </w:p>
    <w:p w14:paraId="3240C28F" w14:textId="77777777" w:rsidR="00210485" w:rsidRPr="003A28BB" w:rsidRDefault="00210485" w:rsidP="00210485">
      <w:pPr>
        <w:tabs>
          <w:tab w:val="num" w:pos="0"/>
          <w:tab w:val="num" w:pos="284"/>
          <w:tab w:val="left" w:pos="567"/>
          <w:tab w:val="left" w:pos="1276"/>
        </w:tabs>
        <w:snapToGrid w:val="0"/>
        <w:spacing w:line="276" w:lineRule="auto"/>
        <w:ind w:firstLine="540"/>
        <w:jc w:val="both"/>
      </w:pPr>
      <w:r>
        <w:t xml:space="preserve">При проведении инвентаризации </w:t>
      </w:r>
      <w:r>
        <w:rPr>
          <w:lang w:val="kk-KZ"/>
        </w:rPr>
        <w:t xml:space="preserve">месторождения </w:t>
      </w:r>
      <w:r>
        <w:t xml:space="preserve">Северо-Западный </w:t>
      </w:r>
      <w:proofErr w:type="spellStart"/>
      <w:r>
        <w:t>Коныс</w:t>
      </w:r>
      <w:proofErr w:type="spellEnd"/>
      <w:r>
        <w:t xml:space="preserve"> выявлено</w:t>
      </w:r>
      <w:r w:rsidRPr="003A28BB">
        <w:t xml:space="preserve"> </w:t>
      </w:r>
      <w:r>
        <w:t xml:space="preserve">186 </w:t>
      </w:r>
      <w:r w:rsidRPr="003A28BB">
        <w:t>источников за</w:t>
      </w:r>
      <w:r>
        <w:t xml:space="preserve">грязнения воздушного бассейна, 105 из которых являются организованными, 81 неорганизованными источниками </w:t>
      </w:r>
      <w:r w:rsidRPr="003A28BB">
        <w:t>за</w:t>
      </w:r>
      <w:r>
        <w:t xml:space="preserve">грязнения воздушного бассейна. </w:t>
      </w:r>
    </w:p>
    <w:p w14:paraId="7974C289" w14:textId="77777777" w:rsidR="00210485" w:rsidRPr="00B465B4" w:rsidRDefault="00210485" w:rsidP="00210485">
      <w:pPr>
        <w:pStyle w:val="1136"/>
        <w:spacing w:before="0" w:line="276" w:lineRule="auto"/>
        <w:ind w:firstLine="540"/>
        <w:rPr>
          <w:rFonts w:ascii="Times New Roman" w:hAnsi="Times New Roman"/>
          <w:color w:val="auto"/>
          <w:sz w:val="24"/>
          <w:szCs w:val="24"/>
        </w:rPr>
      </w:pPr>
      <w:r w:rsidRPr="0049697A">
        <w:rPr>
          <w:rFonts w:ascii="Times New Roman" w:hAnsi="Times New Roman"/>
          <w:color w:val="auto"/>
          <w:sz w:val="24"/>
          <w:szCs w:val="24"/>
        </w:rPr>
        <w:t xml:space="preserve">Выполненные расчеты валовых выбросов в атмосферу показали, что годовое </w:t>
      </w:r>
      <w:r w:rsidRPr="00B465B4">
        <w:rPr>
          <w:rFonts w:ascii="Times New Roman" w:hAnsi="Times New Roman"/>
          <w:color w:val="auto"/>
          <w:sz w:val="24"/>
          <w:szCs w:val="24"/>
        </w:rPr>
        <w:t xml:space="preserve">количество загрязняющих веществ, выбрасываемых </w:t>
      </w:r>
      <w:proofErr w:type="gramStart"/>
      <w:r w:rsidRPr="00B465B4">
        <w:rPr>
          <w:rFonts w:ascii="Times New Roman" w:hAnsi="Times New Roman"/>
          <w:color w:val="auto"/>
          <w:sz w:val="24"/>
          <w:szCs w:val="24"/>
        </w:rPr>
        <w:t>в атмосферу</w:t>
      </w:r>
      <w:proofErr w:type="gramEnd"/>
      <w:r w:rsidRPr="00B465B4">
        <w:rPr>
          <w:rFonts w:ascii="Times New Roman" w:hAnsi="Times New Roman"/>
          <w:color w:val="auto"/>
          <w:sz w:val="24"/>
          <w:szCs w:val="24"/>
        </w:rPr>
        <w:t xml:space="preserve"> составят </w:t>
      </w:r>
      <w:r w:rsidRPr="008D57BC">
        <w:rPr>
          <w:rFonts w:ascii="Times New Roman" w:hAnsi="Times New Roman"/>
          <w:color w:val="auto"/>
          <w:sz w:val="24"/>
          <w:szCs w:val="24"/>
        </w:rPr>
        <w:t>244.722163999</w:t>
      </w:r>
      <w:r>
        <w:rPr>
          <w:rFonts w:ascii="Times New Roman" w:hAnsi="Times New Roman"/>
          <w:color w:val="auto"/>
          <w:sz w:val="24"/>
          <w:szCs w:val="24"/>
        </w:rPr>
        <w:t xml:space="preserve"> </w:t>
      </w:r>
      <w:r w:rsidRPr="00B465B4">
        <w:rPr>
          <w:rFonts w:ascii="Times New Roman" w:hAnsi="Times New Roman"/>
          <w:color w:val="auto"/>
          <w:sz w:val="24"/>
          <w:szCs w:val="24"/>
        </w:rPr>
        <w:t xml:space="preserve">г/сек и </w:t>
      </w:r>
      <w:r w:rsidRPr="008D57BC">
        <w:rPr>
          <w:rFonts w:ascii="Times New Roman" w:hAnsi="Times New Roman"/>
          <w:color w:val="auto"/>
          <w:sz w:val="24"/>
          <w:szCs w:val="24"/>
        </w:rPr>
        <w:t>343.522911071</w:t>
      </w:r>
      <w:r>
        <w:rPr>
          <w:rFonts w:ascii="Times New Roman" w:hAnsi="Times New Roman"/>
          <w:color w:val="auto"/>
          <w:sz w:val="24"/>
          <w:szCs w:val="24"/>
        </w:rPr>
        <w:t xml:space="preserve"> </w:t>
      </w:r>
      <w:r w:rsidRPr="00B465B4">
        <w:rPr>
          <w:rFonts w:ascii="Times New Roman" w:hAnsi="Times New Roman"/>
          <w:color w:val="auto"/>
          <w:sz w:val="24"/>
          <w:szCs w:val="24"/>
        </w:rPr>
        <w:t xml:space="preserve">т/год. </w:t>
      </w:r>
    </w:p>
    <w:p w14:paraId="21F2A14F" w14:textId="20BCAED1" w:rsidR="0071561B" w:rsidRPr="000A0722" w:rsidRDefault="0071561B" w:rsidP="00FF3F0E">
      <w:pPr>
        <w:ind w:firstLine="567"/>
        <w:jc w:val="both"/>
      </w:pPr>
      <w:proofErr w:type="gramStart"/>
      <w:r>
        <w:t>Н</w:t>
      </w:r>
      <w:r w:rsidRPr="00A82F05">
        <w:t>а источниках</w:t>
      </w:r>
      <w:proofErr w:type="gramEnd"/>
      <w:r w:rsidRPr="00A82F05">
        <w:t xml:space="preserve"> указанных в плане технических мероприятии предусмотрена</w:t>
      </w:r>
      <w:r w:rsidRPr="004E2770">
        <w:t xml:space="preserve"> 100% герметизация ЗРА и ФС. </w:t>
      </w:r>
      <w:r>
        <w:t xml:space="preserve">В результате </w:t>
      </w:r>
      <w:r w:rsidRPr="000A0722">
        <w:t xml:space="preserve">проведенных мероприятий ежегодный экологический эффект составит </w:t>
      </w:r>
      <w:r w:rsidR="00210485" w:rsidRPr="00326ADF">
        <w:t xml:space="preserve">0.2626 </w:t>
      </w:r>
      <w:r w:rsidRPr="000A0722">
        <w:t>т/год.</w:t>
      </w:r>
      <w:r w:rsidR="00BA4ED0">
        <w:t xml:space="preserve"> </w:t>
      </w:r>
    </w:p>
    <w:p w14:paraId="6D217938" w14:textId="77777777" w:rsidR="0071561B" w:rsidRPr="002441DF" w:rsidRDefault="0071561B" w:rsidP="00FF3F0E">
      <w:pPr>
        <w:ind w:firstLine="567"/>
        <w:jc w:val="both"/>
        <w:rPr>
          <w:b/>
        </w:rPr>
      </w:pPr>
      <w:r w:rsidRPr="0069709A">
        <w:rPr>
          <w:b/>
        </w:rPr>
        <w:t xml:space="preserve">Групповой технический проект на бурение эксплуатационных скважин на </w:t>
      </w:r>
      <w:proofErr w:type="gramStart"/>
      <w:r w:rsidRPr="0069709A">
        <w:rPr>
          <w:b/>
        </w:rPr>
        <w:t>месторождении  Северо</w:t>
      </w:r>
      <w:proofErr w:type="gramEnd"/>
      <w:r w:rsidRPr="0069709A">
        <w:rPr>
          <w:b/>
        </w:rPr>
        <w:t xml:space="preserve">-Западный </w:t>
      </w:r>
      <w:proofErr w:type="spellStart"/>
      <w:r w:rsidRPr="0069709A">
        <w:rPr>
          <w:b/>
        </w:rPr>
        <w:t>Коныс</w:t>
      </w:r>
      <w:proofErr w:type="spellEnd"/>
      <w:r w:rsidRPr="0069709A">
        <w:rPr>
          <w:b/>
        </w:rPr>
        <w:t xml:space="preserve"> ТОО «ГАЛАЗ и Компания»</w:t>
      </w:r>
      <w:r w:rsidRPr="002441DF">
        <w:rPr>
          <w:b/>
          <w:bCs/>
        </w:rPr>
        <w:t xml:space="preserve">: </w:t>
      </w:r>
    </w:p>
    <w:p w14:paraId="38344F22" w14:textId="77777777" w:rsidR="0071561B" w:rsidRPr="008742D5" w:rsidRDefault="0071561B" w:rsidP="00FF3F0E">
      <w:pPr>
        <w:ind w:firstLine="567"/>
        <w:jc w:val="both"/>
        <w:rPr>
          <w:color w:val="000000"/>
        </w:rPr>
      </w:pPr>
      <w:r w:rsidRPr="00942633">
        <w:rPr>
          <w:color w:val="000000"/>
        </w:rPr>
        <w:t>На этапе проведения строительно-монтажных работ (СМР) количество</w:t>
      </w:r>
      <w:r>
        <w:rPr>
          <w:color w:val="000000"/>
        </w:rPr>
        <w:t xml:space="preserve"> источников выделения загрязняющего вещества составит 5 единиц, из них</w:t>
      </w:r>
      <w:r w:rsidRPr="00DB35C6">
        <w:rPr>
          <w:color w:val="000000"/>
        </w:rPr>
        <w:t xml:space="preserve"> 4 источника загрязнения, расположенные на площадке бурения скважины – неорганизованные,</w:t>
      </w:r>
      <w:r>
        <w:rPr>
          <w:color w:val="000000"/>
        </w:rPr>
        <w:t xml:space="preserve"> и соответственно </w:t>
      </w:r>
      <w:r w:rsidRPr="00DB35C6">
        <w:rPr>
          <w:color w:val="000000"/>
        </w:rPr>
        <w:t xml:space="preserve">1 </w:t>
      </w:r>
      <w:r w:rsidRPr="008742D5">
        <w:rPr>
          <w:color w:val="000000"/>
        </w:rPr>
        <w:t xml:space="preserve">источник - организованный. </w:t>
      </w:r>
    </w:p>
    <w:p w14:paraId="03BECBD2" w14:textId="77777777" w:rsidR="00BA4ED0" w:rsidRPr="00BA4ED0" w:rsidRDefault="00BA4ED0" w:rsidP="00BA4ED0">
      <w:pPr>
        <w:pStyle w:val="Default"/>
        <w:spacing w:line="276" w:lineRule="auto"/>
        <w:ind w:firstLine="567"/>
        <w:jc w:val="both"/>
        <w:rPr>
          <w:lang w:val="ru-RU"/>
        </w:rPr>
      </w:pPr>
      <w:r w:rsidRPr="00BA4ED0">
        <w:rPr>
          <w:lang w:val="ru-RU"/>
        </w:rPr>
        <w:t xml:space="preserve">Выбросы </w:t>
      </w:r>
      <w:proofErr w:type="gramStart"/>
      <w:r w:rsidRPr="00BA4ED0">
        <w:rPr>
          <w:lang w:val="ru-RU"/>
        </w:rPr>
        <w:t>загрязняющих веществ</w:t>
      </w:r>
      <w:proofErr w:type="gramEnd"/>
      <w:r w:rsidRPr="00BA4ED0">
        <w:rPr>
          <w:lang w:val="ru-RU"/>
        </w:rPr>
        <w:t xml:space="preserve"> выбрасываемых в атмосферный воздух, от стационарных источников в период строительно-монтажных работах, подготовительных и бурении скважины составит </w:t>
      </w:r>
      <w:r w:rsidRPr="00BA4ED0">
        <w:rPr>
          <w:bCs/>
          <w:lang w:val="ru-RU"/>
        </w:rPr>
        <w:t>49,714783 тонн</w:t>
      </w:r>
      <w:r w:rsidRPr="00BA4ED0">
        <w:rPr>
          <w:lang w:val="ru-RU"/>
        </w:rPr>
        <w:t xml:space="preserve">. </w:t>
      </w:r>
    </w:p>
    <w:p w14:paraId="4843B8FE" w14:textId="77777777" w:rsidR="00642599" w:rsidRPr="00642599" w:rsidRDefault="00642599" w:rsidP="00FF3F0E">
      <w:pPr>
        <w:tabs>
          <w:tab w:val="left" w:pos="1206"/>
        </w:tabs>
        <w:ind w:firstLine="567"/>
        <w:jc w:val="both"/>
        <w:rPr>
          <w:b/>
          <w:bCs/>
          <w:sz w:val="22"/>
          <w:szCs w:val="22"/>
          <w:u w:val="single"/>
        </w:rPr>
      </w:pPr>
    </w:p>
    <w:p w14:paraId="691CCF26" w14:textId="77777777" w:rsidR="00F325A8" w:rsidRPr="003A6344" w:rsidRDefault="00F325A8" w:rsidP="00FF3F0E">
      <w:pPr>
        <w:tabs>
          <w:tab w:val="left" w:pos="1206"/>
        </w:tabs>
        <w:ind w:firstLine="567"/>
        <w:jc w:val="both"/>
        <w:rPr>
          <w:b/>
          <w:bCs/>
          <w:sz w:val="22"/>
          <w:szCs w:val="22"/>
          <w:u w:val="single"/>
        </w:rPr>
      </w:pPr>
      <w:r w:rsidRPr="003A6344">
        <w:rPr>
          <w:b/>
          <w:bCs/>
          <w:sz w:val="22"/>
          <w:szCs w:val="22"/>
          <w:u w:val="single"/>
        </w:rPr>
        <w:t>Водоснабжение, водоотведение</w:t>
      </w:r>
    </w:p>
    <w:p w14:paraId="1143CDB5" w14:textId="77777777" w:rsidR="003A6344" w:rsidRPr="00403508" w:rsidRDefault="003A6344" w:rsidP="00FF3F0E">
      <w:pPr>
        <w:ind w:firstLine="567"/>
        <w:jc w:val="both"/>
        <w:rPr>
          <w:lang w:val="kk-KZ"/>
        </w:rPr>
      </w:pPr>
      <w:r w:rsidRPr="00403508">
        <w:rPr>
          <w:lang w:val="kk-KZ"/>
        </w:rPr>
        <w:t xml:space="preserve">Водоснабжение </w:t>
      </w:r>
      <w:r w:rsidR="00403508" w:rsidRPr="00403508">
        <w:rPr>
          <w:lang w:val="kk-KZ"/>
        </w:rPr>
        <w:t xml:space="preserve">месторождения </w:t>
      </w:r>
      <w:r w:rsidRPr="00403508">
        <w:rPr>
          <w:lang w:val="kk-KZ"/>
        </w:rPr>
        <w:t xml:space="preserve">осуществляется </w:t>
      </w:r>
      <w:r w:rsidR="00403508" w:rsidRPr="00403508">
        <w:rPr>
          <w:lang w:val="kk-KZ"/>
        </w:rPr>
        <w:t>привозным способом</w:t>
      </w:r>
      <w:r w:rsidRPr="00403508">
        <w:rPr>
          <w:lang w:val="kk-KZ"/>
        </w:rPr>
        <w:t>.</w:t>
      </w:r>
    </w:p>
    <w:p w14:paraId="4714DB9B" w14:textId="77777777" w:rsidR="00403508" w:rsidRPr="002441DF" w:rsidRDefault="00403508" w:rsidP="00FF3F0E">
      <w:pPr>
        <w:ind w:firstLine="567"/>
        <w:jc w:val="both"/>
        <w:rPr>
          <w:b/>
        </w:rPr>
      </w:pPr>
      <w:r w:rsidRPr="0069709A">
        <w:rPr>
          <w:b/>
        </w:rPr>
        <w:t xml:space="preserve">Групповой технический проект на бурение эксплуатационных скважин на </w:t>
      </w:r>
      <w:proofErr w:type="gramStart"/>
      <w:r w:rsidRPr="0069709A">
        <w:rPr>
          <w:b/>
        </w:rPr>
        <w:t>месторождении  Северо</w:t>
      </w:r>
      <w:proofErr w:type="gramEnd"/>
      <w:r w:rsidRPr="0069709A">
        <w:rPr>
          <w:b/>
        </w:rPr>
        <w:t xml:space="preserve">-Западный </w:t>
      </w:r>
      <w:proofErr w:type="spellStart"/>
      <w:r w:rsidRPr="0069709A">
        <w:rPr>
          <w:b/>
        </w:rPr>
        <w:t>Коныс</w:t>
      </w:r>
      <w:proofErr w:type="spellEnd"/>
      <w:r w:rsidRPr="0069709A">
        <w:rPr>
          <w:b/>
        </w:rPr>
        <w:t xml:space="preserve"> ТОО «ГАЛАЗ и Компания»</w:t>
      </w:r>
      <w:r w:rsidRPr="002441DF">
        <w:rPr>
          <w:b/>
          <w:bCs/>
        </w:rPr>
        <w:t xml:space="preserve">: </w:t>
      </w:r>
    </w:p>
    <w:p w14:paraId="06399FB4" w14:textId="77777777" w:rsidR="005F0989" w:rsidRDefault="005F0989" w:rsidP="00B024E4">
      <w:pPr>
        <w:ind w:firstLine="567"/>
        <w:jc w:val="both"/>
      </w:pPr>
      <w:r w:rsidRPr="00F36FE8">
        <w:t>Участок работ характеризуется отсутствием сетей водопровода. Питьевая вода привозная</w:t>
      </w:r>
      <w:r w:rsidRPr="00115327">
        <w:t>, техническая вода  водозаборная скважина</w:t>
      </w:r>
      <w:r>
        <w:t xml:space="preserve">. </w:t>
      </w:r>
      <w:r w:rsidRPr="00F36FE8">
        <w:t>Буровые бригады и обслуживающий персонал будут проживать в передвижных вагончиках.</w:t>
      </w:r>
    </w:p>
    <w:p w14:paraId="6BB0806C" w14:textId="34845173" w:rsidR="005F0989" w:rsidRPr="0079761B" w:rsidRDefault="005F0989" w:rsidP="00B024E4">
      <w:pPr>
        <w:pStyle w:val="Default"/>
        <w:ind w:firstLine="567"/>
        <w:jc w:val="both"/>
        <w:rPr>
          <w:lang w:val="ru-RU"/>
        </w:rPr>
      </w:pPr>
      <w:r w:rsidRPr="00B024E4">
        <w:rPr>
          <w:szCs w:val="20"/>
          <w:lang w:val="ru-RU"/>
        </w:rPr>
        <w:t xml:space="preserve">Общее количество </w:t>
      </w:r>
      <w:proofErr w:type="gramStart"/>
      <w:r w:rsidRPr="0079761B">
        <w:rPr>
          <w:lang w:val="ru-RU"/>
        </w:rPr>
        <w:t>воды</w:t>
      </w:r>
      <w:proofErr w:type="gramEnd"/>
      <w:r w:rsidRPr="0079761B">
        <w:rPr>
          <w:lang w:val="ru-RU"/>
        </w:rPr>
        <w:t xml:space="preserve"> используемой для технических </w:t>
      </w:r>
      <w:proofErr w:type="gramStart"/>
      <w:r w:rsidRPr="0079761B">
        <w:rPr>
          <w:lang w:val="ru-RU"/>
        </w:rPr>
        <w:t>нужд,  при</w:t>
      </w:r>
      <w:proofErr w:type="gramEnd"/>
      <w:r w:rsidRPr="0079761B">
        <w:rPr>
          <w:lang w:val="ru-RU"/>
        </w:rPr>
        <w:t xml:space="preserve"> </w:t>
      </w:r>
      <w:r w:rsidR="00B024E4" w:rsidRPr="0079761B">
        <w:rPr>
          <w:lang w:val="ru-KZ"/>
        </w:rPr>
        <w:t xml:space="preserve">СМР, подготовительных работ к бурению, бурение и креплении скважины </w:t>
      </w:r>
      <w:r w:rsidRPr="0079761B">
        <w:rPr>
          <w:lang w:val="ru-RU"/>
        </w:rPr>
        <w:t xml:space="preserve">составляет – </w:t>
      </w:r>
      <w:r w:rsidR="00B024E4" w:rsidRPr="0079761B">
        <w:rPr>
          <w:rFonts w:eastAsia="Times New Roman"/>
          <w:lang w:val="ru-KZ" w:eastAsia="ru-RU"/>
        </w:rPr>
        <w:t xml:space="preserve">2359,1 </w:t>
      </w:r>
      <w:r w:rsidRPr="0079761B">
        <w:rPr>
          <w:lang w:val="ru-RU"/>
        </w:rPr>
        <w:t>м</w:t>
      </w:r>
      <w:r w:rsidRPr="0079761B">
        <w:rPr>
          <w:vertAlign w:val="superscript"/>
          <w:lang w:val="ru-RU"/>
        </w:rPr>
        <w:t>3</w:t>
      </w:r>
      <w:r w:rsidR="00B024E4" w:rsidRPr="0079761B">
        <w:rPr>
          <w:lang w:val="ru-RU"/>
        </w:rPr>
        <w:t>.</w:t>
      </w:r>
      <w:r w:rsidRPr="0079761B">
        <w:rPr>
          <w:lang w:val="ru-RU"/>
        </w:rPr>
        <w:t xml:space="preserve"> </w:t>
      </w:r>
      <w:r w:rsidR="00B024E4" w:rsidRPr="0079761B">
        <w:rPr>
          <w:lang w:val="ru-RU"/>
        </w:rPr>
        <w:t>19,53 м3 в заключительном этапе.</w:t>
      </w:r>
    </w:p>
    <w:p w14:paraId="6D3BACBD" w14:textId="77777777" w:rsidR="005F0989" w:rsidRPr="00F36FE8" w:rsidRDefault="005F0989" w:rsidP="00FF3F0E">
      <w:pPr>
        <w:ind w:firstLine="709"/>
        <w:jc w:val="both"/>
      </w:pPr>
      <w:r w:rsidRPr="00F36FE8">
        <w:t>Хозяйственно-бытовые сточные воды отводятся по самотечной сети в приемные отделения септик с насосной установкой. По мере его наполнения стоки будут откачиваться, и вывозиться вакуумными автоцистернами на канализационную систему близлежащего населенного пункта по договору.</w:t>
      </w:r>
    </w:p>
    <w:p w14:paraId="255EB218" w14:textId="77777777" w:rsidR="005F0989" w:rsidRPr="00F36FE8" w:rsidRDefault="005F0989" w:rsidP="00FF3F0E">
      <w:pPr>
        <w:ind w:firstLine="709"/>
        <w:jc w:val="both"/>
      </w:pPr>
      <w:r w:rsidRPr="00F36FE8">
        <w:t>Септики после окончания работ очищаются, дезинфицируются и могут использоваться повторно. Территория расположения септиков подлежит засыпке и рекультивации.</w:t>
      </w:r>
    </w:p>
    <w:p w14:paraId="069BAD31" w14:textId="77777777" w:rsidR="00BA4ED0" w:rsidRDefault="00BA4ED0" w:rsidP="00FF3F0E">
      <w:pPr>
        <w:pStyle w:val="3"/>
        <w:spacing w:after="0"/>
        <w:ind w:left="0" w:firstLine="567"/>
        <w:jc w:val="both"/>
        <w:rPr>
          <w:rStyle w:val="s0"/>
          <w:b/>
          <w:sz w:val="22"/>
          <w:szCs w:val="22"/>
          <w:u w:val="single"/>
        </w:rPr>
      </w:pPr>
    </w:p>
    <w:p w14:paraId="3CE2F7B2" w14:textId="4307357C" w:rsidR="00F325A8" w:rsidRPr="00642599" w:rsidRDefault="00F325A8" w:rsidP="00FF3F0E">
      <w:pPr>
        <w:pStyle w:val="3"/>
        <w:spacing w:after="0"/>
        <w:ind w:left="0" w:firstLine="567"/>
        <w:jc w:val="both"/>
        <w:rPr>
          <w:rStyle w:val="s0"/>
          <w:b/>
          <w:sz w:val="22"/>
          <w:szCs w:val="22"/>
          <w:u w:val="single"/>
        </w:rPr>
      </w:pPr>
      <w:r w:rsidRPr="00642599">
        <w:rPr>
          <w:rStyle w:val="s0"/>
          <w:b/>
          <w:sz w:val="22"/>
          <w:szCs w:val="22"/>
          <w:u w:val="single"/>
        </w:rPr>
        <w:t xml:space="preserve">Отходы </w:t>
      </w:r>
    </w:p>
    <w:p w14:paraId="6A452B3F" w14:textId="77777777" w:rsidR="00F325A8" w:rsidRPr="00642599" w:rsidRDefault="00F325A8" w:rsidP="00FF3F0E">
      <w:pPr>
        <w:pStyle w:val="3"/>
        <w:spacing w:after="0"/>
        <w:ind w:left="0" w:firstLine="567"/>
        <w:jc w:val="both"/>
        <w:rPr>
          <w:snapToGrid w:val="0"/>
          <w:sz w:val="22"/>
          <w:szCs w:val="22"/>
        </w:rPr>
      </w:pPr>
      <w:r w:rsidRPr="00642599">
        <w:rPr>
          <w:snapToGrid w:val="0"/>
          <w:sz w:val="22"/>
          <w:szCs w:val="22"/>
        </w:rPr>
        <w:t>Основными отходами в процессе выполнения работ на месторождении являются:</w:t>
      </w:r>
    </w:p>
    <w:p w14:paraId="7A9909F1" w14:textId="77777777" w:rsidR="00FF3F0E" w:rsidRPr="00B85F0B" w:rsidRDefault="00FF3F0E" w:rsidP="00FF3F0E">
      <w:pPr>
        <w:pStyle w:val="TableParagraph"/>
        <w:numPr>
          <w:ilvl w:val="0"/>
          <w:numId w:val="19"/>
        </w:numPr>
        <w:spacing w:before="14"/>
        <w:rPr>
          <w:rFonts w:ascii="Times New Roman" w:hAnsi="Times New Roman" w:cs="Times New Roman"/>
          <w:szCs w:val="20"/>
          <w:lang w:val="ru-RU"/>
        </w:rPr>
      </w:pPr>
      <w:r w:rsidRPr="00B85F0B">
        <w:rPr>
          <w:rFonts w:ascii="Times New Roman" w:hAnsi="Times New Roman" w:cs="Times New Roman"/>
          <w:szCs w:val="20"/>
          <w:lang w:val="ru-RU"/>
        </w:rPr>
        <w:t>Нефтешлам</w:t>
      </w:r>
    </w:p>
    <w:p w14:paraId="5C1F5EA1" w14:textId="77777777" w:rsidR="00FF3F0E" w:rsidRPr="00B85F0B" w:rsidRDefault="00FF3F0E" w:rsidP="00FF3F0E">
      <w:pPr>
        <w:pStyle w:val="TableParagraph"/>
        <w:numPr>
          <w:ilvl w:val="0"/>
          <w:numId w:val="19"/>
        </w:numPr>
        <w:spacing w:before="9"/>
        <w:rPr>
          <w:rFonts w:ascii="Times New Roman" w:hAnsi="Times New Roman" w:cs="Times New Roman"/>
          <w:szCs w:val="20"/>
          <w:lang w:val="ru-RU"/>
        </w:rPr>
      </w:pPr>
      <w:r w:rsidRPr="00B85F0B">
        <w:rPr>
          <w:rFonts w:ascii="Times New Roman" w:hAnsi="Times New Roman" w:cs="Times New Roman"/>
          <w:szCs w:val="20"/>
          <w:lang w:val="ru-RU"/>
        </w:rPr>
        <w:t>Отработанные</w:t>
      </w:r>
      <w:r w:rsidRPr="00B85F0B">
        <w:rPr>
          <w:rFonts w:ascii="Times New Roman" w:hAnsi="Times New Roman" w:cs="Times New Roman"/>
          <w:spacing w:val="-5"/>
          <w:szCs w:val="20"/>
          <w:lang w:val="ru-RU"/>
        </w:rPr>
        <w:t xml:space="preserve"> </w:t>
      </w:r>
      <w:r w:rsidRPr="00B85F0B">
        <w:rPr>
          <w:rFonts w:ascii="Times New Roman" w:hAnsi="Times New Roman" w:cs="Times New Roman"/>
          <w:szCs w:val="20"/>
          <w:lang w:val="ru-RU"/>
        </w:rPr>
        <w:t>масла</w:t>
      </w:r>
    </w:p>
    <w:p w14:paraId="3A7E3EE6" w14:textId="77777777" w:rsidR="00FF3F0E" w:rsidRPr="00B85F0B" w:rsidRDefault="00FF3F0E" w:rsidP="00FF3F0E">
      <w:pPr>
        <w:pStyle w:val="TableParagraph"/>
        <w:numPr>
          <w:ilvl w:val="0"/>
          <w:numId w:val="19"/>
        </w:numPr>
        <w:spacing w:before="14"/>
        <w:rPr>
          <w:rFonts w:ascii="Times New Roman" w:hAnsi="Times New Roman" w:cs="Times New Roman"/>
          <w:szCs w:val="20"/>
          <w:lang w:val="ru-RU"/>
        </w:rPr>
      </w:pPr>
      <w:r w:rsidRPr="00B85F0B">
        <w:rPr>
          <w:rFonts w:ascii="Times New Roman" w:hAnsi="Times New Roman" w:cs="Times New Roman"/>
          <w:szCs w:val="20"/>
          <w:lang w:val="ru-RU"/>
        </w:rPr>
        <w:t>Отработанные</w:t>
      </w:r>
      <w:r w:rsidRPr="00B85F0B">
        <w:rPr>
          <w:rFonts w:ascii="Times New Roman" w:hAnsi="Times New Roman" w:cs="Times New Roman"/>
          <w:spacing w:val="-4"/>
          <w:szCs w:val="20"/>
          <w:lang w:val="ru-RU"/>
        </w:rPr>
        <w:t xml:space="preserve"> </w:t>
      </w:r>
      <w:r w:rsidRPr="00B85F0B">
        <w:rPr>
          <w:rFonts w:ascii="Times New Roman" w:hAnsi="Times New Roman" w:cs="Times New Roman"/>
          <w:szCs w:val="20"/>
          <w:lang w:val="ru-RU"/>
        </w:rPr>
        <w:t>фильтры</w:t>
      </w:r>
    </w:p>
    <w:p w14:paraId="183FD36D" w14:textId="77777777" w:rsidR="00FF3F0E" w:rsidRPr="00B85F0B" w:rsidRDefault="00FF3F0E" w:rsidP="00FF3F0E">
      <w:pPr>
        <w:pStyle w:val="TableParagraph"/>
        <w:numPr>
          <w:ilvl w:val="0"/>
          <w:numId w:val="19"/>
        </w:numPr>
        <w:spacing w:before="9"/>
        <w:rPr>
          <w:rFonts w:ascii="Times New Roman" w:hAnsi="Times New Roman" w:cs="Times New Roman"/>
          <w:szCs w:val="20"/>
          <w:lang w:val="ru-RU"/>
        </w:rPr>
      </w:pPr>
      <w:r w:rsidRPr="00B85F0B">
        <w:rPr>
          <w:rFonts w:ascii="Times New Roman" w:hAnsi="Times New Roman" w:cs="Times New Roman"/>
          <w:szCs w:val="20"/>
          <w:lang w:val="ru-RU"/>
        </w:rPr>
        <w:t>Промасленная</w:t>
      </w:r>
      <w:r w:rsidRPr="00B85F0B">
        <w:rPr>
          <w:rFonts w:ascii="Times New Roman" w:hAnsi="Times New Roman" w:cs="Times New Roman"/>
          <w:spacing w:val="-3"/>
          <w:szCs w:val="20"/>
          <w:lang w:val="ru-RU"/>
        </w:rPr>
        <w:t xml:space="preserve"> </w:t>
      </w:r>
      <w:r w:rsidRPr="00B85F0B">
        <w:rPr>
          <w:rFonts w:ascii="Times New Roman" w:hAnsi="Times New Roman" w:cs="Times New Roman"/>
          <w:szCs w:val="20"/>
          <w:lang w:val="ru-RU"/>
        </w:rPr>
        <w:t>ветошь</w:t>
      </w:r>
    </w:p>
    <w:p w14:paraId="639EB637" w14:textId="77777777" w:rsidR="00FF3F0E" w:rsidRPr="00B85F0B" w:rsidRDefault="00FF3F0E" w:rsidP="00FF3F0E">
      <w:pPr>
        <w:pStyle w:val="TableParagraph"/>
        <w:numPr>
          <w:ilvl w:val="0"/>
          <w:numId w:val="19"/>
        </w:numPr>
        <w:spacing w:before="6"/>
        <w:ind w:right="291"/>
        <w:rPr>
          <w:rFonts w:ascii="Times New Roman" w:hAnsi="Times New Roman" w:cs="Times New Roman"/>
          <w:szCs w:val="20"/>
          <w:lang w:val="ru-RU"/>
        </w:rPr>
      </w:pPr>
      <w:r w:rsidRPr="00B85F0B">
        <w:rPr>
          <w:rFonts w:ascii="Times New Roman" w:hAnsi="Times New Roman" w:cs="Times New Roman"/>
          <w:szCs w:val="20"/>
          <w:lang w:val="ru-RU"/>
        </w:rPr>
        <w:t>Отработанные</w:t>
      </w:r>
      <w:r w:rsidRPr="00B85F0B">
        <w:rPr>
          <w:rFonts w:ascii="Times New Roman" w:hAnsi="Times New Roman" w:cs="Times New Roman"/>
          <w:spacing w:val="-9"/>
          <w:szCs w:val="20"/>
          <w:lang w:val="ru-RU"/>
        </w:rPr>
        <w:t xml:space="preserve"> </w:t>
      </w:r>
      <w:r w:rsidRPr="00B85F0B">
        <w:rPr>
          <w:rFonts w:ascii="Times New Roman" w:hAnsi="Times New Roman" w:cs="Times New Roman"/>
          <w:szCs w:val="20"/>
          <w:lang w:val="ru-RU"/>
        </w:rPr>
        <w:t>светодиодные</w:t>
      </w:r>
      <w:r w:rsidRPr="00B85F0B">
        <w:rPr>
          <w:rFonts w:ascii="Times New Roman" w:hAnsi="Times New Roman" w:cs="Times New Roman"/>
          <w:spacing w:val="-42"/>
          <w:szCs w:val="20"/>
          <w:lang w:val="ru-RU"/>
        </w:rPr>
        <w:t xml:space="preserve"> </w:t>
      </w:r>
      <w:r w:rsidRPr="00B85F0B">
        <w:rPr>
          <w:rFonts w:ascii="Times New Roman" w:hAnsi="Times New Roman" w:cs="Times New Roman"/>
          <w:szCs w:val="20"/>
          <w:lang w:val="ru-RU"/>
        </w:rPr>
        <w:t>лампы</w:t>
      </w:r>
    </w:p>
    <w:p w14:paraId="5AC14FF8" w14:textId="77777777" w:rsidR="00FF3F0E" w:rsidRPr="00B85F0B" w:rsidRDefault="00FF3F0E" w:rsidP="00FF3F0E">
      <w:pPr>
        <w:pStyle w:val="TableParagraph"/>
        <w:numPr>
          <w:ilvl w:val="0"/>
          <w:numId w:val="19"/>
        </w:numPr>
        <w:spacing w:before="9"/>
        <w:rPr>
          <w:rFonts w:ascii="Times New Roman" w:hAnsi="Times New Roman" w:cs="Times New Roman"/>
          <w:szCs w:val="20"/>
          <w:lang w:val="ru-RU"/>
        </w:rPr>
      </w:pPr>
      <w:r w:rsidRPr="00B85F0B">
        <w:rPr>
          <w:rFonts w:ascii="Times New Roman" w:hAnsi="Times New Roman" w:cs="Times New Roman"/>
          <w:szCs w:val="20"/>
          <w:lang w:val="ru-RU"/>
        </w:rPr>
        <w:t>Смешанные коммунальные отходы</w:t>
      </w:r>
    </w:p>
    <w:p w14:paraId="4525BDD4" w14:textId="77777777" w:rsidR="00FF3F0E" w:rsidRPr="00B85F0B" w:rsidRDefault="00FF3F0E" w:rsidP="00FF3F0E">
      <w:pPr>
        <w:pStyle w:val="a5"/>
        <w:numPr>
          <w:ilvl w:val="0"/>
          <w:numId w:val="19"/>
        </w:numPr>
        <w:rPr>
          <w:szCs w:val="20"/>
        </w:rPr>
      </w:pPr>
      <w:r w:rsidRPr="00B85F0B">
        <w:rPr>
          <w:color w:val="000000"/>
          <w:szCs w:val="20"/>
        </w:rPr>
        <w:t xml:space="preserve">Пластмассовая упаковка </w:t>
      </w:r>
    </w:p>
    <w:p w14:paraId="53F03499" w14:textId="77777777" w:rsidR="00FF3F0E" w:rsidRPr="00B85F0B" w:rsidRDefault="00FF3F0E" w:rsidP="00FF3F0E">
      <w:pPr>
        <w:pStyle w:val="a5"/>
        <w:numPr>
          <w:ilvl w:val="0"/>
          <w:numId w:val="19"/>
        </w:numPr>
        <w:rPr>
          <w:szCs w:val="20"/>
        </w:rPr>
      </w:pPr>
      <w:r w:rsidRPr="00B85F0B">
        <w:rPr>
          <w:color w:val="000000"/>
          <w:szCs w:val="20"/>
        </w:rPr>
        <w:t>Бумажная и картонная упаковка</w:t>
      </w:r>
    </w:p>
    <w:p w14:paraId="411EAF78" w14:textId="4FBEDF9D" w:rsidR="00CD06F4" w:rsidRPr="00B85F0B" w:rsidRDefault="00CD06F4" w:rsidP="00FF3F0E">
      <w:pPr>
        <w:pStyle w:val="a7"/>
        <w:ind w:firstLine="567"/>
        <w:jc w:val="both"/>
        <w:rPr>
          <w:rFonts w:eastAsia="Calibri" w:cs="Times New Roman"/>
          <w:szCs w:val="24"/>
        </w:rPr>
      </w:pPr>
      <w:r w:rsidRPr="00B85F0B">
        <w:rPr>
          <w:rFonts w:eastAsia="Calibri" w:cs="Times New Roman"/>
          <w:szCs w:val="24"/>
        </w:rPr>
        <w:lastRenderedPageBreak/>
        <w:t xml:space="preserve">Общее количество отходов составит </w:t>
      </w:r>
      <w:r w:rsidR="0079761B" w:rsidRPr="0079761B">
        <w:rPr>
          <w:rFonts w:cs="Times New Roman"/>
          <w:color w:val="000000"/>
          <w:szCs w:val="24"/>
        </w:rPr>
        <w:t>86,9848</w:t>
      </w:r>
      <w:r w:rsidR="0079761B" w:rsidRPr="0079761B">
        <w:rPr>
          <w:rFonts w:cs="Times New Roman"/>
          <w:color w:val="000000"/>
          <w:szCs w:val="24"/>
        </w:rPr>
        <w:t xml:space="preserve"> </w:t>
      </w:r>
      <w:r w:rsidRPr="00B85F0B">
        <w:rPr>
          <w:rFonts w:cs="Times New Roman"/>
          <w:szCs w:val="24"/>
          <w:lang w:val="kk-KZ"/>
        </w:rPr>
        <w:t>тонны.</w:t>
      </w:r>
    </w:p>
    <w:p w14:paraId="7FA90B1C" w14:textId="77777777" w:rsidR="00FF3F0E" w:rsidRPr="002441DF" w:rsidRDefault="00FF3F0E" w:rsidP="00FF3F0E">
      <w:pPr>
        <w:ind w:firstLine="567"/>
        <w:jc w:val="both"/>
        <w:rPr>
          <w:b/>
        </w:rPr>
      </w:pPr>
      <w:r w:rsidRPr="0069709A">
        <w:rPr>
          <w:b/>
        </w:rPr>
        <w:t xml:space="preserve">Групповой технический проект на бурение эксплуатационных скважин на </w:t>
      </w:r>
      <w:proofErr w:type="gramStart"/>
      <w:r w:rsidRPr="0069709A">
        <w:rPr>
          <w:b/>
        </w:rPr>
        <w:t>месторождении  Северо</w:t>
      </w:r>
      <w:proofErr w:type="gramEnd"/>
      <w:r w:rsidRPr="0069709A">
        <w:rPr>
          <w:b/>
        </w:rPr>
        <w:t xml:space="preserve">-Западный </w:t>
      </w:r>
      <w:proofErr w:type="spellStart"/>
      <w:r w:rsidRPr="0069709A">
        <w:rPr>
          <w:b/>
        </w:rPr>
        <w:t>Коныс</w:t>
      </w:r>
      <w:proofErr w:type="spellEnd"/>
      <w:r w:rsidRPr="0069709A">
        <w:rPr>
          <w:b/>
        </w:rPr>
        <w:t xml:space="preserve"> ТОО «ГАЛАЗ и Компания»</w:t>
      </w:r>
      <w:r w:rsidRPr="002441DF">
        <w:rPr>
          <w:b/>
          <w:bCs/>
        </w:rPr>
        <w:t xml:space="preserve"> </w:t>
      </w:r>
    </w:p>
    <w:p w14:paraId="131C2C6F" w14:textId="77777777" w:rsidR="00642599" w:rsidRPr="00642599" w:rsidRDefault="00642599" w:rsidP="00FF3F0E">
      <w:pPr>
        <w:ind w:firstLine="567"/>
        <w:jc w:val="both"/>
        <w:rPr>
          <w:bCs/>
          <w:color w:val="000000"/>
          <w:sz w:val="22"/>
          <w:szCs w:val="22"/>
        </w:rPr>
      </w:pPr>
      <w:r w:rsidRPr="00642599">
        <w:rPr>
          <w:sz w:val="22"/>
          <w:szCs w:val="22"/>
        </w:rPr>
        <w:t xml:space="preserve">При бурении эксплуатационных скважин на месторождении </w:t>
      </w:r>
      <w:r w:rsidRPr="00642599">
        <w:rPr>
          <w:bCs/>
          <w:color w:val="000000"/>
          <w:sz w:val="22"/>
          <w:szCs w:val="22"/>
        </w:rPr>
        <w:t>будут образовываться следующие отходы:</w:t>
      </w:r>
    </w:p>
    <w:p w14:paraId="3AE14A28" w14:textId="77777777" w:rsidR="00FF3F0E" w:rsidRPr="00B85F0B" w:rsidRDefault="00FF3F0E" w:rsidP="00FF3F0E">
      <w:pPr>
        <w:pStyle w:val="a5"/>
        <w:numPr>
          <w:ilvl w:val="0"/>
          <w:numId w:val="20"/>
        </w:numPr>
        <w:rPr>
          <w:color w:val="000000"/>
          <w:szCs w:val="18"/>
        </w:rPr>
      </w:pPr>
      <w:r w:rsidRPr="00B85F0B">
        <w:rPr>
          <w:color w:val="000000"/>
          <w:szCs w:val="18"/>
        </w:rPr>
        <w:t>Буровой шлам</w:t>
      </w:r>
    </w:p>
    <w:p w14:paraId="6FE6C455" w14:textId="77777777" w:rsidR="00FF3F0E" w:rsidRPr="00B85F0B" w:rsidRDefault="00FF3F0E" w:rsidP="00FF3F0E">
      <w:pPr>
        <w:pStyle w:val="a5"/>
        <w:numPr>
          <w:ilvl w:val="0"/>
          <w:numId w:val="20"/>
        </w:numPr>
        <w:rPr>
          <w:color w:val="000000"/>
          <w:szCs w:val="18"/>
        </w:rPr>
      </w:pPr>
      <w:r w:rsidRPr="00B85F0B">
        <w:rPr>
          <w:color w:val="000000"/>
          <w:szCs w:val="18"/>
        </w:rPr>
        <w:t>ОБР</w:t>
      </w:r>
    </w:p>
    <w:p w14:paraId="0306EEFD" w14:textId="77777777" w:rsidR="00FF3F0E" w:rsidRPr="00B85F0B" w:rsidRDefault="00FF3F0E" w:rsidP="00FF3F0E">
      <w:pPr>
        <w:pStyle w:val="a5"/>
        <w:numPr>
          <w:ilvl w:val="0"/>
          <w:numId w:val="20"/>
        </w:numPr>
        <w:rPr>
          <w:color w:val="000000"/>
          <w:szCs w:val="18"/>
        </w:rPr>
      </w:pPr>
      <w:r w:rsidRPr="00B85F0B">
        <w:rPr>
          <w:color w:val="000000"/>
          <w:szCs w:val="18"/>
        </w:rPr>
        <w:t>Буровые сточные воды</w:t>
      </w:r>
    </w:p>
    <w:p w14:paraId="3C0B07FF" w14:textId="77777777" w:rsidR="00FF3F0E" w:rsidRPr="00B85F0B" w:rsidRDefault="00FF3F0E" w:rsidP="00FF3F0E">
      <w:pPr>
        <w:pStyle w:val="a5"/>
        <w:numPr>
          <w:ilvl w:val="0"/>
          <w:numId w:val="20"/>
        </w:numPr>
        <w:rPr>
          <w:color w:val="000000"/>
          <w:szCs w:val="18"/>
        </w:rPr>
      </w:pPr>
      <w:r w:rsidRPr="00B85F0B">
        <w:rPr>
          <w:color w:val="000000"/>
          <w:szCs w:val="18"/>
        </w:rPr>
        <w:t>Промасленная ветошь</w:t>
      </w:r>
      <w:r w:rsidRPr="00B85F0B">
        <w:rPr>
          <w:color w:val="000000"/>
          <w:szCs w:val="18"/>
          <w:lang w:val="en-AU"/>
        </w:rPr>
        <w:t> </w:t>
      </w:r>
    </w:p>
    <w:p w14:paraId="0E3EA24D" w14:textId="77777777" w:rsidR="00FF3F0E" w:rsidRPr="00B85F0B" w:rsidRDefault="00FF3F0E" w:rsidP="00FF3F0E">
      <w:pPr>
        <w:pStyle w:val="a5"/>
        <w:numPr>
          <w:ilvl w:val="0"/>
          <w:numId w:val="20"/>
        </w:numPr>
        <w:rPr>
          <w:color w:val="000000"/>
          <w:szCs w:val="18"/>
        </w:rPr>
      </w:pPr>
      <w:r w:rsidRPr="00B85F0B">
        <w:rPr>
          <w:bCs/>
          <w:iCs/>
          <w:color w:val="000000"/>
          <w:szCs w:val="18"/>
        </w:rPr>
        <w:t>Отработанные масла</w:t>
      </w:r>
    </w:p>
    <w:p w14:paraId="13E5143B" w14:textId="77777777" w:rsidR="00FF3F0E" w:rsidRPr="00B85F0B" w:rsidRDefault="00FF3F0E" w:rsidP="00FF3F0E">
      <w:pPr>
        <w:pStyle w:val="a5"/>
        <w:numPr>
          <w:ilvl w:val="0"/>
          <w:numId w:val="20"/>
        </w:numPr>
        <w:rPr>
          <w:color w:val="000000"/>
          <w:szCs w:val="18"/>
        </w:rPr>
      </w:pPr>
      <w:r w:rsidRPr="00B85F0B">
        <w:rPr>
          <w:color w:val="000000"/>
          <w:szCs w:val="18"/>
        </w:rPr>
        <w:t>Использованная тара (мешки)</w:t>
      </w:r>
    </w:p>
    <w:p w14:paraId="5645CE02" w14:textId="77777777" w:rsidR="00FF3F0E" w:rsidRPr="00B85F0B" w:rsidRDefault="00FF3F0E" w:rsidP="00FF3F0E">
      <w:pPr>
        <w:pStyle w:val="a5"/>
        <w:numPr>
          <w:ilvl w:val="0"/>
          <w:numId w:val="20"/>
        </w:numPr>
        <w:rPr>
          <w:color w:val="000000"/>
          <w:szCs w:val="18"/>
        </w:rPr>
      </w:pPr>
      <w:r w:rsidRPr="00B85F0B">
        <w:rPr>
          <w:color w:val="000000"/>
          <w:szCs w:val="18"/>
        </w:rPr>
        <w:t>Использованная тара (бочки)</w:t>
      </w:r>
    </w:p>
    <w:p w14:paraId="4EFD13DE" w14:textId="77777777" w:rsidR="00FF3F0E" w:rsidRPr="00B85F0B" w:rsidRDefault="00FF3F0E" w:rsidP="00FF3F0E">
      <w:pPr>
        <w:pStyle w:val="a5"/>
        <w:numPr>
          <w:ilvl w:val="0"/>
          <w:numId w:val="20"/>
        </w:numPr>
        <w:rPr>
          <w:color w:val="000000"/>
          <w:szCs w:val="18"/>
        </w:rPr>
      </w:pPr>
      <w:r w:rsidRPr="00B85F0B">
        <w:rPr>
          <w:color w:val="000000"/>
          <w:szCs w:val="18"/>
        </w:rPr>
        <w:t xml:space="preserve">Металлолом </w:t>
      </w:r>
    </w:p>
    <w:p w14:paraId="5DF01020" w14:textId="77777777" w:rsidR="00FF3F0E" w:rsidRPr="00B85F0B" w:rsidRDefault="00FF3F0E" w:rsidP="00FF3F0E">
      <w:pPr>
        <w:pStyle w:val="a5"/>
        <w:numPr>
          <w:ilvl w:val="0"/>
          <w:numId w:val="20"/>
        </w:numPr>
        <w:rPr>
          <w:color w:val="000000"/>
          <w:szCs w:val="18"/>
        </w:rPr>
      </w:pPr>
      <w:r w:rsidRPr="00B85F0B">
        <w:rPr>
          <w:color w:val="000000"/>
          <w:szCs w:val="18"/>
        </w:rPr>
        <w:t>Огарки сварочных электродов</w:t>
      </w:r>
      <w:r w:rsidRPr="00B85F0B">
        <w:rPr>
          <w:color w:val="000000"/>
          <w:szCs w:val="18"/>
          <w:lang w:val="en-AU"/>
        </w:rPr>
        <w:t> </w:t>
      </w:r>
    </w:p>
    <w:p w14:paraId="5DA78BB7" w14:textId="77777777" w:rsidR="00FF3F0E" w:rsidRPr="00B85F0B" w:rsidRDefault="00FF3F0E" w:rsidP="00FF3F0E">
      <w:pPr>
        <w:pStyle w:val="a5"/>
        <w:numPr>
          <w:ilvl w:val="0"/>
          <w:numId w:val="20"/>
        </w:numPr>
        <w:rPr>
          <w:color w:val="000000"/>
          <w:szCs w:val="18"/>
        </w:rPr>
      </w:pPr>
      <w:r w:rsidRPr="00B85F0B">
        <w:rPr>
          <w:color w:val="000000"/>
          <w:szCs w:val="18"/>
        </w:rPr>
        <w:t>Коммунальные отходы</w:t>
      </w:r>
      <w:r w:rsidRPr="00B85F0B">
        <w:rPr>
          <w:color w:val="000000"/>
          <w:szCs w:val="18"/>
          <w:lang w:val="en-AU"/>
        </w:rPr>
        <w:t> </w:t>
      </w:r>
    </w:p>
    <w:p w14:paraId="7FA7E17D" w14:textId="0A464E55" w:rsidR="00642599" w:rsidRPr="00636673" w:rsidRDefault="00642599" w:rsidP="00636673">
      <w:pPr>
        <w:pStyle w:val="Default"/>
        <w:ind w:firstLine="567"/>
        <w:jc w:val="both"/>
        <w:rPr>
          <w:rFonts w:eastAsia="Calibri"/>
          <w:sz w:val="22"/>
          <w:lang w:val="ru-RU"/>
        </w:rPr>
      </w:pPr>
      <w:r w:rsidRPr="00636673">
        <w:rPr>
          <w:rFonts w:eastAsia="Calibri"/>
          <w:sz w:val="22"/>
          <w:lang w:val="ru-RU"/>
        </w:rPr>
        <w:t xml:space="preserve">Общее количество отходов </w:t>
      </w:r>
      <w:proofErr w:type="gramStart"/>
      <w:r w:rsidRPr="00636673">
        <w:rPr>
          <w:rFonts w:eastAsia="Calibri"/>
          <w:sz w:val="22"/>
          <w:lang w:val="ru-RU"/>
        </w:rPr>
        <w:t xml:space="preserve">составит </w:t>
      </w:r>
      <w:r w:rsidR="00636673">
        <w:rPr>
          <w:rFonts w:eastAsia="Calibri"/>
          <w:sz w:val="22"/>
          <w:lang w:val="ru-RU"/>
        </w:rPr>
        <w:t xml:space="preserve"> 1723</w:t>
      </w:r>
      <w:proofErr w:type="gramEnd"/>
      <w:r w:rsidR="00636673">
        <w:rPr>
          <w:rFonts w:eastAsia="Calibri"/>
          <w:sz w:val="22"/>
          <w:lang w:val="ru-RU"/>
        </w:rPr>
        <w:t>,74132</w:t>
      </w:r>
      <w:r w:rsidR="00636673">
        <w:rPr>
          <w:sz w:val="22"/>
          <w:lang w:val="kk-KZ"/>
        </w:rPr>
        <w:t xml:space="preserve"> </w:t>
      </w:r>
      <w:r w:rsidRPr="00642599">
        <w:rPr>
          <w:sz w:val="22"/>
          <w:lang w:val="kk-KZ"/>
        </w:rPr>
        <w:t>тонны.</w:t>
      </w:r>
    </w:p>
    <w:p w14:paraId="66827BD5" w14:textId="77777777" w:rsidR="00F325A8" w:rsidRPr="00642599" w:rsidRDefault="00F325A8" w:rsidP="00FF3F0E">
      <w:pPr>
        <w:pStyle w:val="a7"/>
        <w:ind w:firstLine="567"/>
        <w:jc w:val="both"/>
        <w:rPr>
          <w:rFonts w:eastAsia="Calibri" w:cs="Times New Roman"/>
          <w:bCs/>
          <w:sz w:val="22"/>
        </w:rPr>
      </w:pPr>
      <w:r w:rsidRPr="00642599">
        <w:rPr>
          <w:rFonts w:eastAsia="Calibri" w:cs="Times New Roman"/>
          <w:sz w:val="22"/>
        </w:rPr>
        <w:t xml:space="preserve">Отходы по мере их накопления собирают в емкости и передаются на договорной основе сторонним организациям имеющим лицензию </w:t>
      </w:r>
      <w:r w:rsidRPr="00642599">
        <w:rPr>
          <w:rFonts w:eastAsia="Calibri" w:cs="Times New Roman"/>
          <w:color w:val="000000"/>
          <w:sz w:val="22"/>
        </w:rPr>
        <w:t>по переработке, обезвреживанию, утилизации и (или) уничтожению опасных отходов.</w:t>
      </w:r>
      <w:r w:rsidRPr="00642599">
        <w:rPr>
          <w:rFonts w:eastAsia="Calibri" w:cs="Times New Roman"/>
          <w:sz w:val="22"/>
        </w:rPr>
        <w:t xml:space="preserve"> </w:t>
      </w:r>
    </w:p>
    <w:p w14:paraId="36D58B4C" w14:textId="77777777" w:rsidR="00F325A8" w:rsidRPr="00642599" w:rsidRDefault="00F325A8" w:rsidP="00FF3F0E">
      <w:pPr>
        <w:pStyle w:val="Default"/>
        <w:ind w:firstLine="567"/>
        <w:jc w:val="both"/>
        <w:rPr>
          <w:b/>
          <w:sz w:val="22"/>
          <w:szCs w:val="22"/>
          <w:lang w:val="ru-RU"/>
        </w:rPr>
      </w:pPr>
    </w:p>
    <w:p w14:paraId="394DB22F" w14:textId="77777777" w:rsidR="00F325A8" w:rsidRPr="00642599" w:rsidRDefault="00F325A8" w:rsidP="00FF3F0E">
      <w:pPr>
        <w:pStyle w:val="Default"/>
        <w:ind w:firstLine="567"/>
        <w:jc w:val="both"/>
        <w:rPr>
          <w:b/>
          <w:sz w:val="22"/>
          <w:szCs w:val="22"/>
          <w:lang w:val="ru-RU"/>
        </w:rPr>
      </w:pPr>
      <w:r w:rsidRPr="00642599">
        <w:rPr>
          <w:b/>
          <w:sz w:val="22"/>
          <w:szCs w:val="22"/>
          <w:lang w:val="ru-RU"/>
        </w:rPr>
        <w:t>Аварийные ситуаций</w:t>
      </w:r>
    </w:p>
    <w:p w14:paraId="74B98B2A" w14:textId="77777777" w:rsidR="00F325A8" w:rsidRPr="00642599" w:rsidRDefault="00F325A8" w:rsidP="00FF3F0E">
      <w:pPr>
        <w:pStyle w:val="Default"/>
        <w:ind w:firstLine="567"/>
        <w:jc w:val="both"/>
        <w:rPr>
          <w:sz w:val="22"/>
          <w:szCs w:val="22"/>
          <w:lang w:val="ru-RU"/>
        </w:rPr>
      </w:pPr>
      <w:r w:rsidRPr="00642599">
        <w:rPr>
          <w:sz w:val="22"/>
          <w:szCs w:val="22"/>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0D1CBF26" w14:textId="77777777" w:rsidR="00F325A8" w:rsidRPr="00642599" w:rsidRDefault="00F325A8" w:rsidP="00FF3F0E">
      <w:pPr>
        <w:pStyle w:val="Default"/>
        <w:ind w:firstLine="567"/>
        <w:jc w:val="both"/>
        <w:rPr>
          <w:rFonts w:eastAsia="Calibri"/>
          <w:sz w:val="22"/>
          <w:szCs w:val="22"/>
          <w:lang w:val="ru-RU"/>
        </w:rPr>
      </w:pPr>
      <w:r w:rsidRPr="00642599">
        <w:rPr>
          <w:sz w:val="22"/>
          <w:szCs w:val="22"/>
          <w:lang w:val="ru-RU"/>
        </w:rPr>
        <w:t xml:space="preserve">Необходимо отметить, что на территории месторождения случаи возникновения аварий не отмечалось. </w:t>
      </w:r>
    </w:p>
    <w:p w14:paraId="22DDD612"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Для предотвращения аварий предприятие проводят следующие мероприятия:</w:t>
      </w:r>
    </w:p>
    <w:p w14:paraId="336A2C09"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0B28114A"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1B2C0A51"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03949561"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76335671"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2A8833B3"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46341D3D" w14:textId="77777777" w:rsidR="00F325A8" w:rsidRPr="00642599" w:rsidRDefault="00F325A8" w:rsidP="00FF3F0E">
      <w:pPr>
        <w:pStyle w:val="a7"/>
        <w:widowControl w:val="0"/>
        <w:tabs>
          <w:tab w:val="left" w:pos="567"/>
        </w:tabs>
        <w:ind w:firstLine="567"/>
        <w:jc w:val="both"/>
        <w:rPr>
          <w:rFonts w:eastAsia="Calibri" w:cs="Times New Roman"/>
          <w:sz w:val="22"/>
        </w:rPr>
      </w:pPr>
      <w:r w:rsidRPr="00642599">
        <w:rPr>
          <w:rFonts w:eastAsia="Times New Roman" w:cs="Times New Roman"/>
          <w:color w:val="000000"/>
          <w:sz w:val="22"/>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58528460"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70AD4132"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lastRenderedPageBreak/>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41AB11B3"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5AD2E7A7" w14:textId="77777777" w:rsidR="00F325A8" w:rsidRPr="00642599" w:rsidRDefault="00F325A8" w:rsidP="00FF3F0E">
      <w:pPr>
        <w:ind w:firstLine="567"/>
        <w:jc w:val="both"/>
        <w:rPr>
          <w:sz w:val="22"/>
          <w:szCs w:val="22"/>
        </w:rPr>
      </w:pPr>
      <w:r w:rsidRPr="00642599">
        <w:rPr>
          <w:color w:val="000000"/>
          <w:sz w:val="22"/>
          <w:szCs w:val="22"/>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680DD386"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По отходам производства: своевременная организация системы сбора, транспортировки и утилизации отходов. </w:t>
      </w:r>
    </w:p>
    <w:p w14:paraId="75789E0F"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2F54923F"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5A7B4AD5"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46F2C650" w14:textId="77777777" w:rsidR="00F325A8" w:rsidRPr="00642599" w:rsidRDefault="00F325A8" w:rsidP="00FF3F0E">
      <w:pPr>
        <w:autoSpaceDE w:val="0"/>
        <w:autoSpaceDN w:val="0"/>
        <w:adjustRightInd w:val="0"/>
        <w:ind w:firstLine="567"/>
        <w:jc w:val="both"/>
        <w:rPr>
          <w:color w:val="000000"/>
          <w:sz w:val="22"/>
          <w:szCs w:val="22"/>
        </w:rPr>
      </w:pPr>
      <w:r w:rsidRPr="00642599">
        <w:rPr>
          <w:color w:val="000000"/>
          <w:sz w:val="22"/>
          <w:szCs w:val="22"/>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6AAECB58" w14:textId="77777777" w:rsidR="00F325A8" w:rsidRPr="00642599" w:rsidRDefault="00F325A8" w:rsidP="00FF3F0E">
      <w:pPr>
        <w:ind w:firstLine="567"/>
        <w:jc w:val="both"/>
        <w:rPr>
          <w:sz w:val="22"/>
          <w:szCs w:val="22"/>
        </w:rPr>
      </w:pPr>
      <w:r w:rsidRPr="00642599">
        <w:rPr>
          <w:color w:val="000000"/>
          <w:sz w:val="22"/>
          <w:szCs w:val="22"/>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4EBBD878" w14:textId="77777777" w:rsidR="00F325A8" w:rsidRPr="00642599" w:rsidRDefault="00F325A8" w:rsidP="00FF3F0E">
      <w:pPr>
        <w:rPr>
          <w:sz w:val="22"/>
          <w:szCs w:val="22"/>
        </w:rPr>
      </w:pPr>
    </w:p>
    <w:p w14:paraId="176C43D8" w14:textId="77777777" w:rsidR="00F325A8" w:rsidRPr="00642599" w:rsidRDefault="00F325A8" w:rsidP="00FF3F0E">
      <w:pPr>
        <w:rPr>
          <w:sz w:val="22"/>
          <w:szCs w:val="22"/>
        </w:rPr>
      </w:pPr>
    </w:p>
    <w:p w14:paraId="2F737D8D" w14:textId="77777777" w:rsidR="002D0F55" w:rsidRPr="00642599" w:rsidRDefault="002D0F55" w:rsidP="00FF3F0E">
      <w:pPr>
        <w:rPr>
          <w:sz w:val="22"/>
          <w:szCs w:val="22"/>
        </w:rPr>
      </w:pPr>
    </w:p>
    <w:sectPr w:rsidR="002D0F55" w:rsidRPr="00642599"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1F1F"/>
    <w:multiLevelType w:val="hybridMultilevel"/>
    <w:tmpl w:val="196455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4570AA6"/>
    <w:multiLevelType w:val="hybridMultilevel"/>
    <w:tmpl w:val="7B305D96"/>
    <w:lvl w:ilvl="0" w:tplc="97FAC32C">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1B3567F7"/>
    <w:multiLevelType w:val="hybridMultilevel"/>
    <w:tmpl w:val="73A616FC"/>
    <w:lvl w:ilvl="0" w:tplc="807C81FE">
      <w:start w:val="6449"/>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F3205B1"/>
    <w:multiLevelType w:val="hybridMultilevel"/>
    <w:tmpl w:val="EDCA143A"/>
    <w:lvl w:ilvl="0" w:tplc="807C81FE">
      <w:start w:val="6449"/>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8C55151"/>
    <w:multiLevelType w:val="hybridMultilevel"/>
    <w:tmpl w:val="B456C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45AF1014"/>
    <w:multiLevelType w:val="hybridMultilevel"/>
    <w:tmpl w:val="FFAC1E5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6" w15:restartNumberingAfterBreak="0">
    <w:nsid w:val="63F61CA9"/>
    <w:multiLevelType w:val="hybridMultilevel"/>
    <w:tmpl w:val="535EBC16"/>
    <w:lvl w:ilvl="0" w:tplc="807C81FE">
      <w:start w:val="6449"/>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1933319023">
    <w:abstractNumId w:val="19"/>
  </w:num>
  <w:num w:numId="2" w16cid:durableId="1030843018">
    <w:abstractNumId w:val="18"/>
  </w:num>
  <w:num w:numId="3" w16cid:durableId="752970051">
    <w:abstractNumId w:val="5"/>
  </w:num>
  <w:num w:numId="4" w16cid:durableId="1064567240">
    <w:abstractNumId w:val="12"/>
  </w:num>
  <w:num w:numId="5" w16cid:durableId="2037272701">
    <w:abstractNumId w:val="6"/>
  </w:num>
  <w:num w:numId="6" w16cid:durableId="1322470270">
    <w:abstractNumId w:val="1"/>
  </w:num>
  <w:num w:numId="7" w16cid:durableId="1052384197">
    <w:abstractNumId w:val="10"/>
  </w:num>
  <w:num w:numId="8" w16cid:durableId="47186681">
    <w:abstractNumId w:val="13"/>
  </w:num>
  <w:num w:numId="9" w16cid:durableId="1156646958">
    <w:abstractNumId w:val="9"/>
  </w:num>
  <w:num w:numId="10" w16cid:durableId="1059086695">
    <w:abstractNumId w:val="15"/>
  </w:num>
  <w:num w:numId="11" w16cid:durableId="1719158789">
    <w:abstractNumId w:val="14"/>
  </w:num>
  <w:num w:numId="12" w16cid:durableId="718819016">
    <w:abstractNumId w:val="17"/>
  </w:num>
  <w:num w:numId="13" w16cid:durableId="2018653514">
    <w:abstractNumId w:val="8"/>
  </w:num>
  <w:num w:numId="14" w16cid:durableId="1659458987">
    <w:abstractNumId w:val="2"/>
  </w:num>
  <w:num w:numId="15" w16cid:durableId="1347438138">
    <w:abstractNumId w:val="4"/>
  </w:num>
  <w:num w:numId="16" w16cid:durableId="1868518847">
    <w:abstractNumId w:val="16"/>
  </w:num>
  <w:num w:numId="17" w16cid:durableId="179517151">
    <w:abstractNumId w:val="3"/>
  </w:num>
  <w:num w:numId="18" w16cid:durableId="553396999">
    <w:abstractNumId w:val="7"/>
  </w:num>
  <w:num w:numId="19" w16cid:durableId="2129930609">
    <w:abstractNumId w:val="11"/>
  </w:num>
  <w:num w:numId="20" w16cid:durableId="50810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504EF"/>
    <w:rsid w:val="000D1D0D"/>
    <w:rsid w:val="0016401F"/>
    <w:rsid w:val="0018031D"/>
    <w:rsid w:val="00210485"/>
    <w:rsid w:val="00265047"/>
    <w:rsid w:val="0027118D"/>
    <w:rsid w:val="002B42AF"/>
    <w:rsid w:val="002C56C7"/>
    <w:rsid w:val="002D0F55"/>
    <w:rsid w:val="003A6344"/>
    <w:rsid w:val="00403508"/>
    <w:rsid w:val="00467225"/>
    <w:rsid w:val="00472FF9"/>
    <w:rsid w:val="0048444F"/>
    <w:rsid w:val="00541316"/>
    <w:rsid w:val="005A319C"/>
    <w:rsid w:val="005F0989"/>
    <w:rsid w:val="0061389E"/>
    <w:rsid w:val="00636673"/>
    <w:rsid w:val="00642599"/>
    <w:rsid w:val="00675238"/>
    <w:rsid w:val="0068493B"/>
    <w:rsid w:val="0071561B"/>
    <w:rsid w:val="0079761B"/>
    <w:rsid w:val="007E2BF4"/>
    <w:rsid w:val="00860C23"/>
    <w:rsid w:val="00880086"/>
    <w:rsid w:val="008C6310"/>
    <w:rsid w:val="008D7A71"/>
    <w:rsid w:val="008E7A0D"/>
    <w:rsid w:val="00903388"/>
    <w:rsid w:val="00942633"/>
    <w:rsid w:val="00985A98"/>
    <w:rsid w:val="00997BEC"/>
    <w:rsid w:val="00A041CB"/>
    <w:rsid w:val="00A31939"/>
    <w:rsid w:val="00B024E4"/>
    <w:rsid w:val="00B054F6"/>
    <w:rsid w:val="00B85F0B"/>
    <w:rsid w:val="00B919D0"/>
    <w:rsid w:val="00BA4ED0"/>
    <w:rsid w:val="00BF6265"/>
    <w:rsid w:val="00C14C18"/>
    <w:rsid w:val="00C23E5C"/>
    <w:rsid w:val="00C84C22"/>
    <w:rsid w:val="00C87756"/>
    <w:rsid w:val="00CD06F4"/>
    <w:rsid w:val="00D06261"/>
    <w:rsid w:val="00D12993"/>
    <w:rsid w:val="00D218BD"/>
    <w:rsid w:val="00D409B4"/>
    <w:rsid w:val="00DC50BF"/>
    <w:rsid w:val="00DD6A58"/>
    <w:rsid w:val="00DE47A4"/>
    <w:rsid w:val="00E16AFF"/>
    <w:rsid w:val="00E16D76"/>
    <w:rsid w:val="00ED7C52"/>
    <w:rsid w:val="00EE3118"/>
    <w:rsid w:val="00F221EF"/>
    <w:rsid w:val="00F325A8"/>
    <w:rsid w:val="00F900E5"/>
    <w:rsid w:val="00FB2A45"/>
    <w:rsid w:val="00FF3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B4BE"/>
  <w15:docId w15:val="{561A1C15-C88C-43E0-B011-B2713035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1"/>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af1">
    <w:name w:val="ТАБЛИЦА Знак"/>
    <w:basedOn w:val="a0"/>
    <w:link w:val="af2"/>
    <w:locked/>
    <w:rsid w:val="0071561B"/>
    <w:rPr>
      <w:rFonts w:eastAsia="Calibri"/>
      <w:b/>
    </w:rPr>
  </w:style>
  <w:style w:type="paragraph" w:customStyle="1" w:styleId="af2">
    <w:name w:val="ТАБЛИЦА"/>
    <w:basedOn w:val="a"/>
    <w:link w:val="af1"/>
    <w:qFormat/>
    <w:rsid w:val="0071561B"/>
    <w:rPr>
      <w:rFonts w:eastAsia="Calibri"/>
      <w:b/>
      <w:sz w:val="20"/>
      <w:szCs w:val="20"/>
    </w:rPr>
  </w:style>
  <w:style w:type="paragraph" w:customStyle="1" w:styleId="TableParagraph">
    <w:name w:val="Table Paragraph"/>
    <w:basedOn w:val="a"/>
    <w:uiPriority w:val="1"/>
    <w:qFormat/>
    <w:rsid w:val="00FF3F0E"/>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10</cp:revision>
  <dcterms:created xsi:type="dcterms:W3CDTF">2024-08-13T06:50:00Z</dcterms:created>
  <dcterms:modified xsi:type="dcterms:W3CDTF">2025-10-22T10:28:00Z</dcterms:modified>
</cp:coreProperties>
</file>