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DD8A" w14:textId="34BF150C" w:rsidR="0006534D" w:rsidRPr="0034139C" w:rsidRDefault="00EA68B9" w:rsidP="003413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39C">
        <w:rPr>
          <w:rFonts w:ascii="Times New Roman" w:hAnsi="Times New Roman" w:cs="Times New Roman"/>
          <w:b/>
          <w:bCs/>
          <w:sz w:val="28"/>
          <w:szCs w:val="28"/>
        </w:rPr>
        <w:t>Нетехническое Резюме</w:t>
      </w:r>
    </w:p>
    <w:p w14:paraId="78F36F8D" w14:textId="77777777" w:rsidR="00573776" w:rsidRPr="00573776" w:rsidRDefault="00573776" w:rsidP="00573776">
      <w:pPr>
        <w:widowControl w:val="0"/>
        <w:tabs>
          <w:tab w:val="num" w:pos="1260"/>
        </w:tabs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573776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Инициатор намечаемой деятельности – ТОО «</w:t>
      </w:r>
      <w:proofErr w:type="spellStart"/>
      <w:r w:rsidRPr="00573776">
        <w:rPr>
          <w:rFonts w:ascii="Times New Roman" w:eastAsia="Batang" w:hAnsi="Times New Roman" w:cs="Times New Roman"/>
          <w:sz w:val="24"/>
          <w:szCs w:val="20"/>
          <w:lang w:eastAsia="ko-KR"/>
        </w:rPr>
        <w:t>Qybyrai</w:t>
      </w:r>
      <w:proofErr w:type="spellEnd"/>
      <w:r w:rsidRPr="00573776">
        <w:rPr>
          <w:rFonts w:ascii="Times New Roman" w:eastAsia="Batang" w:hAnsi="Times New Roman" w:cs="Times New Roman"/>
          <w:sz w:val="24"/>
          <w:szCs w:val="20"/>
          <w:lang w:eastAsia="ko-KR"/>
        </w:rPr>
        <w:t xml:space="preserve"> Capital</w:t>
      </w:r>
      <w:r w:rsidRPr="00573776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». </w:t>
      </w:r>
    </w:p>
    <w:p w14:paraId="2E0B6597" w14:textId="77777777" w:rsidR="00573776" w:rsidRPr="00573776" w:rsidRDefault="00573776" w:rsidP="00573776">
      <w:pPr>
        <w:widowControl w:val="0"/>
        <w:tabs>
          <w:tab w:val="num" w:pos="1260"/>
        </w:tabs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pacing w:val="2"/>
          <w:sz w:val="24"/>
          <w:szCs w:val="24"/>
          <w:shd w:val="clear" w:color="auto" w:fill="FFFFFF"/>
          <w:lang w:eastAsia="ko-KR"/>
        </w:rPr>
      </w:pPr>
      <w:r w:rsidRPr="00573776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Юридический адрес Республика Казахстан, </w:t>
      </w:r>
      <w:r w:rsidRPr="00573776">
        <w:rPr>
          <w:rFonts w:ascii="Times New Roman" w:eastAsia="Batang" w:hAnsi="Times New Roman" w:cs="Times New Roman"/>
          <w:spacing w:val="2"/>
          <w:sz w:val="24"/>
          <w:szCs w:val="24"/>
          <w:shd w:val="clear" w:color="auto" w:fill="FFFFFF"/>
          <w:lang w:eastAsia="ko-KR"/>
        </w:rPr>
        <w:t xml:space="preserve">Жамбылская область, Кордайский район, с. </w:t>
      </w:r>
      <w:proofErr w:type="spellStart"/>
      <w:r w:rsidRPr="00573776">
        <w:rPr>
          <w:rFonts w:ascii="Times New Roman" w:eastAsia="Batang" w:hAnsi="Times New Roman" w:cs="Times New Roman"/>
          <w:spacing w:val="2"/>
          <w:sz w:val="24"/>
          <w:szCs w:val="24"/>
          <w:shd w:val="clear" w:color="auto" w:fill="FFFFFF"/>
          <w:lang w:eastAsia="ko-KR"/>
        </w:rPr>
        <w:t>Кордай</w:t>
      </w:r>
      <w:proofErr w:type="spellEnd"/>
      <w:r w:rsidRPr="00573776">
        <w:rPr>
          <w:rFonts w:ascii="Times New Roman" w:eastAsia="Batang" w:hAnsi="Times New Roman" w:cs="Times New Roman"/>
          <w:spacing w:val="2"/>
          <w:sz w:val="24"/>
          <w:szCs w:val="24"/>
          <w:shd w:val="clear" w:color="auto" w:fill="FFFFFF"/>
          <w:lang w:eastAsia="ko-KR"/>
        </w:rPr>
        <w:t>, ул. Толе би, 11;</w:t>
      </w:r>
    </w:p>
    <w:p w14:paraId="064524F4" w14:textId="77777777" w:rsidR="00573776" w:rsidRPr="00573776" w:rsidRDefault="00573776" w:rsidP="005737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9F9F9"/>
          <w:lang w:eastAsia="ru-RU"/>
        </w:rPr>
      </w:pPr>
      <w:r w:rsidRPr="0057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БИН </w:t>
      </w:r>
      <w:r w:rsidRPr="00573776">
        <w:rPr>
          <w:rFonts w:ascii="Times New Roman" w:eastAsia="Times New Roman" w:hAnsi="Times New Roman" w:cs="Times New Roman"/>
          <w:sz w:val="24"/>
          <w:szCs w:val="20"/>
          <w:lang w:eastAsia="ru-RU"/>
        </w:rPr>
        <w:t>200240005198.</w:t>
      </w:r>
    </w:p>
    <w:p w14:paraId="25A768FA" w14:textId="77777777" w:rsidR="00573776" w:rsidRPr="00573776" w:rsidRDefault="00573776" w:rsidP="00573776">
      <w:pPr>
        <w:widowControl w:val="0"/>
        <w:tabs>
          <w:tab w:val="num" w:pos="1260"/>
        </w:tabs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 w:rsidRPr="00573776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Директор </w:t>
      </w:r>
      <w:proofErr w:type="spellStart"/>
      <w:r w:rsidRPr="00573776">
        <w:rPr>
          <w:rFonts w:ascii="Times New Roman" w:eastAsia="Batang" w:hAnsi="Times New Roman" w:cs="Times New Roman"/>
          <w:sz w:val="24"/>
          <w:szCs w:val="20"/>
          <w:lang w:eastAsia="ko-KR"/>
        </w:rPr>
        <w:t>Солтанбеков</w:t>
      </w:r>
      <w:proofErr w:type="spellEnd"/>
      <w:r w:rsidRPr="00573776">
        <w:rPr>
          <w:rFonts w:ascii="Times New Roman" w:eastAsia="Batang" w:hAnsi="Times New Roman" w:cs="Times New Roman"/>
          <w:sz w:val="24"/>
          <w:szCs w:val="20"/>
          <w:lang w:eastAsia="ko-KR"/>
        </w:rPr>
        <w:t xml:space="preserve"> </w:t>
      </w:r>
      <w:proofErr w:type="spellStart"/>
      <w:r w:rsidRPr="00573776">
        <w:rPr>
          <w:rFonts w:ascii="Times New Roman" w:eastAsia="Batang" w:hAnsi="Times New Roman" w:cs="Times New Roman"/>
          <w:sz w:val="24"/>
          <w:szCs w:val="20"/>
          <w:lang w:eastAsia="ko-KR"/>
        </w:rPr>
        <w:t>Сарсенбай</w:t>
      </w:r>
      <w:proofErr w:type="spellEnd"/>
      <w:r w:rsidRPr="00573776">
        <w:rPr>
          <w:rFonts w:ascii="Times New Roman" w:eastAsia="Batang" w:hAnsi="Times New Roman" w:cs="Times New Roman"/>
          <w:sz w:val="24"/>
          <w:szCs w:val="20"/>
          <w:lang w:eastAsia="ko-KR"/>
        </w:rPr>
        <w:t xml:space="preserve"> </w:t>
      </w:r>
      <w:proofErr w:type="spellStart"/>
      <w:r w:rsidRPr="00573776">
        <w:rPr>
          <w:rFonts w:ascii="Times New Roman" w:eastAsia="Batang" w:hAnsi="Times New Roman" w:cs="Times New Roman"/>
          <w:sz w:val="24"/>
          <w:szCs w:val="20"/>
          <w:lang w:eastAsia="ko-KR"/>
        </w:rPr>
        <w:t>Нураханович</w:t>
      </w:r>
      <w:proofErr w:type="spellEnd"/>
    </w:p>
    <w:p w14:paraId="22730B79" w14:textId="7A2B45AB" w:rsidR="00573776" w:rsidRPr="00573776" w:rsidRDefault="00573776" w:rsidP="00573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ko-KR"/>
        </w:rPr>
      </w:pPr>
      <w:hyperlink r:id="rId5" w:history="1">
        <w:r w:rsidRPr="0057377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Контакты</w:t>
        </w:r>
      </w:hyperlink>
      <w:r w:rsidRPr="00573776">
        <w:rPr>
          <w:rFonts w:ascii="Times New Roman" w:eastAsia="Batang" w:hAnsi="Times New Roman" w:cs="Times New Roman"/>
          <w:color w:val="0000FF"/>
          <w:sz w:val="24"/>
          <w:szCs w:val="24"/>
          <w:u w:val="single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ko-KR"/>
        </w:rPr>
        <w:t>87073766590</w:t>
      </w:r>
    </w:p>
    <w:p w14:paraId="0CE56DAA" w14:textId="77777777" w:rsidR="00573776" w:rsidRDefault="00573776" w:rsidP="00EA68B9">
      <w:pPr>
        <w:pStyle w:val="Default"/>
      </w:pPr>
    </w:p>
    <w:p w14:paraId="7D903365" w14:textId="77777777" w:rsidR="00573776" w:rsidRPr="00573776" w:rsidRDefault="00573776" w:rsidP="00573776">
      <w:pPr>
        <w:widowControl w:val="0"/>
        <w:spacing w:after="0" w:line="240" w:lineRule="auto"/>
        <w:ind w:right="140" w:firstLine="567"/>
        <w:jc w:val="both"/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</w:pPr>
      <w:r w:rsidRPr="00573776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 xml:space="preserve">В административном отношении площадь геологического отвода находится на территории Кордайского района Жамбылской области в 23 км к северо-западу от районного центра </w:t>
      </w:r>
      <w:proofErr w:type="spellStart"/>
      <w:r w:rsidRPr="00573776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Кордай</w:t>
      </w:r>
      <w:proofErr w:type="spellEnd"/>
      <w:r w:rsidRPr="00573776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, в непосредственной близости к с. Калгуты, в 2-х км восточнее от трассы Тараз-Алматы. От областного центра г. Тараз удалено на 280км. ближайшими населенными пунктами месторождения являются: с. Калгуты и с. Степное.</w:t>
      </w:r>
    </w:p>
    <w:p w14:paraId="2010966B" w14:textId="77777777" w:rsidR="00573776" w:rsidRPr="00573776" w:rsidRDefault="00573776" w:rsidP="00573776">
      <w:pPr>
        <w:widowControl w:val="0"/>
        <w:spacing w:after="0" w:line="240" w:lineRule="auto"/>
        <w:ind w:right="140" w:firstLine="567"/>
        <w:jc w:val="center"/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</w:pPr>
      <w:r w:rsidRPr="00573776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Координаты месторождения песчано-гравийной смеси Калгуты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3693"/>
        <w:gridCol w:w="3694"/>
      </w:tblGrid>
      <w:tr w:rsidR="00573776" w:rsidRPr="00573776" w14:paraId="629397F7" w14:textId="77777777" w:rsidTr="00AA6B84">
        <w:trPr>
          <w:cantSplit/>
          <w:trHeight w:val="20"/>
          <w:jc w:val="center"/>
        </w:trPr>
        <w:tc>
          <w:tcPr>
            <w:tcW w:w="1330" w:type="dxa"/>
            <w:vMerge w:val="restart"/>
          </w:tcPr>
          <w:p w14:paraId="3767407E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  <w:t>№</w:t>
            </w:r>
          </w:p>
          <w:p w14:paraId="0F21EF67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  <w:t>угловых точек</w:t>
            </w:r>
          </w:p>
        </w:tc>
        <w:tc>
          <w:tcPr>
            <w:tcW w:w="7387" w:type="dxa"/>
            <w:gridSpan w:val="2"/>
            <w:vAlign w:val="center"/>
          </w:tcPr>
          <w:p w14:paraId="23E9FCCA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  <w:t>Географические координаты</w:t>
            </w:r>
          </w:p>
        </w:tc>
      </w:tr>
      <w:tr w:rsidR="00573776" w:rsidRPr="00573776" w14:paraId="38EED167" w14:textId="77777777" w:rsidTr="00AA6B84">
        <w:trPr>
          <w:cantSplit/>
          <w:trHeight w:val="20"/>
          <w:jc w:val="center"/>
        </w:trPr>
        <w:tc>
          <w:tcPr>
            <w:tcW w:w="1330" w:type="dxa"/>
            <w:vMerge/>
            <w:vAlign w:val="center"/>
          </w:tcPr>
          <w:p w14:paraId="5339BC9D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</w:p>
        </w:tc>
        <w:tc>
          <w:tcPr>
            <w:tcW w:w="3693" w:type="dxa"/>
            <w:vAlign w:val="center"/>
          </w:tcPr>
          <w:p w14:paraId="6905C3BA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  <w:t>сев. широта</w:t>
            </w:r>
          </w:p>
        </w:tc>
        <w:tc>
          <w:tcPr>
            <w:tcW w:w="3694" w:type="dxa"/>
            <w:vAlign w:val="center"/>
          </w:tcPr>
          <w:p w14:paraId="1D32979B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/>
                <w:bCs/>
                <w:color w:val="000000"/>
                <w:sz w:val="20"/>
                <w:szCs w:val="24"/>
                <w:lang w:eastAsia="ru-RU" w:bidi="ru-RU"/>
              </w:rPr>
              <w:t>вост. долгота</w:t>
            </w:r>
          </w:p>
        </w:tc>
      </w:tr>
      <w:tr w:rsidR="00573776" w:rsidRPr="00573776" w14:paraId="7DEFD93A" w14:textId="77777777" w:rsidTr="00AA6B84">
        <w:trPr>
          <w:trHeight w:val="20"/>
          <w:jc w:val="center"/>
        </w:trPr>
        <w:tc>
          <w:tcPr>
            <w:tcW w:w="1330" w:type="dxa"/>
          </w:tcPr>
          <w:p w14:paraId="3CE429D2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  <w:t>1</w:t>
            </w:r>
          </w:p>
        </w:tc>
        <w:tc>
          <w:tcPr>
            <w:tcW w:w="3693" w:type="dxa"/>
            <w:vAlign w:val="center"/>
          </w:tcPr>
          <w:p w14:paraId="1825291F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43°10'31"</w:t>
            </w:r>
          </w:p>
        </w:tc>
        <w:tc>
          <w:tcPr>
            <w:tcW w:w="3694" w:type="dxa"/>
            <w:vAlign w:val="center"/>
          </w:tcPr>
          <w:p w14:paraId="64A736D8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74°37'48"</w:t>
            </w:r>
          </w:p>
        </w:tc>
      </w:tr>
      <w:tr w:rsidR="00573776" w:rsidRPr="00573776" w14:paraId="3A862759" w14:textId="77777777" w:rsidTr="00AA6B84">
        <w:trPr>
          <w:trHeight w:val="20"/>
          <w:jc w:val="center"/>
        </w:trPr>
        <w:tc>
          <w:tcPr>
            <w:tcW w:w="1330" w:type="dxa"/>
          </w:tcPr>
          <w:p w14:paraId="756D8153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  <w:t>2</w:t>
            </w:r>
          </w:p>
        </w:tc>
        <w:tc>
          <w:tcPr>
            <w:tcW w:w="3693" w:type="dxa"/>
            <w:vAlign w:val="center"/>
          </w:tcPr>
          <w:p w14:paraId="050745B7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43°10'46"</w:t>
            </w:r>
          </w:p>
        </w:tc>
        <w:tc>
          <w:tcPr>
            <w:tcW w:w="3694" w:type="dxa"/>
            <w:vAlign w:val="center"/>
          </w:tcPr>
          <w:p w14:paraId="030A3B00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74°38'17"</w:t>
            </w:r>
          </w:p>
        </w:tc>
      </w:tr>
      <w:tr w:rsidR="00573776" w:rsidRPr="00573776" w14:paraId="493D35B8" w14:textId="77777777" w:rsidTr="00AA6B84">
        <w:trPr>
          <w:trHeight w:val="20"/>
          <w:jc w:val="center"/>
        </w:trPr>
        <w:tc>
          <w:tcPr>
            <w:tcW w:w="1330" w:type="dxa"/>
          </w:tcPr>
          <w:p w14:paraId="47A04B97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  <w:t>3</w:t>
            </w:r>
          </w:p>
        </w:tc>
        <w:tc>
          <w:tcPr>
            <w:tcW w:w="3693" w:type="dxa"/>
            <w:vAlign w:val="center"/>
          </w:tcPr>
          <w:p w14:paraId="6B80AA8F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43°10'43"</w:t>
            </w:r>
          </w:p>
        </w:tc>
        <w:tc>
          <w:tcPr>
            <w:tcW w:w="3694" w:type="dxa"/>
            <w:vAlign w:val="center"/>
          </w:tcPr>
          <w:p w14:paraId="421C0D76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74°38'18"</w:t>
            </w:r>
          </w:p>
        </w:tc>
      </w:tr>
      <w:tr w:rsidR="00573776" w:rsidRPr="00573776" w14:paraId="75602B6D" w14:textId="77777777" w:rsidTr="00AA6B84">
        <w:trPr>
          <w:trHeight w:val="20"/>
          <w:jc w:val="center"/>
        </w:trPr>
        <w:tc>
          <w:tcPr>
            <w:tcW w:w="1330" w:type="dxa"/>
          </w:tcPr>
          <w:p w14:paraId="4C42A31E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  <w:t>4</w:t>
            </w:r>
          </w:p>
        </w:tc>
        <w:tc>
          <w:tcPr>
            <w:tcW w:w="3693" w:type="dxa"/>
            <w:vAlign w:val="center"/>
          </w:tcPr>
          <w:p w14:paraId="3378967B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43°10'31"</w:t>
            </w:r>
          </w:p>
        </w:tc>
        <w:tc>
          <w:tcPr>
            <w:tcW w:w="3694" w:type="dxa"/>
            <w:vAlign w:val="center"/>
          </w:tcPr>
          <w:p w14:paraId="3431CBB2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74°38'8"</w:t>
            </w:r>
          </w:p>
        </w:tc>
      </w:tr>
      <w:tr w:rsidR="00573776" w:rsidRPr="00573776" w14:paraId="126C0363" w14:textId="77777777" w:rsidTr="00AA6B84">
        <w:trPr>
          <w:trHeight w:val="20"/>
          <w:jc w:val="center"/>
        </w:trPr>
        <w:tc>
          <w:tcPr>
            <w:tcW w:w="1330" w:type="dxa"/>
          </w:tcPr>
          <w:p w14:paraId="056EE48B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  <w:t>5</w:t>
            </w:r>
          </w:p>
        </w:tc>
        <w:tc>
          <w:tcPr>
            <w:tcW w:w="3693" w:type="dxa"/>
            <w:vAlign w:val="center"/>
          </w:tcPr>
          <w:p w14:paraId="0A426A5D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43°10'39"</w:t>
            </w:r>
          </w:p>
        </w:tc>
        <w:tc>
          <w:tcPr>
            <w:tcW w:w="3694" w:type="dxa"/>
            <w:vAlign w:val="center"/>
          </w:tcPr>
          <w:p w14:paraId="30F7184D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74°38'20"</w:t>
            </w:r>
          </w:p>
        </w:tc>
      </w:tr>
      <w:tr w:rsidR="00573776" w:rsidRPr="00573776" w14:paraId="1AF5715F" w14:textId="77777777" w:rsidTr="00AA6B84">
        <w:trPr>
          <w:trHeight w:val="20"/>
          <w:jc w:val="center"/>
        </w:trPr>
        <w:tc>
          <w:tcPr>
            <w:tcW w:w="1330" w:type="dxa"/>
          </w:tcPr>
          <w:p w14:paraId="54CAB665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val="kk-KZ"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val="kk-KZ" w:eastAsia="ru-RU" w:bidi="ru-RU"/>
              </w:rPr>
              <w:t>6</w:t>
            </w:r>
          </w:p>
        </w:tc>
        <w:tc>
          <w:tcPr>
            <w:tcW w:w="3693" w:type="dxa"/>
            <w:vAlign w:val="center"/>
          </w:tcPr>
          <w:p w14:paraId="7FC41AD4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43°10'34"</w:t>
            </w:r>
          </w:p>
        </w:tc>
        <w:tc>
          <w:tcPr>
            <w:tcW w:w="3694" w:type="dxa"/>
            <w:vAlign w:val="center"/>
          </w:tcPr>
          <w:p w14:paraId="21462490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74°38'23"</w:t>
            </w:r>
          </w:p>
        </w:tc>
      </w:tr>
      <w:tr w:rsidR="00573776" w:rsidRPr="00573776" w14:paraId="1DC4CEE3" w14:textId="77777777" w:rsidTr="00AA6B84">
        <w:trPr>
          <w:trHeight w:val="20"/>
          <w:jc w:val="center"/>
        </w:trPr>
        <w:tc>
          <w:tcPr>
            <w:tcW w:w="1330" w:type="dxa"/>
          </w:tcPr>
          <w:p w14:paraId="550B00CF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val="kk-KZ"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val="kk-KZ" w:eastAsia="ru-RU" w:bidi="ru-RU"/>
              </w:rPr>
              <w:t>7</w:t>
            </w:r>
          </w:p>
        </w:tc>
        <w:tc>
          <w:tcPr>
            <w:tcW w:w="3693" w:type="dxa"/>
            <w:vAlign w:val="center"/>
          </w:tcPr>
          <w:p w14:paraId="222AE0FD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43°10'31"</w:t>
            </w:r>
          </w:p>
        </w:tc>
        <w:tc>
          <w:tcPr>
            <w:tcW w:w="3694" w:type="dxa"/>
            <w:vAlign w:val="center"/>
          </w:tcPr>
          <w:p w14:paraId="620610F1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74°38'20"</w:t>
            </w:r>
          </w:p>
        </w:tc>
      </w:tr>
      <w:tr w:rsidR="00573776" w:rsidRPr="00573776" w14:paraId="2F88743D" w14:textId="77777777" w:rsidTr="00AA6B84">
        <w:trPr>
          <w:trHeight w:val="20"/>
          <w:jc w:val="center"/>
        </w:trPr>
        <w:tc>
          <w:tcPr>
            <w:tcW w:w="1330" w:type="dxa"/>
          </w:tcPr>
          <w:p w14:paraId="22418C12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val="kk-KZ"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val="kk-KZ" w:eastAsia="ru-RU" w:bidi="ru-RU"/>
              </w:rPr>
              <w:t>8</w:t>
            </w:r>
          </w:p>
        </w:tc>
        <w:tc>
          <w:tcPr>
            <w:tcW w:w="3693" w:type="dxa"/>
            <w:vAlign w:val="center"/>
          </w:tcPr>
          <w:p w14:paraId="47A74B75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43°10'31"</w:t>
            </w:r>
          </w:p>
        </w:tc>
        <w:tc>
          <w:tcPr>
            <w:tcW w:w="3694" w:type="dxa"/>
            <w:vAlign w:val="center"/>
          </w:tcPr>
          <w:p w14:paraId="780694D4" w14:textId="77777777" w:rsidR="00573776" w:rsidRPr="00573776" w:rsidRDefault="00573776" w:rsidP="00573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74°38'14"</w:t>
            </w:r>
          </w:p>
        </w:tc>
      </w:tr>
      <w:tr w:rsidR="00573776" w:rsidRPr="00573776" w14:paraId="511DB054" w14:textId="77777777" w:rsidTr="00AA6B84">
        <w:trPr>
          <w:trHeight w:val="20"/>
          <w:jc w:val="center"/>
        </w:trPr>
        <w:tc>
          <w:tcPr>
            <w:tcW w:w="8717" w:type="dxa"/>
            <w:gridSpan w:val="3"/>
          </w:tcPr>
          <w:p w14:paraId="20E01F4E" w14:textId="77777777" w:rsidR="00573776" w:rsidRPr="00573776" w:rsidRDefault="00573776" w:rsidP="0057377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Microsoft Sans Serif" w:hAnsi="Times New Roman" w:cs="Microsoft Sans Serif"/>
                <w:bCs/>
                <w:color w:val="000000"/>
                <w:sz w:val="20"/>
                <w:szCs w:val="24"/>
                <w:lang w:eastAsia="ru-RU" w:bidi="ru-RU"/>
              </w:rPr>
            </w:pP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Площадь– 1</w:t>
            </w: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val="kk-KZ" w:eastAsia="ru-RU" w:bidi="ru-RU"/>
              </w:rPr>
              <w:t>6</w:t>
            </w:r>
            <w:r w:rsidRPr="00573776">
              <w:rPr>
                <w:rFonts w:ascii="Times New Roman" w:eastAsia="Microsoft Sans Serif" w:hAnsi="Times New Roman" w:cs="Microsoft Sans Serif"/>
                <w:color w:val="000000"/>
                <w:sz w:val="20"/>
                <w:szCs w:val="24"/>
                <w:lang w:eastAsia="ru-RU" w:bidi="ru-RU"/>
              </w:rPr>
              <w:t>,1га</w:t>
            </w:r>
          </w:p>
        </w:tc>
      </w:tr>
    </w:tbl>
    <w:p w14:paraId="7B025ACF" w14:textId="77777777" w:rsidR="00573776" w:rsidRPr="00573776" w:rsidRDefault="00573776" w:rsidP="005737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29E4D" w14:textId="77777777" w:rsidR="00573776" w:rsidRPr="00573776" w:rsidRDefault="00573776" w:rsidP="005737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 района отличается сельскохозяйственной специализацией - хорошо развито земледелие, садоводство и скотоводство. Промышленные предприятия сосредоточены, главным образом в с. </w:t>
      </w:r>
      <w:proofErr w:type="spellStart"/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Кордай</w:t>
      </w:r>
      <w:proofErr w:type="spellEnd"/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районе работ действует ряд предприятий по добыче и переработке стройматериалов, таких как, карьер по добыче песчано-гравийной смеси и кирпичного сырья и др. Местное население занято в основном в сельском хозяйстве.</w:t>
      </w:r>
    </w:p>
    <w:p w14:paraId="765FC769" w14:textId="77777777" w:rsidR="00573776" w:rsidRPr="00573776" w:rsidRDefault="00573776" w:rsidP="005737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Электроэнергией район обеспечен. Лесоматериалы и топливо привозные. </w:t>
      </w:r>
    </w:p>
    <w:p w14:paraId="5372065F" w14:textId="77777777" w:rsidR="00573776" w:rsidRPr="00573776" w:rsidRDefault="00573776" w:rsidP="005737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условия района благоприятные, автомобильные трассы с асфальтовым покрытием связывают месторождение с близлежащими населенными пунктами и основными потребителями.</w:t>
      </w:r>
    </w:p>
    <w:p w14:paraId="426E34B0" w14:textId="77777777" w:rsidR="00EA68B9" w:rsidRPr="0034139C" w:rsidRDefault="00EA68B9" w:rsidP="00EA68B9">
      <w:pPr>
        <w:pStyle w:val="21"/>
      </w:pPr>
    </w:p>
    <w:p w14:paraId="18E80CFF" w14:textId="77777777" w:rsidR="00EA68B9" w:rsidRPr="0034139C" w:rsidRDefault="00EA68B9" w:rsidP="00EA68B9">
      <w:pPr>
        <w:pStyle w:val="a7"/>
        <w:jc w:val="center"/>
        <w:rPr>
          <w:b/>
          <w:bCs/>
          <w:i/>
          <w:iCs/>
          <w:color w:val="002060"/>
        </w:rPr>
      </w:pPr>
      <w:r w:rsidRPr="0034139C">
        <w:rPr>
          <w:b/>
          <w:bCs/>
          <w:i/>
          <w:iCs/>
          <w:color w:val="002060"/>
        </w:rPr>
        <w:t>Категория и класс опасности объекта</w:t>
      </w:r>
    </w:p>
    <w:p w14:paraId="5C5D6FA1" w14:textId="77777777" w:rsidR="00573776" w:rsidRPr="00C049E1" w:rsidRDefault="00573776" w:rsidP="00573776">
      <w:pPr>
        <w:pStyle w:val="12"/>
        <w:rPr>
          <w:rFonts w:eastAsia="Times New Roman"/>
          <w:szCs w:val="24"/>
          <w:lang w:eastAsia="ru-RU"/>
        </w:rPr>
      </w:pPr>
      <w:r w:rsidRPr="00C049E1">
        <w:rPr>
          <w:rFonts w:eastAsia="Times New Roman"/>
          <w:szCs w:val="24"/>
          <w:lang w:eastAsia="ru-RU"/>
        </w:rPr>
        <w:t xml:space="preserve">Согласно </w:t>
      </w:r>
      <w:proofErr w:type="spellStart"/>
      <w:r w:rsidRPr="00C049E1">
        <w:rPr>
          <w:rFonts w:eastAsia="Times New Roman"/>
          <w:szCs w:val="24"/>
          <w:lang w:eastAsia="ru-RU"/>
        </w:rPr>
        <w:t>пп</w:t>
      </w:r>
      <w:proofErr w:type="spellEnd"/>
      <w:r w:rsidRPr="00C049E1">
        <w:rPr>
          <w:rFonts w:eastAsia="Times New Roman"/>
          <w:szCs w:val="24"/>
          <w:lang w:eastAsia="ru-RU"/>
        </w:rPr>
        <w:t>. 2.5 п. 2 раздела 2 приложения 1 Экологического кодекса объект, относится к видам намечаемой деятельности и объектов, для которых проведение процедуры скрининга воздействий намечаемой деятельности является обязательным: добыча и переработка общераспространенных полезных ископаемых свыше 10 тыс. тонн в год.</w:t>
      </w:r>
    </w:p>
    <w:p w14:paraId="079067B5" w14:textId="77777777" w:rsidR="00573776" w:rsidRPr="00436090" w:rsidRDefault="00573776" w:rsidP="00573776">
      <w:pPr>
        <w:pStyle w:val="12"/>
        <w:rPr>
          <w:rStyle w:val="ListParagraphChar2"/>
          <w:rFonts w:eastAsia="Batang"/>
          <w:b/>
          <w:bCs/>
          <w:i/>
          <w:iCs/>
          <w:szCs w:val="24"/>
        </w:rPr>
      </w:pPr>
      <w:r w:rsidRPr="00C049E1">
        <w:rPr>
          <w:rFonts w:eastAsia="Times New Roman"/>
          <w:szCs w:val="24"/>
          <w:lang w:eastAsia="ru-RU"/>
        </w:rPr>
        <w:t xml:space="preserve">Согласно </w:t>
      </w:r>
      <w:proofErr w:type="spellStart"/>
      <w:r w:rsidRPr="00C049E1">
        <w:rPr>
          <w:rFonts w:eastAsia="Times New Roman"/>
          <w:szCs w:val="24"/>
          <w:lang w:eastAsia="ru-RU"/>
        </w:rPr>
        <w:t>пп</w:t>
      </w:r>
      <w:proofErr w:type="spellEnd"/>
      <w:r w:rsidRPr="00C049E1">
        <w:rPr>
          <w:rFonts w:eastAsia="Times New Roman"/>
          <w:szCs w:val="24"/>
          <w:lang w:eastAsia="ru-RU"/>
        </w:rPr>
        <w:t>. 7.11 п. 7 раздела 2 приложения 2 Экологического Кодекса РК вид намечаемой деятельности относится к объектам II категории: добыча и переработка общераспространенных полезных ископаемых свыше 10 тыс. тонн в год.</w:t>
      </w:r>
    </w:p>
    <w:p w14:paraId="70D0B6B3" w14:textId="77777777" w:rsidR="0034139C" w:rsidRDefault="0034139C" w:rsidP="00EA68B9">
      <w:pPr>
        <w:ind w:firstLine="567"/>
        <w:rPr>
          <w:rFonts w:ascii="Times New Roman" w:hAnsi="Times New Roman" w:cs="Times New Roman"/>
          <w:sz w:val="24"/>
          <w:szCs w:val="24"/>
        </w:rPr>
        <w:sectPr w:rsidR="0034139C" w:rsidSect="0034139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6381B12" w14:textId="42271801" w:rsidR="00EA68B9" w:rsidRPr="0034139C" w:rsidRDefault="00EA68B9" w:rsidP="00EA68B9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33CEFFF" w14:textId="1B5B5F4A" w:rsidR="00EA68B9" w:rsidRPr="0034139C" w:rsidRDefault="00EA68B9" w:rsidP="00EA68B9">
      <w:pPr>
        <w:pStyle w:val="a9"/>
        <w:rPr>
          <w:rFonts w:ascii="Times New Roman" w:hAnsi="Times New Roman"/>
          <w:szCs w:val="24"/>
        </w:rPr>
      </w:pPr>
      <w:bookmarkStart w:id="0" w:name="_Toc187789195"/>
      <w:r w:rsidRPr="0034139C">
        <w:rPr>
          <w:rFonts w:ascii="Times New Roman" w:hAnsi="Times New Roman"/>
          <w:szCs w:val="24"/>
        </w:rPr>
        <w:t xml:space="preserve">Рисунок </w:t>
      </w:r>
      <w:r w:rsidRPr="0034139C">
        <w:rPr>
          <w:rFonts w:ascii="Times New Roman" w:hAnsi="Times New Roman"/>
          <w:szCs w:val="24"/>
        </w:rPr>
        <w:fldChar w:fldCharType="begin"/>
      </w:r>
      <w:r w:rsidRPr="0034139C">
        <w:rPr>
          <w:rFonts w:ascii="Times New Roman" w:hAnsi="Times New Roman"/>
          <w:szCs w:val="24"/>
        </w:rPr>
        <w:instrText xml:space="preserve"> STYLEREF 1 \s </w:instrText>
      </w:r>
      <w:r w:rsidRPr="0034139C">
        <w:rPr>
          <w:rFonts w:ascii="Times New Roman" w:hAnsi="Times New Roman"/>
          <w:szCs w:val="24"/>
        </w:rPr>
        <w:fldChar w:fldCharType="separate"/>
      </w:r>
      <w:r w:rsidR="009716C4">
        <w:rPr>
          <w:rFonts w:ascii="Times New Roman" w:hAnsi="Times New Roman"/>
          <w:noProof/>
          <w:szCs w:val="24"/>
        </w:rPr>
        <w:t>1</w:t>
      </w:r>
      <w:r w:rsidRPr="0034139C">
        <w:rPr>
          <w:rFonts w:ascii="Times New Roman" w:hAnsi="Times New Roman"/>
          <w:noProof/>
          <w:szCs w:val="24"/>
        </w:rPr>
        <w:fldChar w:fldCharType="end"/>
      </w:r>
      <w:r w:rsidRPr="0034139C">
        <w:rPr>
          <w:rFonts w:ascii="Times New Roman" w:hAnsi="Times New Roman"/>
          <w:szCs w:val="24"/>
        </w:rPr>
        <w:t>.</w:t>
      </w:r>
      <w:r w:rsidRPr="0034139C">
        <w:rPr>
          <w:rFonts w:ascii="Times New Roman" w:hAnsi="Times New Roman"/>
          <w:szCs w:val="24"/>
        </w:rPr>
        <w:fldChar w:fldCharType="begin"/>
      </w:r>
      <w:r w:rsidRPr="0034139C">
        <w:rPr>
          <w:rFonts w:ascii="Times New Roman" w:hAnsi="Times New Roman"/>
          <w:szCs w:val="24"/>
        </w:rPr>
        <w:instrText xml:space="preserve"> SEQ Рисунок \* ARABIC \s 1 </w:instrText>
      </w:r>
      <w:r w:rsidRPr="0034139C">
        <w:rPr>
          <w:rFonts w:ascii="Times New Roman" w:hAnsi="Times New Roman"/>
          <w:szCs w:val="24"/>
        </w:rPr>
        <w:fldChar w:fldCharType="separate"/>
      </w:r>
      <w:r w:rsidR="009716C4">
        <w:rPr>
          <w:rFonts w:ascii="Times New Roman" w:hAnsi="Times New Roman"/>
          <w:noProof/>
          <w:szCs w:val="24"/>
        </w:rPr>
        <w:t>1</w:t>
      </w:r>
      <w:r w:rsidRPr="0034139C">
        <w:rPr>
          <w:rFonts w:ascii="Times New Roman" w:hAnsi="Times New Roman"/>
          <w:noProof/>
          <w:szCs w:val="24"/>
        </w:rPr>
        <w:fldChar w:fldCharType="end"/>
      </w:r>
      <w:r w:rsidRPr="0034139C">
        <w:rPr>
          <w:rFonts w:ascii="Times New Roman" w:hAnsi="Times New Roman"/>
          <w:szCs w:val="24"/>
        </w:rPr>
        <w:t xml:space="preserve"> Карта месторасположения предприятия</w:t>
      </w:r>
      <w:bookmarkEnd w:id="0"/>
    </w:p>
    <w:p w14:paraId="73CFDA42" w14:textId="77777777" w:rsidR="00EA68B9" w:rsidRPr="0034139C" w:rsidRDefault="00EA68B9" w:rsidP="00EA68B9">
      <w:pPr>
        <w:pStyle w:val="21"/>
      </w:pPr>
    </w:p>
    <w:p w14:paraId="22DA53EA" w14:textId="185C1DCB" w:rsidR="00EA68B9" w:rsidRPr="00225808" w:rsidRDefault="00573776" w:rsidP="00225808">
      <w:pPr>
        <w:pStyle w:val="21"/>
        <w:ind w:firstLine="0"/>
        <w:rPr>
          <w:b/>
          <w:iCs/>
          <w:color w:val="000000" w:themeColor="text1"/>
        </w:rPr>
      </w:pPr>
      <w:r>
        <w:rPr>
          <w:noProof/>
        </w:rPr>
        <w:drawing>
          <wp:inline distT="0" distB="0" distL="0" distR="0" wp14:anchorId="20EFBD81" wp14:editId="50E8DF8C">
            <wp:extent cx="9777730" cy="5684520"/>
            <wp:effectExtent l="0" t="0" r="0" b="0"/>
            <wp:docPr id="1615495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8B9" w:rsidRPr="0034139C">
        <w:br w:type="page"/>
      </w:r>
    </w:p>
    <w:p w14:paraId="10F54FAA" w14:textId="77777777" w:rsidR="00EA68B9" w:rsidRPr="0034139C" w:rsidRDefault="00EA68B9" w:rsidP="00225808">
      <w:pPr>
        <w:pStyle w:val="1"/>
        <w:rPr>
          <w:rFonts w:ascii="Times New Roman" w:hAnsi="Times New Roman" w:cs="Times New Roman"/>
          <w:sz w:val="24"/>
          <w:szCs w:val="24"/>
        </w:rPr>
        <w:sectPr w:rsidR="00EA68B9" w:rsidRPr="0034139C" w:rsidSect="00AB3A14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B0021D5" w14:textId="77777777" w:rsidR="00EA68B9" w:rsidRPr="0034139C" w:rsidRDefault="00EA68B9" w:rsidP="00EA68B9">
      <w:pPr>
        <w:pStyle w:val="2"/>
        <w:rPr>
          <w:rFonts w:ascii="Times New Roman" w:hAnsi="Times New Roman" w:cs="Times New Roman"/>
          <w:szCs w:val="24"/>
          <w:shd w:val="clear" w:color="auto" w:fill="FFFFFF"/>
        </w:rPr>
      </w:pPr>
      <w:bookmarkStart w:id="1" w:name="_Toc187789106"/>
      <w:r w:rsidRPr="0034139C">
        <w:rPr>
          <w:rFonts w:ascii="Times New Roman" w:hAnsi="Times New Roman" w:cs="Times New Roman"/>
          <w:szCs w:val="24"/>
          <w:shd w:val="clear" w:color="auto" w:fill="FFFFFF"/>
        </w:rPr>
        <w:lastRenderedPageBreak/>
        <w:t>1.3. Источники и масштабы расчетного химического загрязнения.</w:t>
      </w:r>
      <w:bookmarkEnd w:id="1"/>
    </w:p>
    <w:p w14:paraId="4F1EEBBA" w14:textId="77777777" w:rsidR="00EA68B9" w:rsidRPr="0034139C" w:rsidRDefault="00EA68B9" w:rsidP="00EA68B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4139C">
        <w:rPr>
          <w:rFonts w:ascii="Times New Roman" w:hAnsi="Times New Roman" w:cs="Times New Roman"/>
          <w:sz w:val="24"/>
          <w:szCs w:val="24"/>
        </w:rPr>
        <w:t xml:space="preserve">Расчет выбросов загрязняющих веществ был посчитан с помощью программного комплекса ЭРА </w:t>
      </w:r>
      <w:r w:rsidRPr="0034139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139C">
        <w:rPr>
          <w:rFonts w:ascii="Times New Roman" w:hAnsi="Times New Roman" w:cs="Times New Roman"/>
          <w:sz w:val="24"/>
          <w:szCs w:val="24"/>
        </w:rPr>
        <w:t>3.0 (сборка 351) ООО НЛП «Логос-Плюс».</w:t>
      </w:r>
    </w:p>
    <w:p w14:paraId="70462871" w14:textId="1082608B" w:rsidR="00EA68B9" w:rsidRDefault="00EA68B9" w:rsidP="00EA68B9">
      <w:pPr>
        <w:pStyle w:val="Default"/>
      </w:pPr>
      <w:r w:rsidRPr="0034139C">
        <w:t xml:space="preserve">На основании плана горных работ при проведении горных работ на объекте будут задействованы </w:t>
      </w:r>
      <w:r w:rsidR="00573776">
        <w:t>22</w:t>
      </w:r>
      <w:r w:rsidRPr="0034139C">
        <w:t xml:space="preserve"> неорганизованных источников загрязнения воздушного бассейна, которые выбрасывают </w:t>
      </w:r>
      <w:r w:rsidR="001E6194">
        <w:t>13</w:t>
      </w:r>
      <w:r w:rsidRPr="0034139C">
        <w:t xml:space="preserve"> наименований загрязняющих веществ</w:t>
      </w:r>
      <w:r w:rsidR="00573776">
        <w:t>.</w:t>
      </w:r>
    </w:p>
    <w:p w14:paraId="1CF2EE24" w14:textId="77777777" w:rsidR="00573776" w:rsidRDefault="00573776" w:rsidP="00EA68B9">
      <w:pPr>
        <w:pStyle w:val="Default"/>
      </w:pPr>
      <w:r w:rsidRPr="00573776">
        <w:t xml:space="preserve">Предполагаемые объемы выбросов в процессе горных работ на 2025 – 2034 годы составит - 14,77860519 т/год; </w:t>
      </w:r>
    </w:p>
    <w:p w14:paraId="5786DAA2" w14:textId="77777777" w:rsidR="00573776" w:rsidRPr="00BB1709" w:rsidRDefault="00573776" w:rsidP="00573776">
      <w:pPr>
        <w:pStyle w:val="11"/>
        <w:rPr>
          <w:szCs w:val="24"/>
        </w:rPr>
      </w:pPr>
      <w:r w:rsidRPr="00BB1709">
        <w:rPr>
          <w:szCs w:val="24"/>
        </w:rPr>
        <w:t xml:space="preserve">Класс опасности загрязняющих веществ: </w:t>
      </w:r>
    </w:p>
    <w:p w14:paraId="6B7E59CE" w14:textId="77777777" w:rsidR="00573776" w:rsidRPr="00BB1709" w:rsidRDefault="00573776" w:rsidP="00573776">
      <w:pPr>
        <w:pStyle w:val="11"/>
        <w:rPr>
          <w:szCs w:val="24"/>
        </w:rPr>
      </w:pPr>
      <w:r w:rsidRPr="00BB1709">
        <w:rPr>
          <w:szCs w:val="24"/>
        </w:rPr>
        <w:t xml:space="preserve">- к классу № 2 относятся: Марганец и его соединения /в пересчете на марганца (IV) оксид/ (327), Азота (IV) диоксид (Азота диоксид) (4), </w:t>
      </w:r>
      <w:r w:rsidRPr="00DB35BE">
        <w:rPr>
          <w:szCs w:val="24"/>
        </w:rPr>
        <w:t>Сероводород (</w:t>
      </w:r>
      <w:proofErr w:type="spellStart"/>
      <w:r w:rsidRPr="00DB35BE">
        <w:rPr>
          <w:szCs w:val="24"/>
        </w:rPr>
        <w:t>Дигидросульфид</w:t>
      </w:r>
      <w:proofErr w:type="spellEnd"/>
      <w:r w:rsidRPr="00DB35BE">
        <w:rPr>
          <w:szCs w:val="24"/>
        </w:rPr>
        <w:t>) (518)</w:t>
      </w:r>
      <w:r w:rsidRPr="00BB1709">
        <w:rPr>
          <w:szCs w:val="24"/>
        </w:rPr>
        <w:t xml:space="preserve">, Фтористые газообразные соединения /в пересчете на фтор/ (617), Фториды неорганические плохо растворимые, </w:t>
      </w:r>
    </w:p>
    <w:p w14:paraId="694835AF" w14:textId="77777777" w:rsidR="00573776" w:rsidRPr="00BB1709" w:rsidRDefault="00573776" w:rsidP="00573776">
      <w:pPr>
        <w:pStyle w:val="11"/>
        <w:rPr>
          <w:szCs w:val="24"/>
        </w:rPr>
      </w:pPr>
      <w:r w:rsidRPr="00BB1709">
        <w:rPr>
          <w:szCs w:val="24"/>
        </w:rPr>
        <w:t xml:space="preserve">- к классу № 3 относятся: Пыль неорганическая, содержащая двуокись кремния в %: 70-20; </w:t>
      </w:r>
      <w:r w:rsidRPr="00DB35BE">
        <w:rPr>
          <w:szCs w:val="24"/>
        </w:rPr>
        <w:t>Железо (II, III) оксиды</w:t>
      </w:r>
      <w:r w:rsidRPr="00BB1709">
        <w:rPr>
          <w:szCs w:val="24"/>
        </w:rPr>
        <w:t xml:space="preserve">, </w:t>
      </w:r>
      <w:r w:rsidRPr="00DB35BE">
        <w:rPr>
          <w:szCs w:val="24"/>
        </w:rPr>
        <w:t>Азот (II) оксид (Азота оксид) (6)</w:t>
      </w:r>
      <w:r w:rsidRPr="00BB1709">
        <w:rPr>
          <w:szCs w:val="24"/>
        </w:rPr>
        <w:t>, Взвешенные частицы (116), Пыль неорганическая, содержащая двуокись кремния в %: более 70;</w:t>
      </w:r>
    </w:p>
    <w:p w14:paraId="1240728A" w14:textId="77777777" w:rsidR="00573776" w:rsidRPr="00BB1709" w:rsidRDefault="00573776" w:rsidP="00573776">
      <w:pPr>
        <w:pStyle w:val="11"/>
        <w:rPr>
          <w:szCs w:val="24"/>
        </w:rPr>
      </w:pPr>
      <w:r w:rsidRPr="00BB1709">
        <w:rPr>
          <w:szCs w:val="24"/>
        </w:rPr>
        <w:t xml:space="preserve">- к классу № 4 относятся: </w:t>
      </w:r>
      <w:r w:rsidRPr="00DB35BE">
        <w:rPr>
          <w:szCs w:val="24"/>
        </w:rPr>
        <w:t>Углерод оксид (Окись углерода, Угарный газ) (584)</w:t>
      </w:r>
      <w:r w:rsidRPr="00BB1709">
        <w:rPr>
          <w:szCs w:val="24"/>
        </w:rPr>
        <w:t xml:space="preserve">, Алканы С12-19 /в пересчете на С/, </w:t>
      </w:r>
    </w:p>
    <w:p w14:paraId="4D76C431" w14:textId="77777777" w:rsidR="00573776" w:rsidRDefault="00573776" w:rsidP="00573776">
      <w:pPr>
        <w:pStyle w:val="11"/>
        <w:rPr>
          <w:szCs w:val="24"/>
        </w:rPr>
      </w:pPr>
      <w:r w:rsidRPr="00BB1709">
        <w:rPr>
          <w:szCs w:val="24"/>
        </w:rPr>
        <w:t>В перечень загрязнителей, данные по которым подлежат внесению в регистр выбросов и переноса загрязнителей, никакие загрязняющие вещества не входят.</w:t>
      </w:r>
    </w:p>
    <w:p w14:paraId="4E8A6A24" w14:textId="113442CA" w:rsidR="00EA68B9" w:rsidRPr="0034139C" w:rsidRDefault="00EA68B9" w:rsidP="00EA68B9">
      <w:pPr>
        <w:pStyle w:val="Default"/>
      </w:pPr>
      <w:r w:rsidRPr="0034139C">
        <w:t>Статья 199 пункта 5. ЭК РК от 2 января 2021 года «Передвижным источником признается транспортное средство или иное передвижное средство, техника или установка, оснащенные двигателями внутреннего сгорания, работающими на различных видах топлива, и способные осуществлять выброс как в стационарном положении, так и в процессе передвижения».</w:t>
      </w:r>
    </w:p>
    <w:p w14:paraId="2F16C0EB" w14:textId="77777777" w:rsidR="00EA68B9" w:rsidRPr="0034139C" w:rsidRDefault="00EA68B9" w:rsidP="00EA68B9">
      <w:pPr>
        <w:pStyle w:val="Default"/>
      </w:pPr>
      <w:r w:rsidRPr="0034139C">
        <w:t>Нормативы выбросов загрязняющих веществ устанавливаются без учета выбросов от передвижных источников, так как согласно статьи 202 пункта 17 ЭК РК от 2 января 2021 года «Нормативы допустимых выбросов для передвижных источников не устанавливаются». Плата за выбросы загрязняющих веществ от передвижных источников, производится по фактическому расходу топлива.</w:t>
      </w:r>
    </w:p>
    <w:p w14:paraId="26A591E4" w14:textId="77777777" w:rsidR="00573776" w:rsidRDefault="00573776" w:rsidP="00EA68B9">
      <w:pPr>
        <w:pStyle w:val="Default"/>
        <w:rPr>
          <w:szCs w:val="28"/>
        </w:rPr>
      </w:pPr>
      <w:bookmarkStart w:id="2" w:name="_Hlk82437294"/>
      <w:r w:rsidRPr="00E23862">
        <w:rPr>
          <w:szCs w:val="28"/>
        </w:rPr>
        <w:t>Расчёт максимальных приземных концентраций произведен</w:t>
      </w:r>
      <w:r w:rsidRPr="00E23862">
        <w:rPr>
          <w:rFonts w:eastAsia="TimesNewRoman"/>
        </w:rPr>
        <w:t xml:space="preserve"> для </w:t>
      </w:r>
      <w:r>
        <w:rPr>
          <w:rFonts w:eastAsia="TimesNewRoman"/>
        </w:rPr>
        <w:t>4</w:t>
      </w:r>
      <w:r w:rsidRPr="00E23862">
        <w:rPr>
          <w:rFonts w:eastAsia="TimesNewRoman"/>
        </w:rPr>
        <w:t xml:space="preserve"> веществ из 7 выбрасываемых, </w:t>
      </w:r>
      <w:r w:rsidRPr="00E23862">
        <w:rPr>
          <w:szCs w:val="28"/>
        </w:rPr>
        <w:t>по остальным загрязняющим веществам нецелесообразен, так как См &lt;0.05 долей ПДК.</w:t>
      </w:r>
    </w:p>
    <w:p w14:paraId="75D3228F" w14:textId="2CBB407C" w:rsidR="00EA68B9" w:rsidRPr="0034139C" w:rsidRDefault="00EA68B9" w:rsidP="00EA68B9">
      <w:pPr>
        <w:pStyle w:val="Default"/>
      </w:pPr>
      <w:r w:rsidRPr="0034139C">
        <w:t xml:space="preserve">Расчет величин концентраций загрязняющих веществ в приземном слое атмосферы, проводился на расчетном прямоугольнике, санитарно-защитной зоне 300 м, на границе области воздействия и на контрольных точках на границе СЗЗ по направлениям сторон света. </w:t>
      </w:r>
    </w:p>
    <w:bookmarkEnd w:id="2"/>
    <w:p w14:paraId="54D685C2" w14:textId="77777777" w:rsidR="00EA68B9" w:rsidRPr="0034139C" w:rsidRDefault="00EA68B9" w:rsidP="00EA68B9">
      <w:pPr>
        <w:pStyle w:val="Default"/>
      </w:pPr>
      <w:r w:rsidRPr="0034139C">
        <w:t>Расчеты загрязнения атмосферы проводились по максимально возможным выбросам вредных веществ, при максимальной загрузке технологического оборудования с учетом коэффициента одновременности работы оборудования. В качестве исходного периода рассматривается 2025 год (существующее положение); также выполнен расчет загрязнения с учетом всех планируемых мероприятий в период с 2025-2034 гг.</w:t>
      </w:r>
    </w:p>
    <w:p w14:paraId="44D64017" w14:textId="77777777" w:rsidR="00EA68B9" w:rsidRPr="0034139C" w:rsidRDefault="00EA68B9" w:rsidP="00EA68B9">
      <w:pPr>
        <w:pStyle w:val="Default"/>
      </w:pPr>
      <w:r w:rsidRPr="0034139C">
        <w:t>Расчеты концентраций ЗВ были проведены для основного технологического оборудования на максимальный период режима работы предприятия, когда наблюдается наибольшая его нагрузка.</w:t>
      </w:r>
    </w:p>
    <w:p w14:paraId="6A65794F" w14:textId="77777777" w:rsidR="00EA68B9" w:rsidRPr="0034139C" w:rsidRDefault="00EA68B9" w:rsidP="00EA68B9">
      <w:pPr>
        <w:pStyle w:val="Default"/>
      </w:pPr>
      <w:r w:rsidRPr="0034139C">
        <w:t>Расчеты рассеивания выбросов загрязняющих веществ произведены на период максимальных выбросов и от двигателей передвижных источников.</w:t>
      </w:r>
    </w:p>
    <w:p w14:paraId="51EBCC6D" w14:textId="77777777" w:rsidR="00EA68B9" w:rsidRPr="0034139C" w:rsidRDefault="00EA68B9" w:rsidP="00EA68B9">
      <w:pPr>
        <w:pStyle w:val="Default"/>
      </w:pPr>
      <w:r w:rsidRPr="0034139C">
        <w:t xml:space="preserve">Результаты расчетов рассеивания загрязняющих веществ в атмосферный воздух на период горных работ показывают, что выбросы от всех источников загрязняющих веществ не превышают критериев качества атмосферного воздуха, тем самым соблюдаются нормативы ПДК, согласно Санитарных правил «Санитарно-эпидемиологические требования к санитарно-защитным зонам объектов, являющихся объектами воздействия на </w:t>
      </w:r>
      <w:r w:rsidRPr="0034139C">
        <w:lastRenderedPageBreak/>
        <w:t>среду обитания и здоровье человека» от 11 января 2022 года № ҚР ДСМ-2 (далее – СП № ҚР ДСМ-2).</w:t>
      </w:r>
    </w:p>
    <w:p w14:paraId="21974DCB" w14:textId="77777777" w:rsidR="00EA68B9" w:rsidRPr="0034139C" w:rsidRDefault="00EA68B9">
      <w:pPr>
        <w:rPr>
          <w:rFonts w:ascii="Times New Roman" w:hAnsi="Times New Roman" w:cs="Times New Roman"/>
          <w:sz w:val="24"/>
          <w:szCs w:val="24"/>
        </w:rPr>
      </w:pPr>
    </w:p>
    <w:sectPr w:rsidR="00EA68B9" w:rsidRPr="0034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432B"/>
    <w:multiLevelType w:val="hybridMultilevel"/>
    <w:tmpl w:val="7F0081C2"/>
    <w:lvl w:ilvl="0" w:tplc="8EA26CB4">
      <w:start w:val="1"/>
      <w:numFmt w:val="decimal"/>
      <w:lvlText w:val="Раздел %1."/>
      <w:lvlJc w:val="left"/>
      <w:pPr>
        <w:ind w:left="1287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594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DA"/>
    <w:rsid w:val="000521DA"/>
    <w:rsid w:val="0006534D"/>
    <w:rsid w:val="001E6194"/>
    <w:rsid w:val="00225808"/>
    <w:rsid w:val="0034139C"/>
    <w:rsid w:val="00390CEB"/>
    <w:rsid w:val="004E3505"/>
    <w:rsid w:val="00573776"/>
    <w:rsid w:val="005B1C2D"/>
    <w:rsid w:val="005F77EA"/>
    <w:rsid w:val="0066119F"/>
    <w:rsid w:val="00773C24"/>
    <w:rsid w:val="008864F1"/>
    <w:rsid w:val="009716C4"/>
    <w:rsid w:val="00EA68B9"/>
    <w:rsid w:val="00F70A71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34BD"/>
  <w15:chartTrackingRefBased/>
  <w15:docId w15:val="{C3BBD13C-856B-4F35-9721-CF72C640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A68B9"/>
    <w:pPr>
      <w:keepNext/>
      <w:spacing w:after="0" w:line="240" w:lineRule="auto"/>
      <w:jc w:val="center"/>
      <w:outlineLvl w:val="1"/>
    </w:pPr>
    <w:rPr>
      <w:rFonts w:ascii="Garamond" w:hAnsi="Garamond" w:cs="ArialMT"/>
      <w:b/>
      <w:bCs/>
      <w:i/>
      <w:iCs/>
      <w:color w:val="00206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A68B9"/>
    <w:rPr>
      <w:color w:val="0000FF"/>
      <w:u w:val="single"/>
    </w:rPr>
  </w:style>
  <w:style w:type="paragraph" w:styleId="a5">
    <w:name w:val="List Paragraph"/>
    <w:aliases w:val="Заголовок первого уровня,Citation List,Resume Title,List Paragraph Char Char,Bullet 1,List Paragraph1,b1,Number_1,SGLText List Paragraph,new,lp1,Normal Sentence,Colorful List - Accent 11,ListPar1,List Paragraph2,List Paragraph11,罗"/>
    <w:basedOn w:val="a"/>
    <w:link w:val="a6"/>
    <w:qFormat/>
    <w:rsid w:val="00EA68B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1">
    <w:name w:val="Абзац списка1"/>
    <w:basedOn w:val="a"/>
    <w:link w:val="ListParagraphChar2"/>
    <w:qFormat/>
    <w:rsid w:val="00EA68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qFormat/>
    <w:rsid w:val="00EA68B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Обычный КГНТ"/>
    <w:basedOn w:val="a"/>
    <w:link w:val="a8"/>
    <w:qFormat/>
    <w:rsid w:val="00EA68B9"/>
    <w:pPr>
      <w:spacing w:after="0" w:line="240" w:lineRule="auto"/>
      <w:ind w:right="170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бычный КГНТ Знак"/>
    <w:link w:val="a7"/>
    <w:rsid w:val="00EA6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Абзац списка2"/>
    <w:basedOn w:val="a"/>
    <w:qFormat/>
    <w:rsid w:val="00EA68B9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Заголовок первого уровня Знак,Citation List Знак,Resume Title Знак,List Paragraph Char Char Знак,Bullet 1 Знак,List Paragraph1 Знак,b1 Знак,Number_1 Знак,SGLText List Paragraph Знак,new Знак,lp1 Знак,Normal Sentence Знак,ListPar1 Знак"/>
    <w:link w:val="a5"/>
    <w:qFormat/>
    <w:locked/>
    <w:rsid w:val="00EA68B9"/>
    <w:rPr>
      <w:rFonts w:ascii="Times New Roman" w:eastAsia="Calibri" w:hAnsi="Times New Roman" w:cs="Times New Roman"/>
      <w:sz w:val="24"/>
    </w:rPr>
  </w:style>
  <w:style w:type="character" w:customStyle="1" w:styleId="ListParagraphChar2">
    <w:name w:val="List Paragraph Char2"/>
    <w:link w:val="11"/>
    <w:locked/>
    <w:rsid w:val="00EA68B9"/>
    <w:rPr>
      <w:rFonts w:ascii="Times New Roman" w:eastAsia="Times New Roman" w:hAnsi="Times New Roman" w:cs="Times New Roman"/>
      <w:sz w:val="24"/>
    </w:rPr>
  </w:style>
  <w:style w:type="paragraph" w:customStyle="1" w:styleId="12">
    <w:name w:val="Без интервала1"/>
    <w:link w:val="NoSpacingChar"/>
    <w:qFormat/>
    <w:rsid w:val="00EA68B9"/>
    <w:pPr>
      <w:spacing w:after="0" w:line="240" w:lineRule="auto"/>
      <w:ind w:firstLine="567"/>
      <w:jc w:val="both"/>
    </w:pPr>
    <w:rPr>
      <w:rFonts w:ascii="Times New Roman" w:eastAsia="Batang" w:hAnsi="Times New Roman" w:cs="Times New Roman"/>
      <w:sz w:val="24"/>
    </w:rPr>
  </w:style>
  <w:style w:type="character" w:customStyle="1" w:styleId="NoSpacingChar">
    <w:name w:val="No Spacing Char"/>
    <w:link w:val="12"/>
    <w:locked/>
    <w:rsid w:val="00EA68B9"/>
    <w:rPr>
      <w:rFonts w:ascii="Times New Roman" w:eastAsia="Batang" w:hAnsi="Times New Roman" w:cs="Times New Roman"/>
      <w:sz w:val="24"/>
    </w:rPr>
  </w:style>
  <w:style w:type="paragraph" w:customStyle="1" w:styleId="13">
    <w:name w:val="Заголовок1"/>
    <w:basedOn w:val="1"/>
    <w:qFormat/>
    <w:rsid w:val="00EA68B9"/>
    <w:pPr>
      <w:keepLines w:val="0"/>
      <w:spacing w:before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10">
    <w:name w:val="Заголовок 1 Знак"/>
    <w:basedOn w:val="a0"/>
    <w:link w:val="1"/>
    <w:rsid w:val="00EA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caption"/>
    <w:aliases w:val="Шапка таблицы,CPR Caption,headings,Table Caption"/>
    <w:basedOn w:val="a"/>
    <w:next w:val="a"/>
    <w:link w:val="aa"/>
    <w:unhideWhenUsed/>
    <w:qFormat/>
    <w:rsid w:val="00EA68B9"/>
    <w:pPr>
      <w:spacing w:after="0" w:line="240" w:lineRule="auto"/>
      <w:jc w:val="center"/>
    </w:pPr>
    <w:rPr>
      <w:rFonts w:ascii="Garamond" w:eastAsia="Times New Roman" w:hAnsi="Garamond" w:cs="Times New Roman"/>
      <w:b/>
      <w:iCs/>
      <w:color w:val="000000" w:themeColor="text1"/>
      <w:sz w:val="24"/>
      <w:szCs w:val="18"/>
      <w:lang w:eastAsia="ru-RU"/>
    </w:rPr>
  </w:style>
  <w:style w:type="character" w:customStyle="1" w:styleId="aa">
    <w:name w:val="Название объекта Знак"/>
    <w:aliases w:val="Шапка таблицы Знак,CPR Caption Знак,headings Знак,Table Caption Знак"/>
    <w:link w:val="a9"/>
    <w:rsid w:val="00EA68B9"/>
    <w:rPr>
      <w:rFonts w:ascii="Garamond" w:eastAsia="Times New Roman" w:hAnsi="Garamond" w:cs="Times New Roman"/>
      <w:b/>
      <w:iCs/>
      <w:color w:val="000000" w:themeColor="text1"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A68B9"/>
    <w:rPr>
      <w:rFonts w:ascii="Garamond" w:hAnsi="Garamond" w:cs="ArialMT"/>
      <w:b/>
      <w:bCs/>
      <w:i/>
      <w:iCs/>
      <w:color w:val="002060"/>
      <w:sz w:val="24"/>
      <w:szCs w:val="28"/>
    </w:rPr>
  </w:style>
  <w:style w:type="paragraph" w:styleId="22">
    <w:name w:val="Body Text 2"/>
    <w:basedOn w:val="a"/>
    <w:link w:val="23"/>
    <w:rsid w:val="001E61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E6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ltynalmas.kz/cont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Бексұлтан Төлеубеков</dc:creator>
  <cp:keywords/>
  <dc:description/>
  <cp:lastModifiedBy>Кайсар Турсунбаев</cp:lastModifiedBy>
  <cp:revision>9</cp:revision>
  <cp:lastPrinted>2025-02-06T10:50:00Z</cp:lastPrinted>
  <dcterms:created xsi:type="dcterms:W3CDTF">2025-02-06T10:48:00Z</dcterms:created>
  <dcterms:modified xsi:type="dcterms:W3CDTF">2025-07-24T11:37:00Z</dcterms:modified>
</cp:coreProperties>
</file>