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D8EC" w14:textId="77777777" w:rsidR="00491EB0" w:rsidRPr="00DB620A" w:rsidRDefault="00491EB0" w:rsidP="00491EB0">
      <w:pPr>
        <w:spacing w:after="0" w:line="240" w:lineRule="auto"/>
        <w:jc w:val="center"/>
        <w:rPr>
          <w:rFonts w:ascii="Times New Roman" w:hAnsi="Times New Roman" w:cs="Times New Roman"/>
          <w:b/>
          <w:sz w:val="24"/>
          <w:szCs w:val="24"/>
        </w:rPr>
      </w:pPr>
      <w:bookmarkStart w:id="0" w:name="_Hlk212124050"/>
      <w:bookmarkEnd w:id="0"/>
      <w:r>
        <w:rPr>
          <w:rFonts w:ascii="Times New Roman" w:hAnsi="Times New Roman" w:cs="Times New Roman"/>
          <w:b/>
          <w:sz w:val="24"/>
          <w:szCs w:val="24"/>
        </w:rPr>
        <w:t xml:space="preserve">КРАТКОЕ </w:t>
      </w:r>
      <w:r w:rsidRPr="00DB620A">
        <w:rPr>
          <w:rFonts w:ascii="Times New Roman" w:hAnsi="Times New Roman" w:cs="Times New Roman"/>
          <w:b/>
          <w:sz w:val="24"/>
          <w:szCs w:val="24"/>
        </w:rPr>
        <w:t>НЕТЕХНИЧЕСКОЕ РЕЗЮМЕ</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56260F36" w14:textId="00FD7849" w:rsidR="00F77CB0" w:rsidRPr="00F77CB0" w:rsidRDefault="00491EB0" w:rsidP="00F77CB0">
      <w:pPr>
        <w:spacing w:after="0" w:line="240" w:lineRule="auto"/>
        <w:ind w:firstLine="567"/>
        <w:jc w:val="both"/>
        <w:rPr>
          <w:rFonts w:ascii="Times New Roman" w:hAnsi="Times New Roman" w:cs="Times New Roman"/>
          <w:sz w:val="24"/>
          <w:szCs w:val="24"/>
        </w:rPr>
      </w:pPr>
      <w:r w:rsidRPr="0045278E">
        <w:rPr>
          <w:rFonts w:ascii="Times New Roman" w:hAnsi="Times New Roman" w:cs="Times New Roman"/>
          <w:b/>
        </w:rPr>
        <w:t>Месторасположение предприятия</w:t>
      </w:r>
      <w:r>
        <w:rPr>
          <w:rFonts w:ascii="Times New Roman" w:hAnsi="Times New Roman" w:cs="Times New Roman"/>
          <w:b/>
        </w:rPr>
        <w:t>.</w:t>
      </w:r>
      <w:r w:rsidRPr="00884466">
        <w:rPr>
          <w:rFonts w:ascii="Times New Roman" w:hAnsi="Times New Roman" w:cs="Times New Roman"/>
          <w:sz w:val="24"/>
          <w:szCs w:val="24"/>
        </w:rPr>
        <w:t xml:space="preserve"> </w:t>
      </w:r>
      <w:r w:rsidR="00F77CB0" w:rsidRPr="00F77CB0">
        <w:rPr>
          <w:rFonts w:ascii="Times New Roman" w:hAnsi="Times New Roman" w:cs="Times New Roman"/>
          <w:sz w:val="24"/>
          <w:szCs w:val="24"/>
        </w:rPr>
        <w:t xml:space="preserve">В административном отношении </w:t>
      </w:r>
      <w:r w:rsidR="00AB452B">
        <w:rPr>
          <w:rFonts w:ascii="Times New Roman" w:hAnsi="Times New Roman" w:cs="Times New Roman"/>
          <w:sz w:val="24"/>
          <w:szCs w:val="24"/>
        </w:rPr>
        <w:t xml:space="preserve">участок 18.8 </w:t>
      </w:r>
      <w:r w:rsidR="00F77CB0" w:rsidRPr="00F77CB0">
        <w:rPr>
          <w:rFonts w:ascii="Times New Roman" w:hAnsi="Times New Roman" w:cs="Times New Roman"/>
          <w:sz w:val="24"/>
          <w:szCs w:val="24"/>
        </w:rPr>
        <w:t>Таунсорско</w:t>
      </w:r>
      <w:r w:rsidR="00AB452B">
        <w:rPr>
          <w:rFonts w:ascii="Times New Roman" w:hAnsi="Times New Roman" w:cs="Times New Roman"/>
          <w:sz w:val="24"/>
          <w:szCs w:val="24"/>
        </w:rPr>
        <w:t>го</w:t>
      </w:r>
      <w:r w:rsidR="00F77CB0" w:rsidRPr="00F77CB0">
        <w:rPr>
          <w:rFonts w:ascii="Times New Roman" w:hAnsi="Times New Roman" w:cs="Times New Roman"/>
          <w:sz w:val="24"/>
          <w:szCs w:val="24"/>
        </w:rPr>
        <w:t xml:space="preserve"> месторождени</w:t>
      </w:r>
      <w:r w:rsidR="00AB452B">
        <w:rPr>
          <w:rFonts w:ascii="Times New Roman" w:hAnsi="Times New Roman" w:cs="Times New Roman"/>
          <w:sz w:val="24"/>
          <w:szCs w:val="24"/>
        </w:rPr>
        <w:t>я</w:t>
      </w:r>
      <w:r w:rsidR="00F77CB0" w:rsidRPr="00F77CB0">
        <w:rPr>
          <w:rFonts w:ascii="Times New Roman" w:hAnsi="Times New Roman" w:cs="Times New Roman"/>
          <w:sz w:val="24"/>
          <w:szCs w:val="24"/>
        </w:rPr>
        <w:t xml:space="preserve"> бокситов находится в Камыстинском районе Костанайской области Республики Казахстан, в 70-90 км на юг от Краснооктябрьского бокситового месторождения, разрабатываемого Филиалом АО «Алюминий Казахстана» Краснооктябрьским бокситовым рудоуправлением (рисунок 1.1).</w:t>
      </w:r>
    </w:p>
    <w:p w14:paraId="0D22735F"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 </w:t>
      </w:r>
    </w:p>
    <w:p w14:paraId="7DB0B470" w14:textId="2A3CCD2B"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В 30-ти километрах от месторождения, через село Алтынсарино и село Талдыколь, проходит железная дорога от узловой станции Тобыл через г. Лисаковск, п. Арку до ст. Хромтау. Связь между отдельными пунктами и районным центром Камысты осуществляется, в основном, по асфальтированным и грейдерным дорогам.</w:t>
      </w:r>
    </w:p>
    <w:p w14:paraId="7F071DFA"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Ближайшие города Лисаковск и Житикара удалены на 150-175 км. Населенными пунктами в радиусе до 40 км являются поселки Уркаш, Свободный, Аралколь, Дружба, Талдыколь, Алтынсарино, Клочково, население которых в настоящее время сократилось вследствие миграции из-за неблагоприятных социально-экономических условий. </w:t>
      </w:r>
    </w:p>
    <w:p w14:paraId="6EE60AA6" w14:textId="4F15F23C" w:rsidR="001055BA" w:rsidRPr="0046783D"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Связь между отдельными пунктами и районным центром (п. Камысты) осуществляется по асфальтовым, грейдерным и проселочным дорогам. Дорожная сеть представлена асфальтовыми дорогами Адаевка – Алтынсарино (26 км), Алтынсарино – Свободный (25 км), Алтынсарино – Уркаш (44 км), Уркаш – Аралколь (41 км). С г. Лисаковском месторождение связано шоссейной дорогой с асфальтовым покрытием Лисаковск – Денисовка – Ливановка – Адаевка – Алтынсарино. Расстояние от Лисаковска до Алтынсарино 220 км.</w:t>
      </w:r>
    </w:p>
    <w:p w14:paraId="59AF598F" w14:textId="77777777" w:rsidR="00F77CB0" w:rsidRPr="0046783D" w:rsidRDefault="00F77CB0" w:rsidP="00F77CB0">
      <w:pPr>
        <w:spacing w:after="0" w:line="240" w:lineRule="auto"/>
        <w:ind w:firstLine="539"/>
        <w:jc w:val="both"/>
        <w:rPr>
          <w:rFonts w:ascii="Times New Roman" w:hAnsi="Times New Roman" w:cs="Times New Roman"/>
          <w:sz w:val="24"/>
          <w:szCs w:val="24"/>
        </w:rPr>
      </w:pPr>
      <w:r w:rsidRPr="0046783D">
        <w:rPr>
          <w:rFonts w:ascii="Times New Roman" w:eastAsia="Calibri" w:hAnsi="Times New Roman" w:cs="Times New Roman"/>
          <w:sz w:val="24"/>
          <w:szCs w:val="24"/>
        </w:rPr>
        <w:t xml:space="preserve">Границы </w:t>
      </w:r>
      <w:r>
        <w:rPr>
          <w:rFonts w:ascii="Times New Roman" w:eastAsia="Calibri" w:hAnsi="Times New Roman" w:cs="Times New Roman"/>
          <w:sz w:val="24"/>
          <w:szCs w:val="24"/>
        </w:rPr>
        <w:t>участка недр</w:t>
      </w:r>
      <w:r w:rsidRPr="0046783D">
        <w:rPr>
          <w:rFonts w:ascii="Times New Roman" w:eastAsia="Calibri" w:hAnsi="Times New Roman" w:cs="Times New Roman"/>
          <w:sz w:val="24"/>
          <w:szCs w:val="24"/>
        </w:rPr>
        <w:t xml:space="preserve"> на топографическом плане обозначены угловыми точками с т.1 по т.</w:t>
      </w:r>
      <w:r>
        <w:rPr>
          <w:rFonts w:ascii="Times New Roman" w:hAnsi="Times New Roman" w:cs="Times New Roman"/>
          <w:sz w:val="24"/>
          <w:szCs w:val="24"/>
        </w:rPr>
        <w:t>4</w:t>
      </w:r>
      <w:r w:rsidRPr="0046783D">
        <w:rPr>
          <w:rFonts w:ascii="Times New Roman" w:eastAsia="Calibri" w:hAnsi="Times New Roman" w:cs="Times New Roman"/>
          <w:sz w:val="24"/>
          <w:szCs w:val="24"/>
        </w:rPr>
        <w:t xml:space="preserve">. </w:t>
      </w:r>
      <w:r w:rsidRPr="0046783D">
        <w:rPr>
          <w:rFonts w:ascii="Times New Roman" w:hAnsi="Times New Roman" w:cs="Times New Roman"/>
          <w:sz w:val="24"/>
          <w:szCs w:val="24"/>
        </w:rPr>
        <w:t>Координаты угловых точек геологического отвода приведены в таблице 1.1:</w:t>
      </w:r>
    </w:p>
    <w:p w14:paraId="370BA914" w14:textId="77777777" w:rsidR="00F77CB0" w:rsidRPr="0046783D" w:rsidRDefault="00F77CB0" w:rsidP="00F77CB0">
      <w:pPr>
        <w:spacing w:after="0" w:line="240" w:lineRule="auto"/>
        <w:ind w:firstLine="540"/>
        <w:jc w:val="both"/>
        <w:rPr>
          <w:rFonts w:ascii="Times New Roman" w:hAnsi="Times New Roman" w:cs="Times New Roman"/>
          <w:sz w:val="24"/>
          <w:szCs w:val="24"/>
        </w:rPr>
      </w:pPr>
    </w:p>
    <w:p w14:paraId="1E6CACC1" w14:textId="77777777" w:rsidR="00E311B0" w:rsidRPr="0046783D" w:rsidRDefault="00E311B0" w:rsidP="00E311B0">
      <w:pPr>
        <w:spacing w:after="0" w:line="240" w:lineRule="auto"/>
        <w:ind w:firstLine="540"/>
        <w:jc w:val="center"/>
        <w:rPr>
          <w:rFonts w:ascii="Times New Roman" w:hAnsi="Times New Roman" w:cs="Times New Roman"/>
          <w:b/>
          <w:sz w:val="24"/>
          <w:szCs w:val="24"/>
        </w:rPr>
      </w:pPr>
      <w:r w:rsidRPr="0046783D">
        <w:rPr>
          <w:rFonts w:ascii="Times New Roman" w:hAnsi="Times New Roman" w:cs="Times New Roman"/>
          <w:b/>
          <w:sz w:val="24"/>
          <w:szCs w:val="24"/>
        </w:rPr>
        <w:t>Координаты угловых точек</w:t>
      </w:r>
    </w:p>
    <w:p w14:paraId="4A2C270E" w14:textId="77777777" w:rsidR="00E311B0" w:rsidRPr="0046783D" w:rsidRDefault="00E311B0" w:rsidP="00E311B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758"/>
        <w:gridCol w:w="2875"/>
      </w:tblGrid>
      <w:tr w:rsidR="00E311B0" w:rsidRPr="0046783D" w14:paraId="49F14D6E" w14:textId="77777777" w:rsidTr="00BD4765">
        <w:trPr>
          <w:jc w:val="center"/>
        </w:trPr>
        <w:tc>
          <w:tcPr>
            <w:tcW w:w="2087" w:type="dxa"/>
            <w:vMerge w:val="restart"/>
            <w:tcBorders>
              <w:top w:val="single" w:sz="4" w:space="0" w:color="auto"/>
              <w:left w:val="single" w:sz="4" w:space="0" w:color="auto"/>
              <w:bottom w:val="single" w:sz="4" w:space="0" w:color="auto"/>
              <w:right w:val="single" w:sz="4" w:space="0" w:color="auto"/>
            </w:tcBorders>
            <w:vAlign w:val="center"/>
          </w:tcPr>
          <w:p w14:paraId="1AE30DBE"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w:t>
            </w:r>
          </w:p>
          <w:p w14:paraId="1392FAB5"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угловых</w:t>
            </w:r>
            <w:r>
              <w:rPr>
                <w:rFonts w:ascii="Times New Roman" w:hAnsi="Times New Roman" w:cs="Times New Roman"/>
                <w:bCs/>
                <w:sz w:val="24"/>
                <w:szCs w:val="24"/>
              </w:rPr>
              <w:t xml:space="preserve"> </w:t>
            </w:r>
            <w:r w:rsidRPr="0046783D">
              <w:rPr>
                <w:rFonts w:ascii="Times New Roman" w:hAnsi="Times New Roman" w:cs="Times New Roman"/>
                <w:bCs/>
                <w:sz w:val="24"/>
                <w:szCs w:val="24"/>
              </w:rPr>
              <w:t>точек</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08A8AC94"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Координаты</w:t>
            </w:r>
          </w:p>
        </w:tc>
      </w:tr>
      <w:tr w:rsidR="00E311B0" w:rsidRPr="0046783D" w14:paraId="3B13DD88" w14:textId="77777777" w:rsidTr="00BD4765">
        <w:trPr>
          <w:trHeight w:val="70"/>
          <w:jc w:val="center"/>
        </w:trPr>
        <w:tc>
          <w:tcPr>
            <w:tcW w:w="2087" w:type="dxa"/>
            <w:vMerge/>
            <w:tcBorders>
              <w:top w:val="single" w:sz="4" w:space="0" w:color="auto"/>
              <w:left w:val="single" w:sz="4" w:space="0" w:color="auto"/>
              <w:bottom w:val="single" w:sz="4" w:space="0" w:color="auto"/>
              <w:right w:val="single" w:sz="4" w:space="0" w:color="auto"/>
            </w:tcBorders>
            <w:vAlign w:val="center"/>
          </w:tcPr>
          <w:p w14:paraId="4934607C"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p>
        </w:tc>
        <w:tc>
          <w:tcPr>
            <w:tcW w:w="2758" w:type="dxa"/>
            <w:tcBorders>
              <w:top w:val="single" w:sz="4" w:space="0" w:color="auto"/>
              <w:left w:val="single" w:sz="4" w:space="0" w:color="auto"/>
              <w:bottom w:val="single" w:sz="4" w:space="0" w:color="auto"/>
              <w:right w:val="single" w:sz="4" w:space="0" w:color="auto"/>
            </w:tcBorders>
            <w:vAlign w:val="center"/>
          </w:tcPr>
          <w:p w14:paraId="7966419F"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с.ш.</w:t>
            </w:r>
          </w:p>
        </w:tc>
        <w:tc>
          <w:tcPr>
            <w:tcW w:w="2875" w:type="dxa"/>
            <w:tcBorders>
              <w:top w:val="single" w:sz="4" w:space="0" w:color="auto"/>
              <w:left w:val="single" w:sz="4" w:space="0" w:color="auto"/>
              <w:bottom w:val="single" w:sz="4" w:space="0" w:color="auto"/>
              <w:right w:val="single" w:sz="4" w:space="0" w:color="auto"/>
            </w:tcBorders>
            <w:vAlign w:val="center"/>
          </w:tcPr>
          <w:p w14:paraId="62F06307" w14:textId="77777777" w:rsidR="00E311B0" w:rsidRPr="0046783D" w:rsidRDefault="00E311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в.д,</w:t>
            </w:r>
          </w:p>
        </w:tc>
      </w:tr>
      <w:tr w:rsidR="00E311B0" w:rsidRPr="0046783D" w14:paraId="74202871"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4268A05"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1</w:t>
            </w:r>
          </w:p>
        </w:tc>
        <w:tc>
          <w:tcPr>
            <w:tcW w:w="2758" w:type="dxa"/>
            <w:tcBorders>
              <w:top w:val="single" w:sz="4" w:space="0" w:color="auto"/>
              <w:left w:val="single" w:sz="4" w:space="0" w:color="auto"/>
              <w:bottom w:val="single" w:sz="4" w:space="0" w:color="auto"/>
              <w:right w:val="single" w:sz="4" w:space="0" w:color="auto"/>
            </w:tcBorders>
            <w:vAlign w:val="center"/>
          </w:tcPr>
          <w:p w14:paraId="55898C99"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30' 22,17'</w:t>
            </w:r>
          </w:p>
        </w:tc>
        <w:tc>
          <w:tcPr>
            <w:tcW w:w="2875" w:type="dxa"/>
            <w:tcBorders>
              <w:top w:val="single" w:sz="4" w:space="0" w:color="auto"/>
              <w:left w:val="single" w:sz="4" w:space="0" w:color="auto"/>
              <w:bottom w:val="single" w:sz="4" w:space="0" w:color="auto"/>
              <w:right w:val="single" w:sz="4" w:space="0" w:color="auto"/>
            </w:tcBorders>
            <w:vAlign w:val="center"/>
          </w:tcPr>
          <w:p w14:paraId="18E3BEEC"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38' 17,19''</w:t>
            </w:r>
          </w:p>
        </w:tc>
      </w:tr>
      <w:tr w:rsidR="00E311B0" w:rsidRPr="0046783D" w14:paraId="5E1F7AA7"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10BC668C"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6C720"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30' 22,17''</w:t>
            </w:r>
          </w:p>
        </w:tc>
        <w:tc>
          <w:tcPr>
            <w:tcW w:w="2875" w:type="dxa"/>
            <w:tcBorders>
              <w:top w:val="single" w:sz="4" w:space="0" w:color="auto"/>
              <w:left w:val="single" w:sz="4" w:space="0" w:color="auto"/>
              <w:bottom w:val="single" w:sz="4" w:space="0" w:color="auto"/>
              <w:right w:val="single" w:sz="4" w:space="0" w:color="auto"/>
            </w:tcBorders>
            <w:vAlign w:val="center"/>
          </w:tcPr>
          <w:p w14:paraId="4D01EE4A"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36' 0''</w:t>
            </w:r>
          </w:p>
        </w:tc>
      </w:tr>
      <w:tr w:rsidR="00E311B0" w:rsidRPr="0046783D" w14:paraId="090E42C3"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78B1367A"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3</w:t>
            </w:r>
          </w:p>
        </w:tc>
        <w:tc>
          <w:tcPr>
            <w:tcW w:w="2758" w:type="dxa"/>
            <w:tcBorders>
              <w:top w:val="single" w:sz="4" w:space="0" w:color="auto"/>
              <w:left w:val="single" w:sz="4" w:space="0" w:color="auto"/>
              <w:bottom w:val="single" w:sz="4" w:space="0" w:color="auto"/>
              <w:right w:val="single" w:sz="4" w:space="0" w:color="auto"/>
            </w:tcBorders>
            <w:vAlign w:val="center"/>
          </w:tcPr>
          <w:p w14:paraId="4183D00B"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31' 34,01''</w:t>
            </w:r>
          </w:p>
        </w:tc>
        <w:tc>
          <w:tcPr>
            <w:tcW w:w="2875" w:type="dxa"/>
            <w:tcBorders>
              <w:top w:val="single" w:sz="4" w:space="0" w:color="auto"/>
              <w:left w:val="single" w:sz="4" w:space="0" w:color="auto"/>
              <w:bottom w:val="single" w:sz="4" w:space="0" w:color="auto"/>
              <w:right w:val="single" w:sz="4" w:space="0" w:color="auto"/>
            </w:tcBorders>
            <w:vAlign w:val="center"/>
          </w:tcPr>
          <w:p w14:paraId="78D11B39"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36' 0''</w:t>
            </w:r>
          </w:p>
        </w:tc>
      </w:tr>
      <w:tr w:rsidR="00E311B0" w:rsidRPr="0046783D" w14:paraId="5B4D374F"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323D96F" w14:textId="77777777" w:rsidR="00E311B0" w:rsidRPr="0046783D" w:rsidRDefault="00E311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4</w:t>
            </w:r>
          </w:p>
        </w:tc>
        <w:tc>
          <w:tcPr>
            <w:tcW w:w="2758" w:type="dxa"/>
            <w:tcBorders>
              <w:top w:val="single" w:sz="4" w:space="0" w:color="auto"/>
              <w:left w:val="single" w:sz="4" w:space="0" w:color="auto"/>
              <w:bottom w:val="single" w:sz="4" w:space="0" w:color="auto"/>
              <w:right w:val="single" w:sz="4" w:space="0" w:color="auto"/>
            </w:tcBorders>
            <w:vAlign w:val="center"/>
          </w:tcPr>
          <w:p w14:paraId="11591958"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51⁰ 31' 34,01''</w:t>
            </w:r>
          </w:p>
        </w:tc>
        <w:tc>
          <w:tcPr>
            <w:tcW w:w="2875" w:type="dxa"/>
            <w:tcBorders>
              <w:top w:val="single" w:sz="4" w:space="0" w:color="auto"/>
              <w:left w:val="single" w:sz="4" w:space="0" w:color="auto"/>
              <w:bottom w:val="single" w:sz="4" w:space="0" w:color="auto"/>
              <w:right w:val="single" w:sz="4" w:space="0" w:color="auto"/>
            </w:tcBorders>
            <w:vAlign w:val="center"/>
          </w:tcPr>
          <w:p w14:paraId="222E0A48" w14:textId="77777777" w:rsidR="00E311B0" w:rsidRPr="00CD4E70" w:rsidRDefault="00E311B0" w:rsidP="00BD4765">
            <w:pPr>
              <w:tabs>
                <w:tab w:val="left" w:pos="0"/>
              </w:tabs>
              <w:spacing w:after="0" w:line="240" w:lineRule="auto"/>
              <w:jc w:val="both"/>
              <w:rPr>
                <w:rFonts w:ascii="Times New Roman" w:hAnsi="Times New Roman" w:cs="Times New Roman"/>
                <w:bCs/>
                <w:sz w:val="24"/>
                <w:szCs w:val="24"/>
              </w:rPr>
            </w:pPr>
            <w:r w:rsidRPr="00920E7B">
              <w:rPr>
                <w:rFonts w:ascii="Times New Roman" w:hAnsi="Times New Roman" w:cs="Times New Roman"/>
                <w:sz w:val="24"/>
                <w:szCs w:val="24"/>
              </w:rPr>
              <w:t>62⁰ 38' 16,78''</w:t>
            </w:r>
          </w:p>
        </w:tc>
      </w:tr>
    </w:tbl>
    <w:p w14:paraId="065422DC" w14:textId="77777777" w:rsidR="00F77CB0" w:rsidRPr="0046783D" w:rsidRDefault="00F77CB0" w:rsidP="00F77CB0">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На рисунке 1</w:t>
      </w:r>
      <w:r>
        <w:rPr>
          <w:rFonts w:ascii="Times New Roman" w:hAnsi="Times New Roman" w:cs="Times New Roman"/>
          <w:sz w:val="24"/>
          <w:szCs w:val="24"/>
        </w:rPr>
        <w:t xml:space="preserve"> п</w:t>
      </w:r>
      <w:r w:rsidRPr="0046783D">
        <w:rPr>
          <w:rFonts w:ascii="Times New Roman" w:hAnsi="Times New Roman" w:cs="Times New Roman"/>
          <w:sz w:val="24"/>
          <w:szCs w:val="24"/>
        </w:rPr>
        <w:t>риведена обзорная карта расположения объекта исследования.</w:t>
      </w:r>
    </w:p>
    <w:p w14:paraId="19BED7BD" w14:textId="3EEEC432" w:rsidR="00491EB0" w:rsidRDefault="00491EB0" w:rsidP="00491EB0">
      <w:pPr>
        <w:tabs>
          <w:tab w:val="left" w:pos="810"/>
        </w:tabs>
        <w:spacing w:after="0" w:line="240" w:lineRule="auto"/>
        <w:jc w:val="both"/>
        <w:rPr>
          <w:rFonts w:ascii="Times New Roman" w:hAnsi="Times New Roman" w:cs="Times New Roman"/>
          <w:sz w:val="24"/>
          <w:szCs w:val="24"/>
        </w:rPr>
      </w:pPr>
    </w:p>
    <w:p w14:paraId="49672AA7" w14:textId="0E603766" w:rsidR="00491EB0" w:rsidRDefault="00E311B0" w:rsidP="00491EB0">
      <w:pPr>
        <w:spacing w:after="0" w:line="240" w:lineRule="auto"/>
        <w:ind w:firstLine="567"/>
        <w:jc w:val="center"/>
        <w:rPr>
          <w:rFonts w:ascii="TimesNewRomanPSMT" w:hAnsi="TimesNewRomanPSMT" w:cs="TimesNewRomanPSMT"/>
          <w:sz w:val="28"/>
          <w:szCs w:val="28"/>
        </w:rPr>
      </w:pPr>
      <w:r w:rsidRPr="001668F9">
        <w:rPr>
          <w:noProof/>
          <w:sz w:val="27"/>
          <w:szCs w:val="27"/>
        </w:rPr>
        <w:lastRenderedPageBreak/>
        <w:drawing>
          <wp:inline distT="0" distB="0" distL="0" distR="0" wp14:anchorId="1C3A016C" wp14:editId="78555D01">
            <wp:extent cx="5757208" cy="84103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125" cy="8411693"/>
                    </a:xfrm>
                    <a:prstGeom prst="rect">
                      <a:avLst/>
                    </a:prstGeom>
                    <a:noFill/>
                    <a:ln>
                      <a:noFill/>
                    </a:ln>
                  </pic:spPr>
                </pic:pic>
              </a:graphicData>
            </a:graphic>
          </wp:inline>
        </w:drawing>
      </w:r>
    </w:p>
    <w:p w14:paraId="15DC1CF7" w14:textId="77777777" w:rsidR="00491EB0" w:rsidRDefault="00491EB0" w:rsidP="00491EB0">
      <w:pPr>
        <w:autoSpaceDE w:val="0"/>
        <w:autoSpaceDN w:val="0"/>
        <w:adjustRightInd w:val="0"/>
        <w:spacing w:after="0" w:line="240" w:lineRule="auto"/>
        <w:ind w:left="-426"/>
        <w:rPr>
          <w:rFonts w:ascii="TimesNewRomanPSMT" w:hAnsi="TimesNewRomanPSMT" w:cs="TimesNewRomanPSMT"/>
          <w:sz w:val="28"/>
          <w:szCs w:val="28"/>
        </w:rPr>
      </w:pPr>
    </w:p>
    <w:p w14:paraId="384FF078" w14:textId="77777777" w:rsidR="00491EB0" w:rsidRDefault="00491EB0" w:rsidP="00491EB0">
      <w:pPr>
        <w:autoSpaceDE w:val="0"/>
        <w:autoSpaceDN w:val="0"/>
        <w:adjustRightInd w:val="0"/>
        <w:spacing w:after="0" w:line="240" w:lineRule="auto"/>
        <w:jc w:val="center"/>
        <w:rPr>
          <w:rFonts w:ascii="Times New Roman" w:hAnsi="Times New Roman" w:cs="Times New Roman"/>
          <w:sz w:val="24"/>
          <w:szCs w:val="24"/>
        </w:rPr>
      </w:pPr>
      <w:r w:rsidRPr="00DB620A">
        <w:rPr>
          <w:rFonts w:ascii="Times New Roman" w:hAnsi="Times New Roman" w:cs="Times New Roman"/>
          <w:sz w:val="24"/>
          <w:szCs w:val="24"/>
        </w:rPr>
        <w:t>Рис.1. Обзорная карта расположения объектов</w:t>
      </w:r>
    </w:p>
    <w:p w14:paraId="6DC90308" w14:textId="6C45785F" w:rsidR="00491EB0" w:rsidRDefault="00491EB0" w:rsidP="00491EB0">
      <w:pPr>
        <w:autoSpaceDE w:val="0"/>
        <w:autoSpaceDN w:val="0"/>
        <w:adjustRightInd w:val="0"/>
        <w:spacing w:after="0" w:line="240" w:lineRule="auto"/>
        <w:jc w:val="center"/>
        <w:rPr>
          <w:rFonts w:ascii="TimesNewRomanPSMT" w:hAnsi="TimesNewRomanPSMT" w:cs="TimesNewRomanPSMT"/>
          <w:sz w:val="24"/>
          <w:szCs w:val="24"/>
        </w:rPr>
      </w:pPr>
    </w:p>
    <w:p w14:paraId="6FFFA083" w14:textId="6597C4FC" w:rsidR="0002254D" w:rsidRDefault="0002254D" w:rsidP="0002254D">
      <w:pPr>
        <w:autoSpaceDE w:val="0"/>
        <w:autoSpaceDN w:val="0"/>
        <w:adjustRightInd w:val="0"/>
        <w:spacing w:after="0" w:line="240" w:lineRule="auto"/>
        <w:ind w:firstLine="567"/>
        <w:jc w:val="both"/>
        <w:rPr>
          <w:rFonts w:ascii="Times New Roman" w:hAnsi="Times New Roman" w:cs="Times New Roman"/>
          <w:sz w:val="24"/>
          <w:szCs w:val="24"/>
        </w:rPr>
      </w:pPr>
      <w:bookmarkStart w:id="1" w:name="_Hlk212132446"/>
      <w:r w:rsidRPr="0046783D">
        <w:rPr>
          <w:rFonts w:ascii="Times New Roman" w:hAnsi="Times New Roman"/>
          <w:sz w:val="24"/>
          <w:szCs w:val="24"/>
        </w:rPr>
        <w:lastRenderedPageBreak/>
        <w:t>Ближайшим к участку работ населенным</w:t>
      </w:r>
      <w:r>
        <w:rPr>
          <w:rFonts w:ascii="Times New Roman" w:hAnsi="Times New Roman"/>
          <w:sz w:val="24"/>
          <w:szCs w:val="24"/>
        </w:rPr>
        <w:t>и</w:t>
      </w:r>
      <w:r w:rsidRPr="0046783D">
        <w:rPr>
          <w:rFonts w:ascii="Times New Roman" w:hAnsi="Times New Roman"/>
          <w:sz w:val="24"/>
          <w:szCs w:val="24"/>
        </w:rPr>
        <w:t xml:space="preserve"> пункт</w:t>
      </w:r>
      <w:r w:rsidR="00452439">
        <w:rPr>
          <w:rFonts w:ascii="Times New Roman" w:hAnsi="Times New Roman"/>
          <w:sz w:val="24"/>
          <w:szCs w:val="24"/>
        </w:rPr>
        <w:t>а</w:t>
      </w:r>
      <w:r w:rsidRPr="0046783D">
        <w:rPr>
          <w:rFonts w:ascii="Times New Roman" w:hAnsi="Times New Roman"/>
          <w:sz w:val="24"/>
          <w:szCs w:val="24"/>
        </w:rPr>
        <w:t>м</w:t>
      </w:r>
      <w:r>
        <w:rPr>
          <w:rFonts w:ascii="Times New Roman" w:hAnsi="Times New Roman"/>
          <w:sz w:val="24"/>
          <w:szCs w:val="24"/>
        </w:rPr>
        <w:t>и</w:t>
      </w:r>
      <w:r w:rsidRPr="0046783D">
        <w:rPr>
          <w:rFonts w:ascii="Times New Roman" w:hAnsi="Times New Roman"/>
          <w:sz w:val="24"/>
          <w:szCs w:val="24"/>
        </w:rPr>
        <w:t xml:space="preserve"> явля</w:t>
      </w:r>
      <w:r>
        <w:rPr>
          <w:rFonts w:ascii="Times New Roman" w:hAnsi="Times New Roman"/>
          <w:sz w:val="24"/>
          <w:szCs w:val="24"/>
        </w:rPr>
        <w:t>ю</w:t>
      </w:r>
      <w:r w:rsidRPr="0046783D">
        <w:rPr>
          <w:rFonts w:ascii="Times New Roman" w:hAnsi="Times New Roman"/>
          <w:sz w:val="24"/>
          <w:szCs w:val="24"/>
        </w:rPr>
        <w:t xml:space="preserve">тся </w:t>
      </w:r>
      <w:r>
        <w:rPr>
          <w:rFonts w:ascii="Times New Roman" w:hAnsi="Times New Roman" w:cs="Times New Roman"/>
          <w:sz w:val="24"/>
          <w:szCs w:val="24"/>
        </w:rPr>
        <w:t xml:space="preserve">село </w:t>
      </w:r>
      <w:r w:rsidR="00F77CB0">
        <w:rPr>
          <w:rFonts w:ascii="Times New Roman" w:hAnsi="Times New Roman" w:cs="Times New Roman"/>
          <w:sz w:val="24"/>
          <w:szCs w:val="24"/>
        </w:rPr>
        <w:t>Дружба 20</w:t>
      </w:r>
      <w:r>
        <w:rPr>
          <w:rFonts w:ascii="Times New Roman" w:hAnsi="Times New Roman" w:cs="Times New Roman"/>
          <w:sz w:val="24"/>
          <w:szCs w:val="24"/>
        </w:rPr>
        <w:t xml:space="preserve"> км, </w:t>
      </w:r>
      <w:r w:rsidRPr="0046783D">
        <w:rPr>
          <w:rFonts w:ascii="Times New Roman" w:hAnsi="Times New Roman" w:cs="Times New Roman"/>
          <w:color w:val="000000"/>
          <w:spacing w:val="-2"/>
          <w:sz w:val="24"/>
          <w:szCs w:val="24"/>
        </w:rPr>
        <w:t>Превышение выбросов на границе СЗЗ не выявлены</w:t>
      </w:r>
      <w:r>
        <w:rPr>
          <w:rFonts w:ascii="Times New Roman" w:hAnsi="Times New Roman" w:cs="Times New Roman"/>
          <w:color w:val="000000"/>
          <w:spacing w:val="-2"/>
          <w:sz w:val="24"/>
          <w:szCs w:val="24"/>
        </w:rPr>
        <w:t>.</w:t>
      </w:r>
    </w:p>
    <w:bookmarkEnd w:id="1"/>
    <w:p w14:paraId="3CBDA2C6" w14:textId="77777777" w:rsidR="0002254D" w:rsidRPr="0046783D" w:rsidRDefault="0002254D" w:rsidP="0002254D">
      <w:pPr>
        <w:autoSpaceDE w:val="0"/>
        <w:autoSpaceDN w:val="0"/>
        <w:adjustRightInd w:val="0"/>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Хозяйственно-бытовые сточные воды будут отводиться в биотуалеты, которые установлены на участке работ. По мере накопления сточные воды выкачиваются в ассенизаторскую машину  и вывозятся на места по разрешению местной СЭС.</w:t>
      </w:r>
    </w:p>
    <w:p w14:paraId="521A5008" w14:textId="77777777" w:rsidR="0002254D" w:rsidRPr="0046783D" w:rsidRDefault="0002254D" w:rsidP="0002254D">
      <w:pPr>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46783D">
        <w:rPr>
          <w:rFonts w:ascii="Times New Roman" w:hAnsi="Times New Roman" w:cs="Times New Roman"/>
          <w:sz w:val="24"/>
          <w:szCs w:val="24"/>
        </w:rPr>
        <w:t xml:space="preserve"> </w:t>
      </w:r>
      <w:r w:rsidRPr="0046783D">
        <w:rPr>
          <w:rFonts w:ascii="Times New Roman" w:hAnsi="Times New Roman" w:cs="Times New Roman"/>
          <w:color w:val="000000"/>
          <w:spacing w:val="-2"/>
          <w:sz w:val="24"/>
          <w:szCs w:val="24"/>
        </w:rPr>
        <w:t>При проведения работ образуются коммунальные отходы, которые будут вывозиться специализированным предприятием в соответствии с договором.</w:t>
      </w:r>
    </w:p>
    <w:p w14:paraId="567D3565" w14:textId="77777777" w:rsidR="0002254D" w:rsidRPr="0046783D" w:rsidRDefault="0002254D" w:rsidP="0002254D">
      <w:pPr>
        <w:tabs>
          <w:tab w:val="num" w:pos="0"/>
        </w:tabs>
        <w:spacing w:after="0" w:line="240" w:lineRule="auto"/>
        <w:ind w:firstLine="567"/>
        <w:jc w:val="both"/>
        <w:rPr>
          <w:rFonts w:ascii="Times New Roman" w:eastAsia="Calibri" w:hAnsi="Times New Roman" w:cs="Times New Roman"/>
          <w:b/>
          <w:sz w:val="24"/>
          <w:szCs w:val="24"/>
        </w:rPr>
      </w:pPr>
      <w:r w:rsidRPr="0046783D">
        <w:rPr>
          <w:rFonts w:ascii="Times New Roman" w:hAnsi="Times New Roman" w:cs="Times New Roman"/>
          <w:sz w:val="24"/>
          <w:szCs w:val="24"/>
        </w:rPr>
        <w:t xml:space="preserve">Воздействия намечаемой деятельности на окружающую среду оценивается как </w:t>
      </w:r>
      <w:r w:rsidRPr="0046783D">
        <w:rPr>
          <w:rFonts w:ascii="Times New Roman" w:eastAsia="Calibri" w:hAnsi="Times New Roman" w:cs="Times New Roman"/>
          <w:b/>
          <w:sz w:val="24"/>
          <w:szCs w:val="24"/>
        </w:rPr>
        <w:t>локальное</w:t>
      </w:r>
      <w:r w:rsidRPr="0046783D">
        <w:rPr>
          <w:rFonts w:ascii="Times New Roman" w:eastAsia="Calibri" w:hAnsi="Times New Roman" w:cs="Times New Roman"/>
          <w:sz w:val="24"/>
          <w:szCs w:val="24"/>
        </w:rPr>
        <w:t xml:space="preserve">, во временном - как </w:t>
      </w:r>
      <w:r w:rsidRPr="0046783D">
        <w:rPr>
          <w:rFonts w:ascii="Times New Roman" w:hAnsi="Times New Roman" w:cs="Times New Roman"/>
          <w:b/>
          <w:sz w:val="24"/>
          <w:szCs w:val="24"/>
        </w:rPr>
        <w:t>кратковременное</w:t>
      </w:r>
      <w:r w:rsidRPr="0046783D">
        <w:rPr>
          <w:rFonts w:ascii="Times New Roman" w:hAnsi="Times New Roman" w:cs="Times New Roman"/>
          <w:sz w:val="24"/>
          <w:szCs w:val="24"/>
        </w:rPr>
        <w:t>,</w:t>
      </w:r>
      <w:r w:rsidRPr="0046783D">
        <w:rPr>
          <w:rFonts w:ascii="Times New Roman" w:eastAsia="Calibri" w:hAnsi="Times New Roman" w:cs="Times New Roman"/>
          <w:sz w:val="24"/>
          <w:szCs w:val="24"/>
        </w:rPr>
        <w:t xml:space="preserve"> и по величине - как </w:t>
      </w:r>
      <w:r w:rsidRPr="0046783D">
        <w:rPr>
          <w:rFonts w:ascii="Times New Roman" w:hAnsi="Times New Roman" w:cs="Times New Roman"/>
          <w:b/>
          <w:sz w:val="24"/>
          <w:szCs w:val="24"/>
        </w:rPr>
        <w:t>незначительное</w:t>
      </w:r>
      <w:r w:rsidRPr="0046783D">
        <w:rPr>
          <w:rFonts w:ascii="Times New Roman" w:eastAsia="Calibri" w:hAnsi="Times New Roman" w:cs="Times New Roman"/>
          <w:b/>
          <w:sz w:val="24"/>
          <w:szCs w:val="24"/>
        </w:rPr>
        <w:t>.</w:t>
      </w:r>
    </w:p>
    <w:p w14:paraId="326C3E50" w14:textId="6226E4D8" w:rsidR="00F77CB0" w:rsidRDefault="00F77CB0" w:rsidP="00F77CB0">
      <w:pPr>
        <w:pStyle w:val="af7"/>
        <w:suppressAutoHyphens/>
        <w:spacing w:after="0"/>
        <w:ind w:left="0" w:firstLine="567"/>
        <w:jc w:val="both"/>
      </w:pPr>
      <w:r w:rsidRPr="00F77CB0">
        <w:t>Инициатор: АО «Алюминий Казахстана», адрес: Республика Казахстан, Павлодарская область, город Павлодар, промышленная зона Восточная, строение 65, БИН 940140000325.</w:t>
      </w:r>
    </w:p>
    <w:p w14:paraId="024837DF" w14:textId="14C25FDC" w:rsidR="0002254D" w:rsidRDefault="00F77CB0" w:rsidP="00F77CB0">
      <w:pPr>
        <w:pStyle w:val="af7"/>
        <w:suppressAutoHyphens/>
        <w:spacing w:after="0"/>
        <w:ind w:left="0" w:firstLine="567"/>
        <w:jc w:val="both"/>
      </w:pPr>
      <w:r>
        <w:t>Добычные работы на месторождении будут вестись филиалом</w:t>
      </w:r>
      <w:r w:rsidR="0002254D" w:rsidRPr="0046783D">
        <w:t xml:space="preserve"> АО «Алюминий Казахстана» </w:t>
      </w:r>
      <w:r w:rsidR="0002254D">
        <w:t>К</w:t>
      </w:r>
      <w:r w:rsidR="0002254D" w:rsidRPr="0046783D">
        <w:t>БРУ</w:t>
      </w:r>
      <w:r>
        <w:t xml:space="preserve">. </w:t>
      </w:r>
      <w:r w:rsidR="0002254D" w:rsidRPr="0046783D">
        <w:t>Адрес предприятия: РК, Костанайская область, город Лисаковск, поселок Октябрьский, улица Уральская, дом 42А, почтовый индекс 111203,  БИН 040341005787</w:t>
      </w:r>
      <w:r>
        <w:t>.</w:t>
      </w:r>
    </w:p>
    <w:p w14:paraId="7FE438E2" w14:textId="09AB044D" w:rsidR="00F77CB0" w:rsidRDefault="00F77CB0" w:rsidP="00F77CB0">
      <w:pPr>
        <w:pStyle w:val="af7"/>
        <w:suppressAutoHyphens/>
        <w:spacing w:after="0"/>
        <w:ind w:firstLine="567"/>
        <w:jc w:val="both"/>
      </w:pPr>
      <w:r w:rsidRPr="00F77CB0">
        <w:t>Горные работы на участке 18 (рудное тело 1) ранее не проводились.</w:t>
      </w:r>
      <w:r>
        <w:t xml:space="preserve"> На существующее положение месторождение в стадии проектирования. Планом горных работ предусматривается разработка месторождения открытым спсобом. </w:t>
      </w:r>
      <w:r w:rsidRPr="00F77CB0">
        <w:t>Технические границы карьера определены с учетом рельефа местности, угла откоса уступа, предельного угла борта карьера, границ участка недр. Основные параметры элементов карьерной отработки установлены исходя из физико-механических свойств пород, применяемой техники и технологии в соответствии с Нормами технологического проектирования, Правилами технической эксплуатации и Правилами обеспечения промышленной безопасности для опасных производственных объектов, ведущих горные и геологоразведочные работы.</w:t>
      </w:r>
    </w:p>
    <w:p w14:paraId="6253425A" w14:textId="77777777" w:rsidR="00F77CB0" w:rsidRDefault="00F77CB0" w:rsidP="00F77CB0">
      <w:pPr>
        <w:pStyle w:val="af7"/>
        <w:suppressAutoHyphens/>
        <w:spacing w:after="0"/>
        <w:ind w:firstLine="567"/>
        <w:jc w:val="both"/>
      </w:pPr>
      <w:r>
        <w:t>Основным видом деятельности предприятия является производство и реализация глинозёма, а также добычи, переработка и реализация бокситов.</w:t>
      </w:r>
    </w:p>
    <w:p w14:paraId="125BD6E4" w14:textId="77777777" w:rsidR="00E311B0" w:rsidRDefault="00E311B0" w:rsidP="00E311B0">
      <w:pPr>
        <w:pStyle w:val="af7"/>
        <w:suppressAutoHyphens/>
        <w:spacing w:after="0"/>
        <w:ind w:firstLine="567"/>
        <w:jc w:val="both"/>
      </w:pPr>
      <w:r>
        <w:t>Годовая производительность по руде -500 тыс. т. Раздел разрабатывается на 10 лет, с 2026г. До начала добычи на лицензионном участке будут проводится подготовительные работы (гидрогеологические исследования, строительство дорог). Режим работы 365 дней по 12 часов в две смены.</w:t>
      </w:r>
    </w:p>
    <w:p w14:paraId="49AE59FA" w14:textId="53D56F5B" w:rsidR="00F77CB0" w:rsidRDefault="00F77CB0" w:rsidP="00E311B0">
      <w:pPr>
        <w:pStyle w:val="af7"/>
        <w:suppressAutoHyphens/>
        <w:spacing w:after="0"/>
        <w:ind w:firstLine="567"/>
        <w:jc w:val="both"/>
      </w:pPr>
      <w:r>
        <w:t xml:space="preserve">Режим работ при ведении горных работ предусмотрен следующий: </w:t>
      </w:r>
    </w:p>
    <w:p w14:paraId="40BEBB50" w14:textId="77777777" w:rsidR="00F77CB0" w:rsidRDefault="00F77CB0" w:rsidP="00F77CB0">
      <w:pPr>
        <w:pStyle w:val="af7"/>
        <w:suppressAutoHyphens/>
        <w:spacing w:after="0"/>
        <w:ind w:firstLine="567"/>
        <w:jc w:val="both"/>
      </w:pPr>
      <w:r>
        <w:t xml:space="preserve"> 1. Продолжительность работ: 365 дней год, 7 дней в неделю.</w:t>
      </w:r>
    </w:p>
    <w:p w14:paraId="7024D0B0" w14:textId="77777777" w:rsidR="00F77CB0" w:rsidRDefault="00F77CB0" w:rsidP="00F77CB0">
      <w:pPr>
        <w:pStyle w:val="af7"/>
        <w:suppressAutoHyphens/>
        <w:spacing w:after="0"/>
        <w:ind w:firstLine="567"/>
        <w:jc w:val="both"/>
      </w:pPr>
      <w:r>
        <w:t xml:space="preserve">2. Продолжительность смены                           -     12 часов. </w:t>
      </w:r>
    </w:p>
    <w:p w14:paraId="4F66EDF7" w14:textId="77777777" w:rsidR="00F77CB0" w:rsidRDefault="00F77CB0" w:rsidP="00F77CB0">
      <w:pPr>
        <w:pStyle w:val="af7"/>
        <w:suppressAutoHyphens/>
        <w:spacing w:after="0"/>
        <w:ind w:firstLine="567"/>
        <w:jc w:val="both"/>
      </w:pPr>
      <w:r>
        <w:t>3. Количество смен в сутки                                -      2 смены.</w:t>
      </w:r>
    </w:p>
    <w:p w14:paraId="00D0A158" w14:textId="695FCA34" w:rsidR="00F77CB0" w:rsidRDefault="00F77CB0" w:rsidP="00F77CB0">
      <w:pPr>
        <w:pStyle w:val="af7"/>
        <w:suppressAutoHyphens/>
        <w:spacing w:after="0"/>
        <w:ind w:firstLine="567"/>
        <w:jc w:val="both"/>
      </w:pPr>
      <w:r>
        <w:t>Рабочие и обслуживающий персонал ежедневно доставляется на рудники автобусами из ближайшего поселка.</w:t>
      </w:r>
    </w:p>
    <w:p w14:paraId="62CEF8AC"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Электроснабжение карьеров предусматривается от РУ-6кВ существующих главных понижающих подстанций ГПП-110/35/6 кВ или от РУ-6кВ подстанций ПС 35/6 кВ месторождений КБРУ. Подключение электропотребителей карьеров осуществляется от ближайшей подстанции. К разрабатываемым карьерам прокладывается ВЛ-6кВ на стойках типа СВН с проводом АС 95-120. </w:t>
      </w:r>
    </w:p>
    <w:p w14:paraId="3926CAD5"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Объект не будет оказывать существенного негативного влияния на жизнь и здоровье людей, т.к находится далеко от населенных пунктов.</w:t>
      </w:r>
    </w:p>
    <w:p w14:paraId="204019E2"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Оценка воздействия на растительность. Растительность является одним из важнейших объектов окружающей среды, и ее состояние отражает в целом состояние среды обитания, определяя возможности хозяйственного использования территории и развития фауны. </w:t>
      </w:r>
    </w:p>
    <w:p w14:paraId="562DB80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Экологически нерациональное природопользование приводит к деградации почвенно-растительных ценозов, снижению биологической продуктивности земель, </w:t>
      </w:r>
      <w:r w:rsidRPr="00E311B0">
        <w:rPr>
          <w:rFonts w:eastAsiaTheme="minorHAnsi"/>
          <w:lang w:eastAsia="en-US"/>
        </w:rPr>
        <w:lastRenderedPageBreak/>
        <w:t>смене доминантов растительного покрова, уменьшение урожайности пастбищ, развитию ветровой эрозии.</w:t>
      </w:r>
    </w:p>
    <w:p w14:paraId="32FA0F4E"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В общем случае, накопление вредных веществ в почве ведет к нарушению роста корневых систем и их минерального питания. В зависимости от погодно-климатических условий, солнечной радиации и  влажности почв может изменяться поглотительная способность растения. Поступление в растения повышенных количеств определенных элементов довольно часто вызывает ряд физиологических и морфологических изменений. Они настолько характерны, что могут служить индикаторами загрязнения окружающей среды. </w:t>
      </w:r>
    </w:p>
    <w:p w14:paraId="3E29FB9A"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Все перечисленные факторы деградации растительного покрова приводят к утрате его функциональной роли, потере биоразнообразия, упрощению состава и структуры, снижению продуктивности, потере ресурсной  и экологической значимости.</w:t>
      </w:r>
    </w:p>
    <w:p w14:paraId="6BA61BBC"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Нельзя забывать, что кроме хозяйственно-ресурсной значимости растительный покров выполняет такие важные функции как водоохранную, противоэрозионную и ландшафтостабилизирующую. </w:t>
      </w:r>
    </w:p>
    <w:p w14:paraId="5E82DE80"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Таким образом, характер ответной реакции растительности на проведение проектируемых видов работ зависит от условий местообитания вида растения, видов воздействия и путей загрязнения. Однако некоторые общие черты проявляются четко:</w:t>
      </w:r>
    </w:p>
    <w:p w14:paraId="5D9EC138"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w:t>
      </w:r>
      <w:r w:rsidRPr="00E311B0">
        <w:rPr>
          <w:rFonts w:eastAsiaTheme="minorHAnsi"/>
          <w:lang w:eastAsia="en-US"/>
        </w:rPr>
        <w:tab/>
        <w:t>внешними признаками, указывающими на влияние загрязнителей на растения можно считать изменение анатомо-морфологических показателей: появление некрозов, утолщение органов и изменение окраски.</w:t>
      </w:r>
    </w:p>
    <w:p w14:paraId="2E6770B0"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w:t>
      </w:r>
      <w:r w:rsidRPr="00E311B0">
        <w:rPr>
          <w:rFonts w:eastAsiaTheme="minorHAnsi"/>
          <w:lang w:eastAsia="en-US"/>
        </w:rPr>
        <w:tab/>
        <w:t>влияние  выхлопных газов от  машин, двигателей и т.п. наиболее четко прослеживается на древесных породах и кустарниках. Отмечаемые при этом признаки: появление некрозов, изменение окраски листьев, сетчатость листовой пластинки, укороченность побегов, ажурность крон, отсутствие генеративных органов.</w:t>
      </w:r>
    </w:p>
    <w:p w14:paraId="515AE6A1"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При снятии механических воздействий на почвенно-растительный покров скорость восстановления их неодинакова. Растительность, как более динамичный компонент, восстанавливается быстрее. Наиболее быстро восстанавливаются почвы легкого механического состава. Скорость восстановления зональных суглинистых почв более замедленна и в значительной степени определяется составом растительности. Под злаковой растительностью почвы восстанавливаются быстрее, чем под полукустарниковой. Медленными темпами происходит восстановление древесной растительности.</w:t>
      </w:r>
    </w:p>
    <w:p w14:paraId="274E8E66"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Растительность не прилегающей к промплощадке территории будет испытывать влияние загрязнения атмосферного воздуха выбросами автотранспорта, пыления и т.д. Это влияние в первую очередь проявится на биохимическом и физиологическом уровнях и происходит как путем прямого действия загрязняющих веществ на ассимиляционный аппарат, так и путем косвенного воздействия через почву. </w:t>
      </w:r>
    </w:p>
    <w:p w14:paraId="0BB9A5B7"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Значительное осаждение пыли на растениях приводит к угнетению фотосинтезирующей функции, снижению содержания хлорофилла в клетках, изменению и отмиранию тканей и отдельных органов растений и даже полной их гибели. Запыленные растения, даже если они и вегетируют, находятся в угнетенном состоянии и испытывают состояние от средней до сильной степени нарушенности. </w:t>
      </w:r>
    </w:p>
    <w:p w14:paraId="6C171BF8"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При этом за пределами объекта на расстоянии СЗЗ отрицательного влияния на почвенно-растительный покров не предполагается.</w:t>
      </w:r>
    </w:p>
    <w:p w14:paraId="4D98E5AA"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Воздействие оценивается в пространственном масштабе как местное, во временном - как продолжительное, и по величине - как умеренное</w:t>
      </w:r>
    </w:p>
    <w:p w14:paraId="7DAF8C3C"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Оценка воздействия на животный мир. Для большинства видов животных человеческая деятельность играет отрицательную роль, приводящей к резкому снижению численности ряда полезных видов и уменьшению видового разнообразия.</w:t>
      </w:r>
    </w:p>
    <w:p w14:paraId="52A3E610"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lastRenderedPageBreak/>
        <w:t xml:space="preserve">Наиболее отрицательное воздействие на животный мир связано с механическими повреждениями почвенного покрова, из-за чего уничтожается и без того бедный растительный покров, дающий пищу и убежище для огромного числа видов животных. </w:t>
      </w:r>
    </w:p>
    <w:p w14:paraId="74BDCED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С территории участков будут вытеснены некоторые виды животных, под воздействием фактора беспокойства, вызванным постоянным присутствием людей, шумом работающих механизмов и передвижением автотранспорта, а также нелегальной охотой. В этом случае главное направление отбора будет идти по линии преобладания популяций мелких животных, которые лучше других способны противостоять отрицательному воздействию благодаря мелким размерам, широкой экологической пластичности, лабильной форме поведения и др.</w:t>
      </w:r>
    </w:p>
    <w:p w14:paraId="30B54F46"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  соответствии с пунктом 8 статьи 257 Экологического Кодекса Республики Казахстан и  пункта 1 статьи 17 Закона Республики Казахстан №593 «Об охране, востпроизводстве и использовании животного мира от 9 июля 2004 года, при размещении, проектировании и строительстве населенных пунктов, предприятий, сооружений и других объектов, осуществлении производственных процессов и эксплуатации транспортных средств, совершенствовании существующих и внедрении новых технологических процессов, введении в хозяйственный оборот неиспользуемых, прибрежных, заболоченных, занятых кустарниками территорий, мелиорации земель, пользовании лесными ресурсами и водными объектами, проведении геолого-разведочных работ, добыче полезных ископаемых, определении мест выпаса и прогона сельскохозяйственных животных, разработке туристских маршрутов и организации мест массового отдыха населения должны предусматриваться и осуществляться мероприятия по сохранению среды обитания и условий размножения объектов животного мира, путей миграции и мест концентрации животных, а также обеспечиваться неприкосновенность участков, представляющих особую ценность в качестве среды обитания диких животных.</w:t>
      </w:r>
    </w:p>
    <w:p w14:paraId="36AEEE65"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Следовательно, воздействие на растительность в пространственном масштабе как местное, во временном - как продолжительное, и по величине - как умеренное</w:t>
      </w:r>
    </w:p>
    <w:p w14:paraId="6FFC7AD8"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Оценка воздействие на земельные ресурсы и почвы. При проведении горных работ почвы претерпевают механические нарушения. К нарушенным землям  относятся все земли со снятым или перерытым гумусовым горизонтом и непригодные для использования без предварительного восстановления плодородия, т.е. земли, утратившие в связи с нарушением первоначальную ценность. Механические нарушения вызываются строительством новых объектов, подъездных дорог и т.д. Эти нарушения, хотя и носят локальный характер, всегда сопровождаются менее сильными, но большими по площади нарушениями растительности на прилегающих территориях. При этом строительной техникой и автотранспортом часто полностью уничтожается растительность, разрушаются и уплотняются верхние наиболее плодородные слои почв. Причиной механических нарушений являются также езда автотранспорта и строительной техники по несанкционированным дорогам и бездорожью. Нарушения земель приводят к трудно восстанавливаемым, часто необратимым, изменениям, уничтожению поверхностных слоев, стимулированию развития водной и ветровой эрозии.</w:t>
      </w:r>
    </w:p>
    <w:p w14:paraId="4401AEB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Степень деградации почв зависит, прежде всего, от площади нарушенных земель, свойств растительных экосистем, своевременности проведения работ по рекультивации земель.</w:t>
      </w:r>
    </w:p>
    <w:p w14:paraId="0F98CB9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Широко распространенным фактором антропогенных воздействий на природные комплексы территории является транспортное воздействие. Он выражается в создании многочисленных грунтовых дорог и загрязнений экосистем токсикантами, поступающими с выхлопными газами. Изменения в экосистемах, связанные с функционированием грунтовых дорог, затрагивают все компоненты – литогенную систему, растительность и почвы.</w:t>
      </w:r>
    </w:p>
    <w:p w14:paraId="73C75EA2"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lastRenderedPageBreak/>
        <w:t>В результате механического воздействия на почвенный покров 70-80% почв в радиусе проводимых горных работ будут полностью уничтожены.</w:t>
      </w:r>
    </w:p>
    <w:p w14:paraId="42865394"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Следовательно, воздействие почвы в пространственном масштабе как местное, во временном - как продолжительное, и по величине - как умеренное.</w:t>
      </w:r>
    </w:p>
    <w:p w14:paraId="36412FCE"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Оценка воздействия на подземные  воды. Все оборудование и сооружения являются источниками загрязнения подземных вод. И поверхностных вод. Однако уровень их воздействия на подземные воды и поверхностные воды  существенно различается между собой. </w:t>
      </w:r>
    </w:p>
    <w:p w14:paraId="7DD3BFE8"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Для предотвращения загрязнения подземных и поверхностных вод предпринят ряд проектных решений, обеспечивающий их безопасность. </w:t>
      </w:r>
    </w:p>
    <w:p w14:paraId="3F7631D3"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Предлагаются следующие мероприятия, направленные на защиту подземных вод и поверхностных вод:</w:t>
      </w:r>
    </w:p>
    <w:p w14:paraId="34623FF3"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При заправке спецтехники ГСМ использовать поддоны;</w:t>
      </w:r>
    </w:p>
    <w:p w14:paraId="383C0E04"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Применять для  утилизаций, складирования герметичные контейнеры и установить их на оборудованных водонепроницаемых покрытиях;</w:t>
      </w:r>
    </w:p>
    <w:p w14:paraId="72F286E4"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Исключить сброс неочищенных сточных вод на дневную поверхность, сброс сточных вод будет осуществлятся в биотуалеты, с дальнейшим вывозом в места согласованные СЭС.</w:t>
      </w:r>
    </w:p>
    <w:p w14:paraId="5D2DD80E"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При выполнении предлагаемых мероприятий воздействие оценивается как местное, во временном - как продолжительное, и по величине - как умеренное.</w:t>
      </w:r>
    </w:p>
    <w:p w14:paraId="42C67B6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Оценка воздействия на атмосферный воздух. Качество атмосферного воздуха, как одного из основных компонентов природной среды, является важным аспектом при оценке воздействия предприятия на окружающую среду и здоровье население. Воздействие деятельности оценивается в соответствии с законодательными и нормативными требованиями, предъявляемыми к качеству атмосферного воздуха. Загрязнение атмосферного воздуха химическими  веществами может влиять на состояние здоровья населения, на животный и растительный мир прилегающей территории. В качестве критерия для оценки уровня загрязнения атмосферного воздуха применяются значения предельно-допустимых концентраций веществ в атмосферном воздухе для населенных мест и рабочей зоны и ориентировочно безопасные уровни воздействия (ОБУВ). Значения ПДК И ОБУВ приняты на основании действующих нормативных документов:</w:t>
      </w:r>
    </w:p>
    <w:p w14:paraId="53793B51"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w:t>
      </w:r>
      <w:r w:rsidRPr="00E311B0">
        <w:rPr>
          <w:rFonts w:eastAsiaTheme="minorHAnsi"/>
          <w:lang w:eastAsia="en-US"/>
        </w:rPr>
        <w:tab/>
        <w:t>«Гигиенические нормативы к атмосферному воздуху в городских и сельских населенных пунктах, на территориях промышленных организаций», утверждены Приказом Министра здравоохранения Республики Казахстан от 2 августа 2022 года № ҚР ДСМ-70.</w:t>
      </w:r>
    </w:p>
    <w:p w14:paraId="6CE579E6"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 период разработки проекта установлено:</w:t>
      </w:r>
    </w:p>
    <w:p w14:paraId="3A8266D7"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w:t>
      </w:r>
      <w:r w:rsidRPr="00E311B0">
        <w:rPr>
          <w:rFonts w:eastAsiaTheme="minorHAnsi"/>
          <w:lang w:eastAsia="en-US"/>
        </w:rPr>
        <w:tab/>
        <w:t>55 источников выброса, из них 18 неорганизованных, 2 организованный;</w:t>
      </w:r>
    </w:p>
    <w:p w14:paraId="37B00A5E"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10 ингредиентов загрязняющих веществ и 3 группы веществ, обладающих эффектом суммации вредного действия.</w:t>
      </w:r>
    </w:p>
    <w:p w14:paraId="778A7DD4"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Расчет объемов эмиссий при эксплуатации выполнен для каждого года с учетом производительности согласно календарного графика ведения работ. Нормирование выполнено на 10 лет.</w:t>
      </w:r>
    </w:p>
    <w:p w14:paraId="170A2B60"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 соответствии с  ЭК РК  Приложение 1 Раздел 1 п.2 пп.2.2, (карьеры и открытая добыча твердых полезных ископаемых на территории, превышающей 25 га, или добыча торфа, при которой территория превышает 150 га) относится к объектам I категории.  Нормативная санитарно-защитная зона для данного объекта составляет не менее 1000 м.</w:t>
      </w:r>
    </w:p>
    <w:p w14:paraId="7C2EB100"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Для настоящего отчета были проведены расчеты рассеивания выбросов в атмосферу для всех загрязняющих веществ.</w:t>
      </w:r>
    </w:p>
    <w:p w14:paraId="264956DF"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 xml:space="preserve">В административном отношении Таунсорское месторождение бокситов находится в Камыстинском районе Костанайской области Республики Казахстан, в 70-90 км на юг </w:t>
      </w:r>
      <w:r w:rsidRPr="00E311B0">
        <w:rPr>
          <w:rFonts w:eastAsiaTheme="minorHAnsi"/>
          <w:lang w:eastAsia="en-US"/>
        </w:rPr>
        <w:lastRenderedPageBreak/>
        <w:t>от Краснооктябрьского бокситового месторождения, разрабатываемого Филиалом АО «Алюминий Казахстана» Краснооктябрьским бокситовым рудоуправлением .</w:t>
      </w:r>
    </w:p>
    <w:p w14:paraId="669664E1"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В 30-ти километрах от месторождения, через ближайшие села Алтынсарино и Талдыколь, проходит железная дорога от узловой станции Тобыл через г. Лисаковск, п. Арку до ст. Хромтау. Связь между отдельными пунктами и районным центром Камысты осуществляется, в основном, по асфальтированным и грейдерным дорогам.</w:t>
      </w:r>
    </w:p>
    <w:p w14:paraId="32A8EA99" w14:textId="77777777" w:rsidR="00E311B0" w:rsidRPr="00E311B0" w:rsidRDefault="00E311B0" w:rsidP="00E311B0">
      <w:pPr>
        <w:pStyle w:val="af7"/>
        <w:suppressAutoHyphens/>
        <w:spacing w:after="0"/>
        <w:ind w:firstLine="567"/>
        <w:jc w:val="both"/>
        <w:rPr>
          <w:rFonts w:eastAsiaTheme="minorHAnsi"/>
          <w:lang w:eastAsia="en-US"/>
        </w:rPr>
      </w:pPr>
      <w:r w:rsidRPr="00E311B0">
        <w:rPr>
          <w:rFonts w:eastAsiaTheme="minorHAnsi"/>
          <w:lang w:eastAsia="en-US"/>
        </w:rPr>
        <w:t>Мест массового отдыха населения – зон размещения курортов, санаториев, домов отдыха, пансионатов, баз туризма, организованного отдыха населения вблизи проектируемого объекта нет.</w:t>
      </w:r>
    </w:p>
    <w:p w14:paraId="7BE854D0" w14:textId="153CC7C7" w:rsidR="00F77CB0" w:rsidRDefault="00E311B0" w:rsidP="00E311B0">
      <w:pPr>
        <w:pStyle w:val="af7"/>
        <w:suppressAutoHyphens/>
        <w:spacing w:after="0"/>
        <w:ind w:left="0" w:firstLine="567"/>
        <w:jc w:val="both"/>
      </w:pPr>
      <w:r w:rsidRPr="00E311B0">
        <w:rPr>
          <w:rFonts w:eastAsiaTheme="minorHAnsi"/>
          <w:lang w:eastAsia="en-US"/>
        </w:rPr>
        <w:t>Воздействие на атмосферный воздух  в пространственном масштабе оценивается как местное, во временном - как продолжительное, и по величине - как умеренное.</w:t>
      </w:r>
    </w:p>
    <w:p w14:paraId="3DF19437" w14:textId="77777777" w:rsidR="00F77CB0" w:rsidRDefault="00F77CB0" w:rsidP="00F77CB0">
      <w:pPr>
        <w:pStyle w:val="af7"/>
        <w:suppressAutoHyphens/>
        <w:spacing w:after="0"/>
        <w:ind w:left="0" w:firstLine="567"/>
        <w:jc w:val="both"/>
      </w:pPr>
    </w:p>
    <w:p w14:paraId="6BB159E8" w14:textId="77777777" w:rsidR="00F77CB0" w:rsidRDefault="00F77CB0" w:rsidP="00F77CB0">
      <w:pPr>
        <w:pStyle w:val="af7"/>
        <w:suppressAutoHyphens/>
        <w:spacing w:after="0"/>
        <w:ind w:left="0" w:firstLine="567"/>
        <w:jc w:val="both"/>
      </w:pPr>
    </w:p>
    <w:sectPr w:rsidR="00F77CB0"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CC5AE3" w:rsidRDefault="00F77CB0">
      <w:pPr>
        <w:spacing w:after="0" w:line="240" w:lineRule="auto"/>
      </w:pPr>
      <w:r>
        <w:separator/>
      </w:r>
    </w:p>
  </w:endnote>
  <w:endnote w:type="continuationSeparator" w:id="0">
    <w:p w14:paraId="408EBD44" w14:textId="77777777" w:rsidR="00CC5AE3"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CC"/>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CC5AE3" w:rsidRDefault="00F77CB0">
      <w:pPr>
        <w:spacing w:after="0" w:line="240" w:lineRule="auto"/>
      </w:pPr>
      <w:r>
        <w:separator/>
      </w:r>
    </w:p>
  </w:footnote>
  <w:footnote w:type="continuationSeparator" w:id="0">
    <w:p w14:paraId="7F2D31AA" w14:textId="77777777" w:rsidR="00CC5AE3"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503B9"/>
    <w:multiLevelType w:val="hybridMultilevel"/>
    <w:tmpl w:val="DE24A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7"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28"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38"/>
  </w:num>
  <w:num w:numId="3">
    <w:abstractNumId w:val="18"/>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1"/>
  </w:num>
  <w:num w:numId="8">
    <w:abstractNumId w:val="29"/>
  </w:num>
  <w:num w:numId="9">
    <w:abstractNumId w:val="12"/>
  </w:num>
  <w:num w:numId="10">
    <w:abstractNumId w:val="24"/>
  </w:num>
  <w:num w:numId="11">
    <w:abstractNumId w:val="4"/>
  </w:num>
  <w:num w:numId="12">
    <w:abstractNumId w:val="3"/>
  </w:num>
  <w:num w:numId="13">
    <w:abstractNumId w:val="7"/>
  </w:num>
  <w:num w:numId="14">
    <w:abstractNumId w:val="32"/>
  </w:num>
  <w:num w:numId="15">
    <w:abstractNumId w:val="8"/>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5"/>
  </w:num>
  <w:num w:numId="20">
    <w:abstractNumId w:val="20"/>
  </w:num>
  <w:num w:numId="21">
    <w:abstractNumId w:val="36"/>
  </w:num>
  <w:num w:numId="22">
    <w:abstractNumId w:val="6"/>
  </w:num>
  <w:num w:numId="23">
    <w:abstractNumId w:val="22"/>
  </w:num>
  <w:num w:numId="24">
    <w:abstractNumId w:val="34"/>
  </w:num>
  <w:num w:numId="25">
    <w:abstractNumId w:val="13"/>
  </w:num>
  <w:num w:numId="26">
    <w:abstractNumId w:val="33"/>
  </w:num>
  <w:num w:numId="27">
    <w:abstractNumId w:val="21"/>
  </w:num>
  <w:num w:numId="28">
    <w:abstractNumId w:val="31"/>
  </w:num>
  <w:num w:numId="29">
    <w:abstractNumId w:val="26"/>
  </w:num>
  <w:num w:numId="30">
    <w:abstractNumId w:val="30"/>
  </w:num>
  <w:num w:numId="31">
    <w:abstractNumId w:val="16"/>
  </w:num>
  <w:num w:numId="32">
    <w:abstractNumId w:val="37"/>
  </w:num>
  <w:num w:numId="33">
    <w:abstractNumId w:val="5"/>
  </w:num>
  <w:num w:numId="34">
    <w:abstractNumId w:val="10"/>
  </w:num>
  <w:num w:numId="35">
    <w:abstractNumId w:val="14"/>
  </w:num>
  <w:num w:numId="36">
    <w:abstractNumId w:val="35"/>
  </w:num>
  <w:num w:numId="37">
    <w:abstractNumId w:val="9"/>
  </w:num>
  <w:num w:numId="38">
    <w:abstractNumId w:val="25"/>
  </w:num>
  <w:num w:numId="39">
    <w:abstractNumId w:val="1"/>
  </w:num>
  <w:num w:numId="40">
    <w:abstractNumId w:val="2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C0BB7"/>
    <w:rsid w:val="000D66C4"/>
    <w:rsid w:val="000D7DAB"/>
    <w:rsid w:val="001055BA"/>
    <w:rsid w:val="002016E7"/>
    <w:rsid w:val="00346956"/>
    <w:rsid w:val="00411658"/>
    <w:rsid w:val="00452439"/>
    <w:rsid w:val="004671DD"/>
    <w:rsid w:val="00491EB0"/>
    <w:rsid w:val="004D2268"/>
    <w:rsid w:val="004E24F6"/>
    <w:rsid w:val="006C59E1"/>
    <w:rsid w:val="008475EB"/>
    <w:rsid w:val="008E6BDE"/>
    <w:rsid w:val="00AB452B"/>
    <w:rsid w:val="00AD237C"/>
    <w:rsid w:val="00BF4BD2"/>
    <w:rsid w:val="00BF5FED"/>
    <w:rsid w:val="00CC5AE3"/>
    <w:rsid w:val="00D43A7B"/>
    <w:rsid w:val="00DF3A56"/>
    <w:rsid w:val="00E311B0"/>
    <w:rsid w:val="00EA660A"/>
    <w:rsid w:val="00EC380F"/>
    <w:rsid w:val="00ED1E59"/>
    <w:rsid w:val="00F0578E"/>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7</Pages>
  <Words>2513</Words>
  <Characters>14329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18</cp:revision>
  <dcterms:created xsi:type="dcterms:W3CDTF">2022-06-27T02:48:00Z</dcterms:created>
  <dcterms:modified xsi:type="dcterms:W3CDTF">2025-10-23T12:22:00Z</dcterms:modified>
</cp:coreProperties>
</file>