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2360"/>
      </w:tblGrid>
      <w:tr w:rsidR="00B4119E" w:rsidRPr="00B4119E" w14:paraId="7FF0179F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DAA68" w14:textId="522D899F" w:rsidR="00AC737C" w:rsidRDefault="00AC737C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B9B4D45" w14:textId="030CD7C1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Приложение 1</w:t>
            </w:r>
            <w:r w:rsidR="00E64AC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</w:tr>
      <w:tr w:rsidR="00B4119E" w:rsidRPr="00B4119E" w14:paraId="4950CEDC" w14:textId="77777777" w:rsidTr="00B4119E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71A82" w14:textId="6511E23B" w:rsidR="00B4119E" w:rsidRPr="00B4119E" w:rsidRDefault="005B7407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hyperlink r:id="rId7" w:anchor="sub_id=100" w:tooltip="Приказ и.о. Министра экологии, геологии и природных ресурсов Республики Казахстан от 9 августа 2021 года № 319 " w:history="1">
              <w:r w:rsidR="00B4119E" w:rsidRPr="00B4119E">
                <w:rPr>
                  <w:rFonts w:eastAsia="Times New Roman" w:cs="Times New Roman"/>
                  <w:color w:val="auto"/>
                  <w:sz w:val="20"/>
                  <w:szCs w:val="20"/>
                  <w:u w:val="single"/>
                  <w:lang w:bidi="ar-SA"/>
                </w:rPr>
                <w:t>к Правилам выдачи экологических</w:t>
              </w:r>
            </w:hyperlink>
          </w:p>
        </w:tc>
      </w:tr>
      <w:tr w:rsidR="00B4119E" w:rsidRPr="00B4119E" w14:paraId="30826ADA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9B66" w14:textId="39BE693B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разрешений, представления декларации о</w:t>
            </w:r>
          </w:p>
        </w:tc>
      </w:tr>
      <w:tr w:rsidR="00B4119E" w:rsidRPr="00B4119E" w14:paraId="2F5628F4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9FC06" w14:textId="184B296B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воздействии на окружающую среду, а также</w:t>
            </w:r>
          </w:p>
        </w:tc>
      </w:tr>
      <w:tr w:rsidR="00B4119E" w:rsidRPr="00B4119E" w14:paraId="6EB758F7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DEA04" w14:textId="43FDA86D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формы бланков экологического разрешения</w:t>
            </w:r>
          </w:p>
        </w:tc>
      </w:tr>
      <w:tr w:rsidR="00B4119E" w:rsidRPr="00B4119E" w14:paraId="5B74A917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D00CF" w14:textId="351F662F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 воздействие и порядка их заполнения</w:t>
            </w:r>
          </w:p>
        </w:tc>
      </w:tr>
      <w:tr w:rsidR="00B4119E" w:rsidRPr="00B4119E" w14:paraId="61AE3C72" w14:textId="77777777" w:rsidTr="00B4119E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B16C" w14:textId="7211DE0A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B4119E" w:rsidRPr="00B4119E" w14:paraId="025DB230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1D4CD" w14:textId="5DE6F269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Форма</w:t>
            </w:r>
          </w:p>
        </w:tc>
      </w:tr>
      <w:tr w:rsidR="00B4119E" w:rsidRPr="00B4119E" w14:paraId="3D4D60E3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9CB3" w14:textId="119B9A28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73CC5096" w14:textId="6968FEF6" w:rsidR="00340A36" w:rsidRDefault="00340A36" w:rsidP="00340A36">
      <w:pPr>
        <w:jc w:val="right"/>
      </w:pPr>
      <w:bookmarkStart w:id="0" w:name="bookmark0"/>
    </w:p>
    <w:p w14:paraId="1A85E769" w14:textId="77777777" w:rsidR="007C13C1" w:rsidRDefault="007C13C1" w:rsidP="00340A36">
      <w:pPr>
        <w:jc w:val="right"/>
      </w:pPr>
    </w:p>
    <w:p w14:paraId="6A85557B" w14:textId="77777777" w:rsidR="007C13C1" w:rsidRDefault="007C13C1" w:rsidP="00340A36">
      <w:pPr>
        <w:jc w:val="right"/>
      </w:pPr>
    </w:p>
    <w:p w14:paraId="09FEA890" w14:textId="7AC09E64" w:rsidR="00726AB9" w:rsidRDefault="00726AB9" w:rsidP="00340A36">
      <w:pPr>
        <w:jc w:val="right"/>
      </w:pPr>
    </w:p>
    <w:p w14:paraId="2E25DA77" w14:textId="77777777" w:rsidR="00340A36" w:rsidRDefault="00340A36" w:rsidP="00340A36"/>
    <w:p w14:paraId="15B06A16" w14:textId="1737ADAE" w:rsidR="005F532A" w:rsidRPr="00B4119E" w:rsidRDefault="000F338E">
      <w:pPr>
        <w:pStyle w:val="10"/>
        <w:keepNext/>
        <w:keepLines/>
        <w:rPr>
          <w:color w:val="auto"/>
        </w:rPr>
      </w:pPr>
      <w:r w:rsidRPr="00B4119E">
        <w:rPr>
          <w:color w:val="auto"/>
        </w:rPr>
        <w:t>План мероприятий по охране окружающей среды на период 202</w:t>
      </w:r>
      <w:r w:rsidR="000A6866">
        <w:rPr>
          <w:color w:val="auto"/>
        </w:rPr>
        <w:t>5</w:t>
      </w:r>
      <w:r w:rsidRPr="00B4119E">
        <w:rPr>
          <w:color w:val="auto"/>
        </w:rPr>
        <w:t>- 20</w:t>
      </w:r>
      <w:r w:rsidR="00C45C7F">
        <w:rPr>
          <w:color w:val="auto"/>
        </w:rPr>
        <w:t>3</w:t>
      </w:r>
      <w:r w:rsidR="004E63AB">
        <w:rPr>
          <w:color w:val="auto"/>
        </w:rPr>
        <w:t>8</w:t>
      </w:r>
      <w:r w:rsidRPr="00B4119E">
        <w:rPr>
          <w:color w:val="auto"/>
        </w:rPr>
        <w:t xml:space="preserve"> г</w:t>
      </w:r>
      <w:r w:rsidR="005C0F45">
        <w:rPr>
          <w:color w:val="auto"/>
        </w:rPr>
        <w:t>оды</w:t>
      </w:r>
      <w:bookmarkEnd w:id="0"/>
    </w:p>
    <w:p w14:paraId="2BE28FDB" w14:textId="1C529C44" w:rsidR="005F532A" w:rsidRPr="000A73BD" w:rsidRDefault="000F338E" w:rsidP="000A73BD">
      <w:pPr>
        <w:rPr>
          <w:rFonts w:cs="Times New Roman"/>
          <w:sz w:val="28"/>
          <w:szCs w:val="28"/>
          <w:u w:val="single"/>
        </w:rPr>
      </w:pPr>
      <w:r w:rsidRPr="000A73BD">
        <w:rPr>
          <w:rFonts w:cs="Times New Roman"/>
          <w:sz w:val="28"/>
          <w:szCs w:val="28"/>
        </w:rPr>
        <w:t xml:space="preserve">Наименование предприятия: </w:t>
      </w:r>
      <w:r w:rsidR="00381AC2">
        <w:rPr>
          <w:rFonts w:cs="Times New Roman"/>
          <w:sz w:val="28"/>
          <w:szCs w:val="28"/>
          <w:u w:val="single"/>
        </w:rPr>
        <w:t>АО «</w:t>
      </w:r>
      <w:r w:rsidR="00453F17">
        <w:rPr>
          <w:rFonts w:cs="Times New Roman"/>
          <w:sz w:val="28"/>
          <w:szCs w:val="28"/>
          <w:u w:val="single"/>
        </w:rPr>
        <w:t xml:space="preserve">АК </w:t>
      </w:r>
      <w:proofErr w:type="spellStart"/>
      <w:r w:rsidR="00381AC2">
        <w:rPr>
          <w:rFonts w:cs="Times New Roman"/>
          <w:sz w:val="28"/>
          <w:szCs w:val="28"/>
          <w:u w:val="single"/>
        </w:rPr>
        <w:t>Алтыналмас</w:t>
      </w:r>
      <w:proofErr w:type="spellEnd"/>
      <w:r w:rsidR="00381AC2">
        <w:rPr>
          <w:rFonts w:cs="Times New Roman"/>
          <w:sz w:val="28"/>
          <w:szCs w:val="28"/>
          <w:u w:val="single"/>
        </w:rPr>
        <w:t>»</w:t>
      </w:r>
    </w:p>
    <w:p w14:paraId="2DB59170" w14:textId="1F860E76" w:rsidR="005F532A" w:rsidRPr="000A73BD" w:rsidRDefault="000F338E" w:rsidP="000A73BD">
      <w:pPr>
        <w:rPr>
          <w:rFonts w:cs="Times New Roman"/>
          <w:sz w:val="28"/>
          <w:szCs w:val="28"/>
          <w:u w:val="single"/>
        </w:rPr>
      </w:pPr>
      <w:bookmarkStart w:id="1" w:name="bookmark2"/>
      <w:r w:rsidRPr="000A73BD">
        <w:rPr>
          <w:rFonts w:cs="Times New Roman"/>
          <w:sz w:val="28"/>
          <w:szCs w:val="28"/>
        </w:rPr>
        <w:t xml:space="preserve">Наименование объекта: </w:t>
      </w:r>
      <w:bookmarkEnd w:id="1"/>
      <w:r w:rsidR="004E63AB" w:rsidRPr="004E63AB">
        <w:rPr>
          <w:bCs/>
          <w:sz w:val="28"/>
          <w:szCs w:val="28"/>
        </w:rPr>
        <w:t>«Плана горных работ разработки месторождения Аксакал подземным способом</w:t>
      </w:r>
      <w:bookmarkStart w:id="2" w:name="_Hlk198818491"/>
      <w:r w:rsidR="004E63AB" w:rsidRPr="004E63AB">
        <w:rPr>
          <w:bCs/>
          <w:sz w:val="28"/>
          <w:szCs w:val="28"/>
        </w:rPr>
        <w:t xml:space="preserve"> (корректировка ранее выполненного проекта)</w:t>
      </w:r>
      <w:bookmarkEnd w:id="2"/>
      <w:r w:rsidR="004E63AB" w:rsidRPr="004E63AB">
        <w:rPr>
          <w:bCs/>
          <w:sz w:val="28"/>
          <w:szCs w:val="28"/>
        </w:rPr>
        <w:t>»</w:t>
      </w:r>
    </w:p>
    <w:p w14:paraId="2689C9A2" w14:textId="77777777" w:rsidR="00910DFD" w:rsidRDefault="00910DFD" w:rsidP="00910DFD">
      <w:pPr>
        <w:jc w:val="center"/>
        <w:rPr>
          <w:rFonts w:eastAsia="Times New Roman" w:cs="Times New Roman"/>
          <w:color w:val="1E1E1E"/>
          <w:sz w:val="28"/>
          <w:szCs w:val="28"/>
          <w:lang w:bidi="ar-SA"/>
        </w:rPr>
      </w:pPr>
    </w:p>
    <w:p w14:paraId="4F71E493" w14:textId="77777777" w:rsidR="00910DFD" w:rsidRDefault="00910DFD" w:rsidP="00910DFD">
      <w:pPr>
        <w:jc w:val="center"/>
        <w:rPr>
          <w:rFonts w:eastAsia="Times New Roman" w:cs="Times New Roman"/>
          <w:color w:val="1E1E1E"/>
          <w:sz w:val="28"/>
          <w:szCs w:val="28"/>
          <w:lang w:bidi="ar-SA"/>
        </w:rPr>
      </w:pPr>
      <w:r w:rsidRPr="00910DFD">
        <w:rPr>
          <w:rFonts w:eastAsia="Times New Roman" w:cs="Times New Roman"/>
          <w:color w:val="1E1E1E"/>
          <w:sz w:val="28"/>
          <w:szCs w:val="28"/>
          <w:lang w:bidi="ar-SA"/>
        </w:rPr>
        <w:t>Мероприятия, связанные с соблюдением нормативов допустимых выбросов</w:t>
      </w:r>
      <w:r>
        <w:rPr>
          <w:rFonts w:eastAsia="Times New Roman" w:cs="Times New Roman"/>
          <w:color w:val="1E1E1E"/>
          <w:sz w:val="28"/>
          <w:szCs w:val="28"/>
          <w:lang w:bidi="ar-SA"/>
        </w:rPr>
        <w:t xml:space="preserve"> </w:t>
      </w:r>
      <w:r w:rsidRPr="00910DFD">
        <w:rPr>
          <w:rFonts w:eastAsia="Times New Roman" w:cs="Times New Roman"/>
          <w:color w:val="1E1E1E"/>
          <w:sz w:val="28"/>
          <w:szCs w:val="28"/>
          <w:lang w:bidi="ar-SA"/>
        </w:rPr>
        <w:t xml:space="preserve">и сбросов загрязняющих веществ, лимитов захоронения отходов </w:t>
      </w:r>
    </w:p>
    <w:p w14:paraId="199741F9" w14:textId="2742F9B2" w:rsidR="00910DFD" w:rsidRDefault="00910DFD" w:rsidP="00910DFD">
      <w:pPr>
        <w:jc w:val="center"/>
        <w:rPr>
          <w:rFonts w:eastAsia="Times New Roman" w:cs="Times New Roman"/>
          <w:color w:val="1E1E1E"/>
          <w:sz w:val="28"/>
          <w:szCs w:val="28"/>
          <w:lang w:bidi="ar-SA"/>
        </w:rPr>
      </w:pPr>
      <w:r w:rsidRPr="00910DFD">
        <w:rPr>
          <w:rFonts w:eastAsia="Times New Roman" w:cs="Times New Roman"/>
          <w:color w:val="1E1E1E"/>
          <w:sz w:val="28"/>
          <w:szCs w:val="28"/>
          <w:lang w:bidi="ar-SA"/>
        </w:rPr>
        <w:t>и лимитов</w:t>
      </w:r>
      <w:r>
        <w:rPr>
          <w:rFonts w:eastAsia="Times New Roman" w:cs="Times New Roman"/>
          <w:color w:val="1E1E1E"/>
          <w:sz w:val="28"/>
          <w:szCs w:val="28"/>
          <w:lang w:bidi="ar-SA"/>
        </w:rPr>
        <w:t xml:space="preserve"> </w:t>
      </w:r>
      <w:r w:rsidRPr="00910DFD">
        <w:rPr>
          <w:rFonts w:eastAsia="Times New Roman" w:cs="Times New Roman"/>
          <w:color w:val="1E1E1E"/>
          <w:sz w:val="28"/>
          <w:szCs w:val="28"/>
          <w:lang w:bidi="ar-SA"/>
        </w:rPr>
        <w:t>размещения серы в открытом виде на серных картах</w:t>
      </w:r>
    </w:p>
    <w:p w14:paraId="3715AF9E" w14:textId="77777777" w:rsidR="00910DFD" w:rsidRPr="000A73BD" w:rsidRDefault="00910DFD" w:rsidP="00910DFD">
      <w:pPr>
        <w:jc w:val="center"/>
        <w:rPr>
          <w:rFonts w:eastAsia="Times New Roman" w:cs="Times New Roman"/>
          <w:color w:val="1E1E1E"/>
          <w:sz w:val="28"/>
          <w:szCs w:val="28"/>
          <w:lang w:bidi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8"/>
        <w:gridCol w:w="3816"/>
        <w:gridCol w:w="1769"/>
        <w:gridCol w:w="1814"/>
        <w:gridCol w:w="1626"/>
        <w:gridCol w:w="1201"/>
        <w:gridCol w:w="1837"/>
        <w:gridCol w:w="921"/>
        <w:gridCol w:w="921"/>
        <w:gridCol w:w="921"/>
        <w:gridCol w:w="921"/>
        <w:gridCol w:w="921"/>
        <w:gridCol w:w="921"/>
        <w:gridCol w:w="1126"/>
        <w:gridCol w:w="1538"/>
        <w:gridCol w:w="1499"/>
      </w:tblGrid>
      <w:tr w:rsidR="00AF5FE2" w:rsidRPr="00AF5FE2" w14:paraId="5A2A7BA7" w14:textId="77777777" w:rsidTr="004E63AB">
        <w:trPr>
          <w:trHeight w:val="264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0D43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№ п/п 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CB2F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Наименование мероприятия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00C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Объект / источника загрязнения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C4BA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03E3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Обоснование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005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Текущая величина</w:t>
            </w:r>
          </w:p>
        </w:tc>
        <w:tc>
          <w:tcPr>
            <w:tcW w:w="16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90AA" w14:textId="4DC71E11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A33A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Срок выполнения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96E6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Объем финансирования, тыс. тенге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38D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Ожидаемый экологический эффект от мероприятия, тонн/год</w:t>
            </w:r>
          </w:p>
        </w:tc>
      </w:tr>
      <w:tr w:rsidR="000A6866" w:rsidRPr="00AF5FE2" w14:paraId="5A6CD2A2" w14:textId="77777777" w:rsidTr="000A6866">
        <w:trPr>
          <w:trHeight w:val="9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90EF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DD72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0FDE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8CFD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C1D7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3FBC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BA65" w14:textId="3B7CD11C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на конец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(2025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7ABF" w14:textId="3EE141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2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(2026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EB38" w14:textId="30962843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на конец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 xml:space="preserve"> 3 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года (2027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AA84" w14:textId="2DF27D31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4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(2028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8ECE" w14:textId="4AD09562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5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(2029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2A43" w14:textId="632AE98E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6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30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1360" w14:textId="47A664D3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7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31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год)</w:t>
            </w: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04D7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AA6F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479A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</w:tr>
      <w:tr w:rsidR="000A6866" w:rsidRPr="00AF5FE2" w14:paraId="6C92965E" w14:textId="77777777" w:rsidTr="000A6866">
        <w:trPr>
          <w:trHeight w:val="264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7C14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BBF9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F57B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4819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D946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2560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321B" w14:textId="66D63FDD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2E5E" w14:textId="3A6E9F5D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B008" w14:textId="1C5DD781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DB55" w14:textId="36A97DD1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F6BD" w14:textId="15CC32D8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869B" w14:textId="1622A73D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A8E6" w14:textId="5FF8A588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490F" w14:textId="0F20D6A7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A58F" w14:textId="4E477657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2203" w14:textId="366FBE87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16</w:t>
            </w:r>
          </w:p>
        </w:tc>
      </w:tr>
      <w:tr w:rsidR="000A6866" w:rsidRPr="00AF5FE2" w14:paraId="3BBC6AF0" w14:textId="77777777" w:rsidTr="005832D9">
        <w:trPr>
          <w:trHeight w:val="96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926F" w14:textId="7FF1DF17" w:rsidR="000A6866" w:rsidRPr="005832D9" w:rsidRDefault="004E63AB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91C6" w14:textId="77777777" w:rsidR="000A6866" w:rsidRPr="00AF5FE2" w:rsidRDefault="000A6866" w:rsidP="00AF5FE2">
            <w:pPr>
              <w:widowControl/>
              <w:jc w:val="both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Мониторинг уровня загрязнения земель на границе СЗЗ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656E2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Граница СЗЗ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02FA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F19B9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согласно ПЭК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8D12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71CF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DA95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4B70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E233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A88D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03E4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ED0F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5513C" w14:textId="28705042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август202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5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- декабрь 2031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3D24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1000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7FD1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Предотвращение негативного воздействия на подземные воды</w:t>
            </w:r>
          </w:p>
        </w:tc>
      </w:tr>
      <w:tr w:rsidR="000A6866" w:rsidRPr="00AF5FE2" w14:paraId="60EE4F1D" w14:textId="77777777" w:rsidTr="005832D9">
        <w:trPr>
          <w:trHeight w:val="14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5640" w14:textId="4AA3A8E6" w:rsidR="000A6866" w:rsidRPr="005832D9" w:rsidRDefault="004E63AB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9FA7" w14:textId="54D5AFA5" w:rsidR="000A6866" w:rsidRPr="005832D9" w:rsidRDefault="000A6866" w:rsidP="00AF5FE2">
            <w:pPr>
              <w:widowControl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Озеленение территорий </w:t>
            </w:r>
            <w:r w:rsidR="005832D9">
              <w:rPr>
                <w:rFonts w:ascii="Garamond" w:eastAsia="Times New Roman" w:hAnsi="Garamond" w:cs="Times New Roman"/>
                <w:sz w:val="18"/>
                <w:szCs w:val="18"/>
                <w:lang w:eastAsia="ru-KZ" w:bidi="ar-SA"/>
              </w:rPr>
              <w:t xml:space="preserve">санитарно-защитной зоны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5B1AC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Граница СЗЗ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CB74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31548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Улучшение санитарного состояния территории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339C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val="ru-KZ" w:eastAsia="ru-KZ" w:bidi="ar-SA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0575" w14:textId="0BECCCF2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1D89" w14:textId="06F8C496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0E47" w14:textId="6077A316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6DC" w14:textId="249834E5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B12F" w14:textId="568B7ED8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3B0F" w14:textId="619B80CB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5FE6" w14:textId="73FC65A8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FF643" w14:textId="64247A23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октябрь 2025 - октябрь 2029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3DFC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5 000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B7A0" w14:textId="76EF5AEE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Увеличение саженцев на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/год; сеянцев на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</w:t>
            </w:r>
          </w:p>
        </w:tc>
      </w:tr>
      <w:tr w:rsidR="000A6866" w:rsidRPr="00AF5FE2" w14:paraId="30831170" w14:textId="77777777" w:rsidTr="005832D9">
        <w:trPr>
          <w:trHeight w:val="7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EB25" w14:textId="492F2E77" w:rsidR="000A6866" w:rsidRPr="005832D9" w:rsidRDefault="004E63AB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BB96" w14:textId="77777777" w:rsidR="000A6866" w:rsidRPr="00AF5FE2" w:rsidRDefault="000A6866" w:rsidP="00AF5FE2">
            <w:pPr>
              <w:widowControl/>
              <w:jc w:val="both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Раздельный сбор и вывоз отходов производства и потребления спец, организации (не превышать временное хранение 6 месяцев)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35ED5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Промышленные площадки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D63D" w14:textId="053BE104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502,123 тонн отходов производства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CB93B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Предотвращение смешивания отходов.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C274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501A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AA1E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3557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0892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AB33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750E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7666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AF881" w14:textId="2885D89B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июль 202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5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- декабрь 2029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158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10 000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FDEC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Снижение объема на 502,123 т/год</w:t>
            </w:r>
          </w:p>
        </w:tc>
      </w:tr>
      <w:tr w:rsidR="000A6866" w:rsidRPr="00AF5FE2" w14:paraId="5377F16D" w14:textId="77777777" w:rsidTr="005832D9">
        <w:trPr>
          <w:trHeight w:val="7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36E9" w14:textId="1E250CC0" w:rsidR="000A6866" w:rsidRPr="005832D9" w:rsidRDefault="004E63AB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6D80" w14:textId="77777777" w:rsidR="000A6866" w:rsidRPr="00AF5FE2" w:rsidRDefault="000A6866" w:rsidP="00AF5FE2">
            <w:pPr>
              <w:widowControl/>
              <w:jc w:val="both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Проведение производственного экологического контроля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88DDC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Промышленные площадки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F9E8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DE99C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глава 9, ст. 159 Экологического кодекса РК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E595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7F0E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3FE3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AE6C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3F99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ACAA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FF06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8065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455CB" w14:textId="210C279D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Август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 xml:space="preserve"> 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20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 xml:space="preserve">25 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- декабрь 2031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1F1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8000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E22F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Контроль за состоянием окружающей среды</w:t>
            </w:r>
          </w:p>
        </w:tc>
      </w:tr>
    </w:tbl>
    <w:p w14:paraId="463D3E6C" w14:textId="394245E3" w:rsidR="005F532A" w:rsidRPr="00AF5FE2" w:rsidRDefault="005F532A">
      <w:pPr>
        <w:rPr>
          <w:color w:val="auto"/>
          <w:lang w:val="ru-KZ"/>
        </w:rPr>
        <w:sectPr w:rsidR="005F532A" w:rsidRPr="00AF5FE2" w:rsidSect="00B4119E">
          <w:type w:val="continuous"/>
          <w:pgSz w:w="23800" w:h="16840" w:orient="landscape"/>
          <w:pgMar w:top="720" w:right="720" w:bottom="720" w:left="720" w:header="0" w:footer="122" w:gutter="0"/>
          <w:cols w:space="720"/>
          <w:noEndnote/>
          <w:docGrid w:linePitch="360"/>
        </w:sectPr>
      </w:pPr>
    </w:p>
    <w:p w14:paraId="06C0C915" w14:textId="0A0D47A4" w:rsidR="00252C49" w:rsidRPr="00B4119E" w:rsidRDefault="00252C49" w:rsidP="000A6866">
      <w:pPr>
        <w:pStyle w:val="a7"/>
        <w:tabs>
          <w:tab w:val="left" w:pos="851"/>
          <w:tab w:val="left" w:pos="993"/>
        </w:tabs>
        <w:ind w:left="567"/>
        <w:jc w:val="both"/>
      </w:pPr>
    </w:p>
    <w:sectPr w:rsidR="00252C49" w:rsidRPr="00B4119E">
      <w:pgSz w:w="11900" w:h="16840"/>
      <w:pgMar w:top="1129" w:right="818" w:bottom="1678" w:left="1669" w:header="0" w:footer="1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213DE" w14:textId="77777777" w:rsidR="005B7407" w:rsidRDefault="005B7407">
      <w:r>
        <w:separator/>
      </w:r>
    </w:p>
  </w:endnote>
  <w:endnote w:type="continuationSeparator" w:id="0">
    <w:p w14:paraId="3CF7EE1E" w14:textId="77777777" w:rsidR="005B7407" w:rsidRDefault="005B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3D68" w14:textId="77777777" w:rsidR="005B7407" w:rsidRDefault="005B7407"/>
  </w:footnote>
  <w:footnote w:type="continuationSeparator" w:id="0">
    <w:p w14:paraId="6A31175F" w14:textId="77777777" w:rsidR="005B7407" w:rsidRDefault="005B74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845"/>
    <w:multiLevelType w:val="multilevel"/>
    <w:tmpl w:val="AFBAF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A4E4C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50098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A81044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330011"/>
    <w:multiLevelType w:val="multilevel"/>
    <w:tmpl w:val="8E72279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EC3559"/>
    <w:multiLevelType w:val="multilevel"/>
    <w:tmpl w:val="93C8CC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2A"/>
    <w:rsid w:val="00063418"/>
    <w:rsid w:val="000A6866"/>
    <w:rsid w:val="000A73BD"/>
    <w:rsid w:val="000F338E"/>
    <w:rsid w:val="00181954"/>
    <w:rsid w:val="001F5819"/>
    <w:rsid w:val="00252C49"/>
    <w:rsid w:val="002B7C66"/>
    <w:rsid w:val="002E6E8E"/>
    <w:rsid w:val="00340A36"/>
    <w:rsid w:val="00342B7A"/>
    <w:rsid w:val="00381AC2"/>
    <w:rsid w:val="003B6EB6"/>
    <w:rsid w:val="004353F7"/>
    <w:rsid w:val="00453B8C"/>
    <w:rsid w:val="00453F17"/>
    <w:rsid w:val="0046145F"/>
    <w:rsid w:val="004E51A6"/>
    <w:rsid w:val="004E63AB"/>
    <w:rsid w:val="004F1F71"/>
    <w:rsid w:val="004F69D1"/>
    <w:rsid w:val="005242A8"/>
    <w:rsid w:val="005832D9"/>
    <w:rsid w:val="005835C1"/>
    <w:rsid w:val="005B7407"/>
    <w:rsid w:val="005C0F45"/>
    <w:rsid w:val="005C54B4"/>
    <w:rsid w:val="005F532A"/>
    <w:rsid w:val="0060574B"/>
    <w:rsid w:val="00625145"/>
    <w:rsid w:val="0066085C"/>
    <w:rsid w:val="006705A7"/>
    <w:rsid w:val="006B33BD"/>
    <w:rsid w:val="00705CA6"/>
    <w:rsid w:val="007255F4"/>
    <w:rsid w:val="00726AB9"/>
    <w:rsid w:val="0079319E"/>
    <w:rsid w:val="00796185"/>
    <w:rsid w:val="007A44E3"/>
    <w:rsid w:val="007C13C1"/>
    <w:rsid w:val="0085734C"/>
    <w:rsid w:val="00863AA7"/>
    <w:rsid w:val="00886D9D"/>
    <w:rsid w:val="00894902"/>
    <w:rsid w:val="008A25A9"/>
    <w:rsid w:val="008A4AB4"/>
    <w:rsid w:val="008B6415"/>
    <w:rsid w:val="00910DFD"/>
    <w:rsid w:val="009244A9"/>
    <w:rsid w:val="00964663"/>
    <w:rsid w:val="00997D8F"/>
    <w:rsid w:val="009E4512"/>
    <w:rsid w:val="009F6963"/>
    <w:rsid w:val="00A40D82"/>
    <w:rsid w:val="00A66C6F"/>
    <w:rsid w:val="00A81508"/>
    <w:rsid w:val="00A877FD"/>
    <w:rsid w:val="00A87D69"/>
    <w:rsid w:val="00AC737C"/>
    <w:rsid w:val="00AF5FE2"/>
    <w:rsid w:val="00B2594C"/>
    <w:rsid w:val="00B347BC"/>
    <w:rsid w:val="00B4119E"/>
    <w:rsid w:val="00B71409"/>
    <w:rsid w:val="00B9174A"/>
    <w:rsid w:val="00BB3473"/>
    <w:rsid w:val="00BD2040"/>
    <w:rsid w:val="00C03E07"/>
    <w:rsid w:val="00C17E64"/>
    <w:rsid w:val="00C24801"/>
    <w:rsid w:val="00C45C7F"/>
    <w:rsid w:val="00CA06B5"/>
    <w:rsid w:val="00CA35F7"/>
    <w:rsid w:val="00CE76F3"/>
    <w:rsid w:val="00D2099B"/>
    <w:rsid w:val="00D25429"/>
    <w:rsid w:val="00D42558"/>
    <w:rsid w:val="00DD540B"/>
    <w:rsid w:val="00E070EA"/>
    <w:rsid w:val="00E621C2"/>
    <w:rsid w:val="00E64AC3"/>
    <w:rsid w:val="00EB5259"/>
    <w:rsid w:val="00F73511"/>
    <w:rsid w:val="00F947F7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FB37"/>
  <w15:docId w15:val="{428C9D57-CBD2-41E9-9718-48EF612D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954"/>
    <w:rPr>
      <w:rFonts w:ascii="Times New Roman" w:hAnsi="Times New Roman"/>
      <w:color w:val="000000"/>
    </w:rPr>
  </w:style>
  <w:style w:type="paragraph" w:styleId="3">
    <w:name w:val="heading 3"/>
    <w:basedOn w:val="a"/>
    <w:link w:val="30"/>
    <w:uiPriority w:val="9"/>
    <w:qFormat/>
    <w:rsid w:val="000A73BD"/>
    <w:pPr>
      <w:widowControl/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04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340"/>
      <w:jc w:val="center"/>
      <w:outlineLvl w:val="0"/>
    </w:pPr>
    <w:rPr>
      <w:rFonts w:eastAsia="Times New Roman" w:cs="Times New Roman"/>
      <w:b/>
      <w:bCs/>
      <w:color w:val="404040"/>
      <w:sz w:val="32"/>
      <w:szCs w:val="32"/>
    </w:rPr>
  </w:style>
  <w:style w:type="paragraph" w:customStyle="1" w:styleId="20">
    <w:name w:val="Основной текст (2)"/>
    <w:basedOn w:val="a"/>
    <w:link w:val="2"/>
    <w:rPr>
      <w:rFonts w:eastAsia="Times New Roman" w:cs="Times New Roman"/>
      <w:color w:val="404040"/>
      <w:sz w:val="28"/>
      <w:szCs w:val="28"/>
    </w:rPr>
  </w:style>
  <w:style w:type="paragraph" w:customStyle="1" w:styleId="22">
    <w:name w:val="Заголовок №2"/>
    <w:basedOn w:val="a"/>
    <w:link w:val="21"/>
    <w:pPr>
      <w:outlineLvl w:val="1"/>
    </w:pPr>
    <w:rPr>
      <w:rFonts w:eastAsia="Times New Roman" w:cs="Times New Roman"/>
      <w:b/>
      <w:bCs/>
      <w:color w:val="404040"/>
      <w:sz w:val="28"/>
      <w:szCs w:val="28"/>
    </w:rPr>
  </w:style>
  <w:style w:type="paragraph" w:customStyle="1" w:styleId="a4">
    <w:name w:val="Другое"/>
    <w:basedOn w:val="a"/>
    <w:link w:val="a3"/>
    <w:rPr>
      <w:rFonts w:eastAsia="Times New Roman" w:cs="Times New Roman"/>
    </w:rPr>
  </w:style>
  <w:style w:type="paragraph" w:customStyle="1" w:styleId="11">
    <w:name w:val="Основной текст1"/>
    <w:basedOn w:val="a"/>
    <w:link w:val="a5"/>
    <w:rPr>
      <w:rFonts w:eastAsia="Times New Roman" w:cs="Times New Roman"/>
    </w:rPr>
  </w:style>
  <w:style w:type="paragraph" w:customStyle="1" w:styleId="32">
    <w:name w:val="Заголовок №3"/>
    <w:basedOn w:val="a"/>
    <w:link w:val="31"/>
    <w:pPr>
      <w:jc w:val="center"/>
      <w:outlineLvl w:val="2"/>
    </w:pPr>
    <w:rPr>
      <w:rFonts w:eastAsia="Times New Roman" w:cs="Times New Roman"/>
      <w:b/>
      <w:bCs/>
    </w:rPr>
  </w:style>
  <w:style w:type="character" w:styleId="a6">
    <w:name w:val="Hyperlink"/>
    <w:basedOn w:val="a0"/>
    <w:uiPriority w:val="99"/>
    <w:semiHidden/>
    <w:unhideWhenUsed/>
    <w:rsid w:val="00B4119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A73BD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7">
    <w:name w:val="List Paragraph"/>
    <w:basedOn w:val="a"/>
    <w:uiPriority w:val="34"/>
    <w:qFormat/>
    <w:rsid w:val="009E4512"/>
    <w:pPr>
      <w:ind w:left="720"/>
      <w:contextualSpacing/>
    </w:pPr>
  </w:style>
  <w:style w:type="character" w:customStyle="1" w:styleId="ListParagraphChar2">
    <w:name w:val="List Paragraph Char2"/>
    <w:link w:val="12"/>
    <w:locked/>
    <w:rsid w:val="00726AB9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link w:val="ListParagraphChar2"/>
    <w:qFormat/>
    <w:rsid w:val="00726AB9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352647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Daniyar Kerim</cp:lastModifiedBy>
  <cp:revision>31</cp:revision>
  <cp:lastPrinted>2024-04-22T10:43:00Z</cp:lastPrinted>
  <dcterms:created xsi:type="dcterms:W3CDTF">2024-04-22T09:16:00Z</dcterms:created>
  <dcterms:modified xsi:type="dcterms:W3CDTF">2025-09-27T18:55:00Z</dcterms:modified>
</cp:coreProperties>
</file>