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781E" w14:textId="441EB4ED" w:rsidR="00447D33" w:rsidRPr="00F82616" w:rsidRDefault="00447D33" w:rsidP="00447D33">
      <w:pPr>
        <w:pageBreakBefore/>
        <w:spacing w:after="0" w:line="240" w:lineRule="auto"/>
        <w:rPr>
          <w:rFonts w:ascii="Times New Roman" w:eastAsia="Times New Roman" w:hAnsi="Times New Roman"/>
          <w:bCs/>
          <w:caps/>
          <w:sz w:val="24"/>
          <w:szCs w:val="24"/>
        </w:rPr>
      </w:pPr>
      <w:r w:rsidRPr="00F82616">
        <w:rPr>
          <w:rFonts w:ascii="Times New Roman" w:eastAsia="Times New Roman" w:hAnsi="Times New Roman"/>
          <w:bCs/>
          <w:caps/>
          <w:sz w:val="24"/>
          <w:szCs w:val="24"/>
        </w:rPr>
        <w:t>КРАТКОЕ НЕТЕХНИЧЕСКОЕ</w:t>
      </w:r>
      <w:r w:rsidRPr="00F82616">
        <w:rPr>
          <w:rFonts w:ascii="Times New Roman" w:eastAsia="Times New Roman" w:hAnsi="Times New Roman"/>
          <w:bCs/>
          <w:caps/>
          <w:sz w:val="24"/>
          <w:szCs w:val="24"/>
        </w:rPr>
        <w:t xml:space="preserve">  резюме  с  обобщением  информации, </w:t>
      </w:r>
    </w:p>
    <w:p w14:paraId="716AE01A" w14:textId="77777777" w:rsidR="00447D33" w:rsidRPr="00F82616" w:rsidRDefault="00447D33" w:rsidP="00447D33">
      <w:pPr>
        <w:pStyle w:val="2"/>
        <w:ind w:firstLine="709"/>
        <w:jc w:val="both"/>
        <w:rPr>
          <w:szCs w:val="24"/>
        </w:rPr>
      </w:pPr>
    </w:p>
    <w:p w14:paraId="1A0BEBCB" w14:textId="0B31246D" w:rsidR="00447D33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разработаны </w:t>
      </w:r>
      <w:r w:rsidRPr="006560B9">
        <w:rPr>
          <w:rFonts w:ascii="Times New Roman" w:hAnsi="Times New Roman"/>
          <w:sz w:val="24"/>
          <w:szCs w:val="24"/>
        </w:rPr>
        <w:t>ТОО «РУДПРОЕКТ»  (РГП «Комитет экологического регулирования и контроля Министерства охраны окружающей среды Республики Казахстан» на выполнение работ и оказание услуг в области охраны окружающей среды 02974Р от 31.10.2025г г., см. приложение 1) в соответствии с заключением об определении сф</w:t>
      </w:r>
      <w:r w:rsidRPr="006560B9">
        <w:rPr>
          <w:rFonts w:ascii="Times New Roman" w:hAnsi="Times New Roman"/>
          <w:sz w:val="24"/>
          <w:szCs w:val="24"/>
        </w:rPr>
        <w:t>е</w:t>
      </w:r>
      <w:r w:rsidRPr="006560B9">
        <w:rPr>
          <w:rFonts w:ascii="Times New Roman" w:hAnsi="Times New Roman"/>
          <w:sz w:val="24"/>
          <w:szCs w:val="24"/>
        </w:rPr>
        <w:t>ры охвата оценки</w:t>
      </w:r>
      <w:r w:rsidRPr="00F82616">
        <w:rPr>
          <w:rFonts w:ascii="Times New Roman" w:hAnsi="Times New Roman"/>
          <w:sz w:val="24"/>
          <w:szCs w:val="24"/>
        </w:rPr>
        <w:t xml:space="preserve">  воздействия  на  окружающую  среду  и (или) скрининга воздействия намечаемой деятельности №</w:t>
      </w:r>
      <w:r w:rsidRPr="00313231">
        <w:t xml:space="preserve"> </w:t>
      </w:r>
      <w:r w:rsidRPr="00313231">
        <w:rPr>
          <w:rFonts w:ascii="Times New Roman" w:hAnsi="Times New Roman"/>
          <w:sz w:val="24"/>
          <w:szCs w:val="24"/>
        </w:rPr>
        <w:t>KZ45VWF00425372</w:t>
      </w:r>
      <w:r w:rsidRPr="00F82616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F826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F8261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F82616">
        <w:rPr>
          <w:rFonts w:ascii="Times New Roman" w:hAnsi="Times New Roman"/>
          <w:sz w:val="24"/>
          <w:szCs w:val="24"/>
        </w:rPr>
        <w:t>г</w:t>
      </w:r>
    </w:p>
    <w:p w14:paraId="053382BB" w14:textId="030B48C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 xml:space="preserve">подготовки материалов является </w:t>
      </w:r>
      <w:r w:rsidRPr="00F82616">
        <w:rPr>
          <w:rFonts w:ascii="Times New Roman" w:hAnsi="Times New Roman"/>
          <w:sz w:val="24"/>
          <w:szCs w:val="24"/>
        </w:rPr>
        <w:t>экологически</w:t>
      </w:r>
      <w:r>
        <w:rPr>
          <w:rFonts w:ascii="Times New Roman" w:hAnsi="Times New Roman"/>
          <w:sz w:val="24"/>
          <w:szCs w:val="24"/>
        </w:rPr>
        <w:t>е</w:t>
      </w:r>
      <w:r w:rsidRPr="00F82616">
        <w:rPr>
          <w:rFonts w:ascii="Times New Roman" w:hAnsi="Times New Roman"/>
          <w:sz w:val="24"/>
          <w:szCs w:val="24"/>
        </w:rPr>
        <w:t xml:space="preserve">  и  иных последствий  вариантов,  принимаемых  управленческих  и  хозяйственных  решений, разработки  рекомендаций  по  оздоровлению  окружающей  среды,  предотвращ</w:t>
      </w:r>
      <w:r w:rsidRPr="00F82616">
        <w:rPr>
          <w:rFonts w:ascii="Times New Roman" w:hAnsi="Times New Roman"/>
          <w:sz w:val="24"/>
          <w:szCs w:val="24"/>
        </w:rPr>
        <w:t>е</w:t>
      </w:r>
      <w:r w:rsidRPr="00F82616">
        <w:rPr>
          <w:rFonts w:ascii="Times New Roman" w:hAnsi="Times New Roman"/>
          <w:sz w:val="24"/>
          <w:szCs w:val="24"/>
        </w:rPr>
        <w:t>нию уничтожения,  деградации,  повреждения  и истощения  естественных  экологических  систем и природных  ресурсов.</w:t>
      </w:r>
    </w:p>
    <w:p w14:paraId="242AF86E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 xml:space="preserve">Оценкой воздействия рассматривается период с 2025 по 2026гг., включительно. </w:t>
      </w:r>
    </w:p>
    <w:p w14:paraId="1F896C27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sz w:val="24"/>
          <w:szCs w:val="24"/>
        </w:rPr>
        <w:t xml:space="preserve">Общие сведения о предприятии. </w:t>
      </w:r>
      <w:r w:rsidRPr="00F82616">
        <w:rPr>
          <w:rFonts w:ascii="Times New Roman" w:hAnsi="Times New Roman"/>
          <w:sz w:val="24"/>
          <w:szCs w:val="24"/>
        </w:rPr>
        <w:t>ТОО «</w:t>
      </w:r>
      <w:r w:rsidRPr="00B752EE">
        <w:rPr>
          <w:rFonts w:ascii="Times New Roman" w:hAnsi="Times New Roman"/>
          <w:color w:val="000000"/>
          <w:sz w:val="24"/>
          <w:szCs w:val="24"/>
        </w:rPr>
        <w:t>GOLD G</w:t>
      </w:r>
      <w:r w:rsidRPr="00B752EE">
        <w:rPr>
          <w:rFonts w:ascii="Times New Roman" w:hAnsi="Times New Roman"/>
          <w:color w:val="000000"/>
          <w:w w:val="99"/>
          <w:sz w:val="24"/>
          <w:szCs w:val="24"/>
        </w:rPr>
        <w:t>e</w:t>
      </w:r>
      <w:r w:rsidRPr="00B752EE">
        <w:rPr>
          <w:rFonts w:ascii="Times New Roman" w:hAnsi="Times New Roman"/>
          <w:color w:val="000000"/>
          <w:sz w:val="24"/>
          <w:szCs w:val="24"/>
        </w:rPr>
        <w:t>n</w:t>
      </w:r>
      <w:r w:rsidRPr="00B752EE">
        <w:rPr>
          <w:rFonts w:ascii="Times New Roman" w:hAnsi="Times New Roman"/>
          <w:color w:val="000000"/>
          <w:w w:val="99"/>
          <w:sz w:val="24"/>
          <w:szCs w:val="24"/>
        </w:rPr>
        <w:t>erati</w:t>
      </w:r>
      <w:r w:rsidRPr="00B752EE">
        <w:rPr>
          <w:rFonts w:ascii="Times New Roman" w:hAnsi="Times New Roman"/>
          <w:color w:val="000000"/>
          <w:sz w:val="24"/>
          <w:szCs w:val="24"/>
        </w:rPr>
        <w:t>on</w:t>
      </w:r>
      <w:r w:rsidRPr="00F82616">
        <w:rPr>
          <w:rFonts w:ascii="Times New Roman" w:hAnsi="Times New Roman"/>
          <w:sz w:val="24"/>
          <w:szCs w:val="24"/>
        </w:rPr>
        <w:t>» предусматривает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>прои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з</w:t>
      </w:r>
      <w:r w:rsidRPr="00721959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721959">
        <w:rPr>
          <w:rFonts w:ascii="Times New Roman" w:eastAsia="Times New Roman" w:hAnsi="Times New Roman"/>
          <w:color w:val="000000"/>
          <w:spacing w:val="6"/>
          <w:w w:val="99"/>
          <w:sz w:val="24"/>
          <w:szCs w:val="24"/>
        </w:rPr>
        <w:t>е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ст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 xml:space="preserve">и комплекс </w:t>
      </w:r>
      <w:r w:rsidRPr="00721959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г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е</w:t>
      </w:r>
      <w:r w:rsidRPr="00721959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>ло</w:t>
      </w:r>
      <w:r w:rsidRPr="00721959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г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>ор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аз</w:t>
      </w:r>
      <w:r w:rsidRPr="00721959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в</w:t>
      </w:r>
      <w:r w:rsidRPr="00721959">
        <w:rPr>
          <w:rFonts w:ascii="Times New Roman" w:eastAsia="Times New Roman" w:hAnsi="Times New Roman"/>
          <w:color w:val="000000"/>
          <w:spacing w:val="-3"/>
          <w:w w:val="99"/>
          <w:sz w:val="24"/>
          <w:szCs w:val="24"/>
        </w:rPr>
        <w:t>е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д</w:t>
      </w:r>
      <w:r w:rsidRPr="00721959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о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чн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>ы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х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 xml:space="preserve"> р</w:t>
      </w:r>
      <w:r w:rsidRPr="00721959">
        <w:rPr>
          <w:rFonts w:ascii="Times New Roman" w:eastAsia="Times New Roman" w:hAnsi="Times New Roman"/>
          <w:color w:val="000000"/>
          <w:w w:val="99"/>
          <w:sz w:val="24"/>
          <w:szCs w:val="24"/>
        </w:rPr>
        <w:t>аб</w:t>
      </w:r>
      <w:r w:rsidRPr="00721959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</w:t>
      </w:r>
      <w:r w:rsidRPr="00721959">
        <w:rPr>
          <w:rFonts w:ascii="Times New Roman" w:eastAsia="Times New Roman" w:hAnsi="Times New Roman"/>
          <w:color w:val="000000"/>
          <w:sz w:val="24"/>
          <w:szCs w:val="24"/>
        </w:rPr>
        <w:t xml:space="preserve">т, достаточный для осуществления оценки минеральных ресурсов и (или) запасов по стандартам </w:t>
      </w:r>
      <w:r w:rsidRPr="0072195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KAZRC</w:t>
      </w:r>
      <w:r w:rsidRPr="00F82616">
        <w:rPr>
          <w:rFonts w:ascii="Times New Roman" w:hAnsi="Times New Roman"/>
          <w:sz w:val="24"/>
          <w:szCs w:val="24"/>
        </w:rPr>
        <w:t>.</w:t>
      </w:r>
    </w:p>
    <w:p w14:paraId="7606E5FD" w14:textId="77777777" w:rsidR="00447D33" w:rsidRPr="00F82616" w:rsidRDefault="00447D33" w:rsidP="00447D33">
      <w:pPr>
        <w:pStyle w:val="a3"/>
        <w:ind w:left="0"/>
        <w:contextualSpacing/>
        <w:rPr>
          <w:sz w:val="24"/>
          <w:szCs w:val="24"/>
        </w:rPr>
      </w:pPr>
      <w:r w:rsidRPr="00F82616">
        <w:rPr>
          <w:sz w:val="24"/>
          <w:szCs w:val="24"/>
        </w:rPr>
        <w:t xml:space="preserve">Срок начала реализации намечаемой деятельности: </w:t>
      </w:r>
      <w:r w:rsidRPr="00F82616">
        <w:rPr>
          <w:bCs/>
          <w:color w:val="000000"/>
          <w:sz w:val="24"/>
          <w:szCs w:val="24"/>
          <w:lang w:val="en-US" w:eastAsia="ru-RU"/>
        </w:rPr>
        <w:t>III</w:t>
      </w:r>
      <w:r w:rsidRPr="00F82616">
        <w:rPr>
          <w:bCs/>
          <w:color w:val="000000"/>
          <w:sz w:val="24"/>
          <w:szCs w:val="24"/>
          <w:lang w:val="kk-KZ" w:eastAsia="ru-RU"/>
        </w:rPr>
        <w:t xml:space="preserve"> квартал 2025г. Срок завершения: </w:t>
      </w:r>
      <w:r w:rsidRPr="00F82616">
        <w:rPr>
          <w:bCs/>
          <w:color w:val="000000"/>
          <w:sz w:val="24"/>
          <w:szCs w:val="24"/>
          <w:lang w:val="en-US" w:eastAsia="ru-RU"/>
        </w:rPr>
        <w:t>I</w:t>
      </w:r>
      <w:r w:rsidRPr="00F82616">
        <w:rPr>
          <w:bCs/>
          <w:color w:val="000000"/>
          <w:sz w:val="24"/>
          <w:szCs w:val="24"/>
          <w:lang w:val="kk-KZ" w:eastAsia="ru-RU"/>
        </w:rPr>
        <w:t>ІІ</w:t>
      </w:r>
      <w:r w:rsidRPr="00F82616">
        <w:rPr>
          <w:bCs/>
          <w:color w:val="000000"/>
          <w:sz w:val="24"/>
          <w:szCs w:val="24"/>
          <w:lang w:eastAsia="ru-RU"/>
        </w:rPr>
        <w:t xml:space="preserve"> </w:t>
      </w:r>
      <w:r w:rsidRPr="00F82616">
        <w:rPr>
          <w:bCs/>
          <w:color w:val="000000"/>
          <w:sz w:val="24"/>
          <w:szCs w:val="24"/>
          <w:lang w:val="kk-KZ" w:eastAsia="ru-RU"/>
        </w:rPr>
        <w:t>квартал 2026г.</w:t>
      </w:r>
    </w:p>
    <w:p w14:paraId="01B2023E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Месторождение «</w:t>
      </w:r>
      <w:r>
        <w:rPr>
          <w:rFonts w:ascii="Times New Roman" w:hAnsi="Times New Roman"/>
          <w:sz w:val="24"/>
          <w:szCs w:val="24"/>
        </w:rPr>
        <w:t>Эспетуз</w:t>
      </w:r>
      <w:r w:rsidRPr="00F82616">
        <w:rPr>
          <w:rFonts w:ascii="Times New Roman" w:hAnsi="Times New Roman"/>
          <w:sz w:val="24"/>
          <w:szCs w:val="24"/>
        </w:rPr>
        <w:t xml:space="preserve">» расположено в </w:t>
      </w:r>
      <w:r>
        <w:rPr>
          <w:rFonts w:ascii="Times New Roman" w:hAnsi="Times New Roman"/>
          <w:sz w:val="24"/>
          <w:szCs w:val="24"/>
        </w:rPr>
        <w:t xml:space="preserve">Баянаульском </w:t>
      </w:r>
      <w:r w:rsidRPr="00F82616">
        <w:rPr>
          <w:rFonts w:ascii="Times New Roman" w:hAnsi="Times New Roman"/>
          <w:sz w:val="24"/>
          <w:szCs w:val="24"/>
        </w:rPr>
        <w:t xml:space="preserve">районе </w:t>
      </w:r>
      <w:r>
        <w:rPr>
          <w:rFonts w:ascii="Times New Roman" w:hAnsi="Times New Roman"/>
          <w:sz w:val="24"/>
          <w:szCs w:val="24"/>
        </w:rPr>
        <w:t xml:space="preserve">Павлодарской </w:t>
      </w:r>
      <w:r w:rsidRPr="00F82616">
        <w:rPr>
          <w:rFonts w:ascii="Times New Roman" w:hAnsi="Times New Roman"/>
          <w:sz w:val="24"/>
          <w:szCs w:val="24"/>
        </w:rPr>
        <w:t xml:space="preserve">области Республики Казахстан. </w:t>
      </w:r>
    </w:p>
    <w:p w14:paraId="250CA438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Ближайшие населенные пункты: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ближайший крупный населенный пункт (пос.Майкаин) находится в 70 км к северо-западу, село Акмектеп (Бирликский сельский округ Баянаульского района), находящихся запад - северо-западнее (WNW) от участка разведки – в 30 км</w:t>
      </w:r>
      <w:r w:rsidRPr="00F82616">
        <w:rPr>
          <w:rFonts w:ascii="Times New Roman" w:hAnsi="Times New Roman"/>
          <w:sz w:val="24"/>
          <w:szCs w:val="24"/>
        </w:rPr>
        <w:t xml:space="preserve">.  </w:t>
      </w:r>
    </w:p>
    <w:p w14:paraId="7104CBD0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2616">
        <w:rPr>
          <w:rFonts w:ascii="Times New Roman" w:hAnsi="Times New Roman"/>
          <w:b/>
          <w:bCs/>
          <w:iCs/>
          <w:sz w:val="24"/>
          <w:szCs w:val="24"/>
        </w:rPr>
        <w:t>Вопросы постутилизации.</w:t>
      </w:r>
      <w:r w:rsidRPr="00F8261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82616">
        <w:rPr>
          <w:rFonts w:ascii="Times New Roman" w:hAnsi="Times New Roman"/>
          <w:sz w:val="24"/>
          <w:szCs w:val="24"/>
        </w:rPr>
        <w:t xml:space="preserve">В настоящее время, на лицензионной территории </w:t>
      </w:r>
      <w:r>
        <w:rPr>
          <w:rFonts w:ascii="Times New Roman" w:hAnsi="Times New Roman"/>
          <w:sz w:val="24"/>
          <w:szCs w:val="24"/>
        </w:rPr>
        <w:t>978</w:t>
      </w:r>
      <w:r w:rsidRPr="00F82616">
        <w:rPr>
          <w:rFonts w:ascii="Times New Roman" w:hAnsi="Times New Roman"/>
          <w:sz w:val="24"/>
          <w:szCs w:val="24"/>
        </w:rPr>
        <w:t>-EL отсутствуют здания, строения, сооружения  и  оборудования.  Земельный  участок  представлен  степной  местностью. Работы по постутилизации не требуются.</w:t>
      </w:r>
    </w:p>
    <w:p w14:paraId="600BE8BD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sz w:val="24"/>
          <w:szCs w:val="24"/>
        </w:rPr>
        <w:t xml:space="preserve">Категория занимаемых земель и цели использования. </w:t>
      </w:r>
      <w:r w:rsidRPr="00F82616">
        <w:rPr>
          <w:rFonts w:ascii="Times New Roman" w:hAnsi="Times New Roman"/>
          <w:sz w:val="24"/>
          <w:szCs w:val="24"/>
        </w:rPr>
        <w:t xml:space="preserve">Изъятие новых, земель отсутствует, разведочные работы будут проводиться в пределах лицензируемой территории. </w:t>
      </w:r>
    </w:p>
    <w:p w14:paraId="43EC965E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 xml:space="preserve">Планом разведки предусматривается проведение поисковых работ на месторождении </w:t>
      </w:r>
      <w:r>
        <w:rPr>
          <w:rFonts w:ascii="Times New Roman" w:hAnsi="Times New Roman"/>
          <w:sz w:val="24"/>
          <w:szCs w:val="24"/>
        </w:rPr>
        <w:t xml:space="preserve">Эспетуз </w:t>
      </w:r>
      <w:r w:rsidRPr="00F82616">
        <w:rPr>
          <w:rFonts w:ascii="Times New Roman" w:hAnsi="Times New Roman"/>
          <w:sz w:val="24"/>
          <w:szCs w:val="24"/>
        </w:rPr>
        <w:t xml:space="preserve">на площади </w:t>
      </w:r>
      <w:r>
        <w:rPr>
          <w:rFonts w:ascii="Times New Roman" w:hAnsi="Times New Roman"/>
          <w:sz w:val="24"/>
          <w:szCs w:val="24"/>
        </w:rPr>
        <w:t>4</w:t>
      </w:r>
      <w:r w:rsidRPr="00F826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32</w:t>
      </w:r>
      <w:r w:rsidRPr="00F82616">
        <w:rPr>
          <w:rFonts w:ascii="Times New Roman" w:hAnsi="Times New Roman"/>
          <w:sz w:val="24"/>
          <w:szCs w:val="24"/>
        </w:rPr>
        <w:t xml:space="preserve"> км</w:t>
      </w:r>
      <w:r w:rsidRPr="00F82616">
        <w:rPr>
          <w:rFonts w:ascii="Times New Roman" w:hAnsi="Times New Roman"/>
          <w:sz w:val="24"/>
          <w:szCs w:val="24"/>
          <w:vertAlign w:val="superscript"/>
        </w:rPr>
        <w:t>2</w:t>
      </w:r>
      <w:r w:rsidRPr="00F82616">
        <w:rPr>
          <w:rFonts w:ascii="Times New Roman" w:hAnsi="Times New Roman"/>
          <w:sz w:val="24"/>
          <w:szCs w:val="24"/>
        </w:rPr>
        <w:t>.</w:t>
      </w:r>
    </w:p>
    <w:p w14:paraId="665169B7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Пашни и лесные насаждения в районе расположения месторождения отсутствуют.</w:t>
      </w:r>
    </w:p>
    <w:p w14:paraId="5C517BF4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Территория месторождения расположена в степной зоне с резко континентальным климатом. Для района характерны темно-каштановые почвы с сухостенным разнотравьем полынно-типчаково-ковыльного типа.</w:t>
      </w:r>
    </w:p>
    <w:p w14:paraId="3D0D1DC0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 xml:space="preserve">Перед началом проведения работ предусматривается обязательное снятие почвенно-растительного слоя (ПРС) мощностью 0,2-0,5 м. </w:t>
      </w:r>
    </w:p>
    <w:p w14:paraId="3B3B2DFC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 xml:space="preserve">Снятие ПРС производится бульдозером XCMG TY230S.  </w:t>
      </w:r>
    </w:p>
    <w:p w14:paraId="685FF137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2616">
        <w:rPr>
          <w:rFonts w:ascii="Times New Roman" w:hAnsi="Times New Roman"/>
          <w:b/>
          <w:sz w:val="24"/>
          <w:szCs w:val="24"/>
        </w:rPr>
        <w:t>Информация о возможных негативных воздействиях.</w:t>
      </w:r>
    </w:p>
    <w:p w14:paraId="43B5AE8F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Атмосфера.</w:t>
      </w:r>
      <w:r w:rsidRPr="00F82616">
        <w:rPr>
          <w:rFonts w:ascii="Times New Roman" w:hAnsi="Times New Roman"/>
          <w:sz w:val="24"/>
          <w:szCs w:val="24"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Всего на рассматриваемой территории будет функционировать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</w:rPr>
        <w:t>1 организованный и 6</w:t>
      </w:r>
      <w:r w:rsidRPr="00020216">
        <w:rPr>
          <w:rFonts w:ascii="Times New Roman" w:hAnsi="Times New Roman"/>
          <w:sz w:val="24"/>
          <w:szCs w:val="24"/>
        </w:rPr>
        <w:t xml:space="preserve"> неорганизованных источников</w:t>
      </w:r>
      <w:r w:rsidRPr="00F82616">
        <w:rPr>
          <w:rFonts w:ascii="Times New Roman" w:hAnsi="Times New Roman"/>
          <w:sz w:val="24"/>
          <w:szCs w:val="24"/>
          <w:lang/>
        </w:rPr>
        <w:t>.</w:t>
      </w:r>
    </w:p>
    <w:p w14:paraId="2BF68D26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F82616">
        <w:rPr>
          <w:rFonts w:ascii="Times New Roman" w:hAnsi="Times New Roman"/>
          <w:sz w:val="24"/>
          <w:szCs w:val="24"/>
          <w:lang/>
        </w:rPr>
        <w:t xml:space="preserve">Валовый выброс загрязняющих веществ на 2025-2026 гг. составит </w:t>
      </w:r>
      <w:r>
        <w:rPr>
          <w:rFonts w:ascii="Times New Roman" w:hAnsi="Times New Roman"/>
          <w:sz w:val="24"/>
          <w:szCs w:val="24"/>
        </w:rPr>
        <w:t>141</w:t>
      </w:r>
      <w:r w:rsidRPr="00D456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735171313</w:t>
      </w:r>
      <w:r w:rsidRPr="00F82616">
        <w:rPr>
          <w:rFonts w:ascii="Times New Roman" w:hAnsi="Times New Roman"/>
          <w:sz w:val="24"/>
          <w:szCs w:val="24"/>
          <w:lang/>
        </w:rPr>
        <w:t xml:space="preserve"> т/год.</w:t>
      </w:r>
    </w:p>
    <w:p w14:paraId="2C91C58B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F82616">
        <w:rPr>
          <w:rFonts w:ascii="Times New Roman" w:hAnsi="Times New Roman"/>
          <w:sz w:val="24"/>
          <w:szCs w:val="24"/>
          <w:lang/>
        </w:rPr>
        <w:t>Как показал анализ, в процессе разведочных работ в атмосферный воздух будет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выбрасываться 10 наименований загрязняющих веществ.</w:t>
      </w:r>
    </w:p>
    <w:p w14:paraId="6F543E0F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F82616">
        <w:rPr>
          <w:rFonts w:ascii="Times New Roman" w:hAnsi="Times New Roman"/>
          <w:sz w:val="24"/>
          <w:szCs w:val="24"/>
          <w:lang/>
        </w:rPr>
        <w:t>Нормативы выбросов установлены по следующим веществам: азота диоксид, азота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оксид, углерод (сажа), серы диоксид, сероводород, углерод оксид, бенз/а/пирен,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формальдегид, углеводороды предельные и пыль неорганическая, содержащая двуокись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кремния в %: 70-20.</w:t>
      </w:r>
    </w:p>
    <w:p w14:paraId="0DDDBA1E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F82616">
        <w:rPr>
          <w:rFonts w:ascii="Times New Roman" w:hAnsi="Times New Roman"/>
          <w:sz w:val="24"/>
          <w:szCs w:val="24"/>
          <w:lang/>
        </w:rPr>
        <w:lastRenderedPageBreak/>
        <w:t>В соответствии с санитарными правилами «Санитарно-эпидемиологические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требования к санитарно-защитным зонам объектов, являющихся объектами воздействия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на среду обитания и здоровье человека» №26447 от 11.01.2022 г., намечаемый вид работ в</w:t>
      </w:r>
      <w:r w:rsidRPr="00F82616">
        <w:rPr>
          <w:rFonts w:ascii="Times New Roman" w:hAnsi="Times New Roman"/>
          <w:sz w:val="24"/>
          <w:szCs w:val="24"/>
          <w:lang/>
        </w:rPr>
        <w:t xml:space="preserve"> </w:t>
      </w:r>
      <w:r w:rsidRPr="00F82616">
        <w:rPr>
          <w:rFonts w:ascii="Times New Roman" w:hAnsi="Times New Roman"/>
          <w:sz w:val="24"/>
          <w:szCs w:val="24"/>
          <w:lang/>
        </w:rPr>
        <w:t>санитарной классификации не определен. Размер СЗЗ не устанавливается.</w:t>
      </w:r>
    </w:p>
    <w:p w14:paraId="0E39BD56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Местоположение  месторождения «</w:t>
      </w:r>
      <w:r>
        <w:rPr>
          <w:rFonts w:ascii="Times New Roman" w:hAnsi="Times New Roman"/>
          <w:sz w:val="24"/>
          <w:szCs w:val="24"/>
        </w:rPr>
        <w:t>Эспетуз</w:t>
      </w:r>
      <w:r w:rsidRPr="00F82616">
        <w:rPr>
          <w:rFonts w:ascii="Times New Roman" w:hAnsi="Times New Roman"/>
          <w:sz w:val="24"/>
          <w:szCs w:val="24"/>
        </w:rPr>
        <w:t xml:space="preserve">» отвечает необходимым санитарно–гигиеническим требованиям, поскольку ближайшая селитебная зона – село </w:t>
      </w:r>
      <w:r>
        <w:rPr>
          <w:rFonts w:ascii="Times New Roman" w:hAnsi="Times New Roman"/>
          <w:sz w:val="24"/>
          <w:szCs w:val="24"/>
        </w:rPr>
        <w:t>Акмектеп</w:t>
      </w:r>
      <w:r w:rsidRPr="00F82616">
        <w:rPr>
          <w:rFonts w:ascii="Times New Roman" w:hAnsi="Times New Roman"/>
          <w:sz w:val="24"/>
          <w:szCs w:val="24"/>
        </w:rPr>
        <w:t>– расположена на расстоянии 30 км от него.</w:t>
      </w:r>
    </w:p>
    <w:p w14:paraId="582134B4" w14:textId="77777777" w:rsidR="00447D33" w:rsidRPr="00F82616" w:rsidRDefault="00447D33" w:rsidP="00447D33">
      <w:pPr>
        <w:pStyle w:val="21"/>
        <w:spacing w:before="0" w:after="0"/>
        <w:ind w:firstLine="709"/>
        <w:rPr>
          <w:szCs w:val="24"/>
        </w:rPr>
      </w:pPr>
      <w:r w:rsidRPr="00F82616">
        <w:rPr>
          <w:b/>
          <w:i/>
          <w:szCs w:val="24"/>
        </w:rPr>
        <w:t>Вода.</w:t>
      </w:r>
      <w:r w:rsidRPr="00F82616">
        <w:rPr>
          <w:szCs w:val="24"/>
        </w:rPr>
        <w:t xml:space="preserve"> Количество потре</w:t>
      </w:r>
      <w:r w:rsidRPr="00F82616">
        <w:rPr>
          <w:szCs w:val="24"/>
        </w:rPr>
        <w:t>б</w:t>
      </w:r>
      <w:r w:rsidRPr="00F82616">
        <w:rPr>
          <w:szCs w:val="24"/>
        </w:rPr>
        <w:t xml:space="preserve">ляемой воды питьевого качества на период проведения разведочных работ составит: </w:t>
      </w:r>
    </w:p>
    <w:p w14:paraId="0CEFBA88" w14:textId="77777777" w:rsidR="00447D33" w:rsidRPr="00F82616" w:rsidRDefault="00447D33" w:rsidP="00447D33">
      <w:pPr>
        <w:pStyle w:val="21"/>
        <w:spacing w:before="0" w:after="0"/>
        <w:ind w:firstLine="709"/>
        <w:rPr>
          <w:szCs w:val="24"/>
        </w:rPr>
      </w:pPr>
      <w:r w:rsidRPr="00F82616">
        <w:rPr>
          <w:szCs w:val="24"/>
        </w:rPr>
        <w:t xml:space="preserve">- на 2025г. - </w:t>
      </w:r>
      <w:r>
        <w:rPr>
          <w:szCs w:val="24"/>
        </w:rPr>
        <w:t>189</w:t>
      </w:r>
      <w:r w:rsidRPr="00F82616">
        <w:rPr>
          <w:szCs w:val="24"/>
        </w:rPr>
        <w:t xml:space="preserve"> м</w:t>
      </w:r>
      <w:r w:rsidRPr="00F82616">
        <w:rPr>
          <w:szCs w:val="24"/>
          <w:vertAlign w:val="superscript"/>
        </w:rPr>
        <w:t>3</w:t>
      </w:r>
      <w:r w:rsidRPr="00F82616">
        <w:rPr>
          <w:szCs w:val="24"/>
        </w:rPr>
        <w:t xml:space="preserve">/год;  </w:t>
      </w:r>
    </w:p>
    <w:p w14:paraId="63D39E6A" w14:textId="77777777" w:rsidR="00447D33" w:rsidRPr="00F82616" w:rsidRDefault="00447D33" w:rsidP="00447D33">
      <w:pPr>
        <w:pStyle w:val="21"/>
        <w:spacing w:before="0" w:after="0"/>
        <w:ind w:firstLine="709"/>
        <w:rPr>
          <w:szCs w:val="24"/>
        </w:rPr>
      </w:pPr>
      <w:r w:rsidRPr="00F82616">
        <w:rPr>
          <w:szCs w:val="24"/>
        </w:rPr>
        <w:t xml:space="preserve">- на 2026г. - </w:t>
      </w:r>
      <w:r>
        <w:rPr>
          <w:szCs w:val="24"/>
        </w:rPr>
        <w:t>189</w:t>
      </w:r>
      <w:r w:rsidRPr="00F82616">
        <w:rPr>
          <w:szCs w:val="24"/>
        </w:rPr>
        <w:t xml:space="preserve"> м</w:t>
      </w:r>
      <w:r w:rsidRPr="00F82616">
        <w:rPr>
          <w:szCs w:val="24"/>
          <w:vertAlign w:val="superscript"/>
        </w:rPr>
        <w:t>3</w:t>
      </w:r>
      <w:r w:rsidRPr="00F82616">
        <w:rPr>
          <w:szCs w:val="24"/>
        </w:rPr>
        <w:t xml:space="preserve">/год. </w:t>
      </w:r>
    </w:p>
    <w:p w14:paraId="48712C63" w14:textId="77777777" w:rsidR="00447D33" w:rsidRPr="00F82616" w:rsidRDefault="00447D33" w:rsidP="00447D33">
      <w:pPr>
        <w:pStyle w:val="21"/>
        <w:spacing w:before="0" w:after="0"/>
        <w:ind w:firstLine="709"/>
        <w:rPr>
          <w:szCs w:val="24"/>
        </w:rPr>
      </w:pPr>
      <w:r w:rsidRPr="00F82616">
        <w:rPr>
          <w:szCs w:val="24"/>
        </w:rPr>
        <w:t>Вся используемая на питьевые нужды вода ух</w:t>
      </w:r>
      <w:r w:rsidRPr="00F82616">
        <w:rPr>
          <w:szCs w:val="24"/>
        </w:rPr>
        <w:t>о</w:t>
      </w:r>
      <w:r w:rsidRPr="00F82616">
        <w:rPr>
          <w:szCs w:val="24"/>
        </w:rPr>
        <w:t>дит в безвозвратные потери. Санитарное обслуживание работающих людей будет осущ</w:t>
      </w:r>
      <w:r w:rsidRPr="00F82616">
        <w:rPr>
          <w:szCs w:val="24"/>
        </w:rPr>
        <w:t>е</w:t>
      </w:r>
      <w:r w:rsidRPr="00F82616">
        <w:rPr>
          <w:szCs w:val="24"/>
        </w:rPr>
        <w:t>ствляться в биотуалет, который будет установлен на участке работ.</w:t>
      </w:r>
    </w:p>
    <w:p w14:paraId="38C0B0AD" w14:textId="77777777" w:rsidR="00447D33" w:rsidRPr="00F82616" w:rsidRDefault="00447D33" w:rsidP="00447D33">
      <w:pPr>
        <w:pStyle w:val="21"/>
        <w:spacing w:before="0" w:after="0"/>
        <w:ind w:firstLine="709"/>
        <w:rPr>
          <w:szCs w:val="24"/>
        </w:rPr>
      </w:pPr>
      <w:r w:rsidRPr="00F82616">
        <w:rPr>
          <w:szCs w:val="24"/>
        </w:rPr>
        <w:t>Техническая вода для обеспечения работ по бурению будет доставляться водовозом из с.</w:t>
      </w:r>
      <w:r>
        <w:rPr>
          <w:szCs w:val="24"/>
        </w:rPr>
        <w:t>Акмектеп</w:t>
      </w:r>
      <w:r w:rsidRPr="00F82616">
        <w:rPr>
          <w:szCs w:val="24"/>
        </w:rPr>
        <w:t xml:space="preserve">, который расположен в 30 км от участка ведения работ. </w:t>
      </w:r>
    </w:p>
    <w:p w14:paraId="5346A71A" w14:textId="77777777" w:rsidR="00447D33" w:rsidRPr="00F82616" w:rsidRDefault="00447D33" w:rsidP="00447D33">
      <w:pPr>
        <w:pStyle w:val="21"/>
        <w:spacing w:before="0" w:after="0"/>
        <w:ind w:firstLine="709"/>
        <w:rPr>
          <w:szCs w:val="24"/>
        </w:rPr>
      </w:pPr>
      <w:r w:rsidRPr="00F82616">
        <w:rPr>
          <w:szCs w:val="24"/>
        </w:rPr>
        <w:t xml:space="preserve">Максимальный объем воды для технических нужд составит </w:t>
      </w:r>
      <w:r>
        <w:rPr>
          <w:szCs w:val="24"/>
        </w:rPr>
        <w:t>2155</w:t>
      </w:r>
      <w:r w:rsidRPr="00F82616">
        <w:rPr>
          <w:szCs w:val="24"/>
        </w:rPr>
        <w:t xml:space="preserve"> м</w:t>
      </w:r>
      <w:r w:rsidRPr="00F82616">
        <w:rPr>
          <w:szCs w:val="24"/>
          <w:vertAlign w:val="superscript"/>
        </w:rPr>
        <w:t>3</w:t>
      </w:r>
      <w:r w:rsidRPr="00F82616">
        <w:rPr>
          <w:szCs w:val="24"/>
        </w:rPr>
        <w:t>/год.</w:t>
      </w:r>
    </w:p>
    <w:p w14:paraId="58856A82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82616">
        <w:rPr>
          <w:rFonts w:ascii="Times New Roman" w:hAnsi="Times New Roman"/>
          <w:sz w:val="24"/>
          <w:szCs w:val="24"/>
          <w:lang w:eastAsia="ar-SA"/>
        </w:rPr>
        <w:t>При проведении работ не предусматривается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нужд.</w:t>
      </w:r>
    </w:p>
    <w:p w14:paraId="1153E3CE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82616">
        <w:rPr>
          <w:rFonts w:ascii="Times New Roman" w:hAnsi="Times New Roman"/>
          <w:sz w:val="24"/>
          <w:szCs w:val="24"/>
          <w:lang w:eastAsia="ar-SA"/>
        </w:rPr>
        <w:t>Сброс сточных вод в поверхностные водоемы не предусматривается.</w:t>
      </w:r>
    </w:p>
    <w:p w14:paraId="5A5722DC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Почвенный покров</w:t>
      </w:r>
      <w:r w:rsidRPr="00F82616">
        <w:rPr>
          <w:rFonts w:ascii="Times New Roman" w:hAnsi="Times New Roman"/>
          <w:b/>
          <w:sz w:val="24"/>
          <w:szCs w:val="24"/>
        </w:rPr>
        <w:t xml:space="preserve">. </w:t>
      </w:r>
      <w:r w:rsidRPr="00FA04C2">
        <w:rPr>
          <w:rFonts w:ascii="Times New Roman" w:hAnsi="Times New Roman"/>
          <w:sz w:val="24"/>
          <w:szCs w:val="24"/>
        </w:rPr>
        <w:t>Почвы суглинистые, иногда лессовые и солончаковые, во время распутицы создают трудности для прохождения автотранспорта.</w:t>
      </w:r>
    </w:p>
    <w:p w14:paraId="5BE147A2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Контроль над загрязнением почв в границах СЗЗ отвалов должен выпо</w:t>
      </w:r>
      <w:r w:rsidRPr="00F82616">
        <w:rPr>
          <w:rFonts w:ascii="Times New Roman" w:hAnsi="Times New Roman"/>
          <w:sz w:val="24"/>
          <w:szCs w:val="24"/>
        </w:rPr>
        <w:t>л</w:t>
      </w:r>
      <w:r w:rsidRPr="00F82616">
        <w:rPr>
          <w:rFonts w:ascii="Times New Roman" w:hAnsi="Times New Roman"/>
          <w:sz w:val="24"/>
          <w:szCs w:val="24"/>
        </w:rPr>
        <w:t>няться в соответствии Программой экологического контроля, утвержденной первым руков</w:t>
      </w:r>
      <w:r w:rsidRPr="00F82616">
        <w:rPr>
          <w:rFonts w:ascii="Times New Roman" w:hAnsi="Times New Roman"/>
          <w:sz w:val="24"/>
          <w:szCs w:val="24"/>
        </w:rPr>
        <w:t>о</w:t>
      </w:r>
      <w:r w:rsidRPr="00F82616">
        <w:rPr>
          <w:rFonts w:ascii="Times New Roman" w:hAnsi="Times New Roman"/>
          <w:sz w:val="24"/>
          <w:szCs w:val="24"/>
        </w:rPr>
        <w:t>дителем предприятия.</w:t>
      </w:r>
    </w:p>
    <w:p w14:paraId="6C85F966" w14:textId="77777777" w:rsidR="00447D33" w:rsidRPr="002B2699" w:rsidRDefault="00447D33" w:rsidP="00447D3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Растительность.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699">
        <w:rPr>
          <w:rFonts w:ascii="Times New Roman" w:hAnsi="Times New Roman"/>
          <w:sz w:val="24"/>
          <w:szCs w:val="24"/>
        </w:rPr>
        <w:t>Степная естественная растительность скудная, а растительность лугово-степного типа сохраняется лишь вблизи березовых колков, в том числе участки с нормальными черноземными почвами, которые в значительной своей части распаханы.</w:t>
      </w:r>
    </w:p>
    <w:p w14:paraId="6ABDBF4E" w14:textId="77777777" w:rsidR="00447D33" w:rsidRPr="00F82616" w:rsidRDefault="00447D33" w:rsidP="00447D3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B2699">
        <w:rPr>
          <w:rFonts w:ascii="Times New Roman" w:hAnsi="Times New Roman"/>
          <w:sz w:val="24"/>
          <w:szCs w:val="24"/>
        </w:rPr>
        <w:t>Намечаемая деятельность не предусматривает использование растительных ресурсов. Вырубка, снос и перенос деревьев, а также зеленых насаждений не предусматривается. Редких исчезающих видов растений, занесенных в Красную книгу нет.</w:t>
      </w:r>
      <w:r w:rsidRPr="00F82616">
        <w:rPr>
          <w:rFonts w:ascii="Times New Roman" w:hAnsi="Times New Roman"/>
          <w:sz w:val="24"/>
          <w:szCs w:val="24"/>
        </w:rPr>
        <w:t xml:space="preserve"> </w:t>
      </w:r>
    </w:p>
    <w:p w14:paraId="0C60F9EB" w14:textId="77777777" w:rsidR="00447D33" w:rsidRPr="00F82616" w:rsidRDefault="00447D33" w:rsidP="00447D33">
      <w:pPr>
        <w:suppressAutoHyphens/>
        <w:spacing w:after="0" w:line="24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Животный мир.</w:t>
      </w:r>
      <w:r w:rsidRPr="00F82616">
        <w:rPr>
          <w:rFonts w:ascii="Times New Roman" w:hAnsi="Times New Roman"/>
          <w:b/>
          <w:sz w:val="24"/>
          <w:szCs w:val="24"/>
        </w:rPr>
        <w:t xml:space="preserve"> </w:t>
      </w:r>
      <w:r w:rsidRPr="00CB4EA4">
        <w:rPr>
          <w:rFonts w:ascii="Times New Roman" w:hAnsi="Times New Roman"/>
          <w:sz w:val="24"/>
          <w:szCs w:val="24"/>
        </w:rPr>
        <w:t>Использование объектов животного мира района при реализации проектных решений не предусматривается. Зона воздействия проектируемого объекта на животный мир ограничивается границами геологического отвода (прямое воздействие, заключается в вытеснении за пределы мест обитания) и санитарно-защитной зоны (косвенное воздействие, крайне опосредованное через эмиссии в атмосферный воздух). Редких исчезающих видов животных, занесенных в Красную книгу нет. Операций, для которых планируется использование объектов животного мира нет.</w:t>
      </w:r>
    </w:p>
    <w:p w14:paraId="7F605308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Физические воздействия</w:t>
      </w:r>
      <w:r w:rsidRPr="00F82616">
        <w:rPr>
          <w:rFonts w:ascii="Times New Roman" w:hAnsi="Times New Roman"/>
          <w:i/>
          <w:sz w:val="24"/>
          <w:szCs w:val="24"/>
        </w:rPr>
        <w:t>.</w:t>
      </w:r>
      <w:r w:rsidRPr="00F82616">
        <w:rPr>
          <w:rFonts w:ascii="Times New Roman" w:hAnsi="Times New Roman"/>
          <w:sz w:val="24"/>
          <w:szCs w:val="24"/>
        </w:rPr>
        <w:t xml:space="preserve"> Согласно Гигиеническим нормативам уровней шума на раб</w:t>
      </w:r>
      <w:r w:rsidRPr="00F82616">
        <w:rPr>
          <w:rFonts w:ascii="Times New Roman" w:hAnsi="Times New Roman"/>
          <w:sz w:val="24"/>
          <w:szCs w:val="24"/>
        </w:rPr>
        <w:t>о</w:t>
      </w:r>
      <w:r w:rsidRPr="00F82616">
        <w:rPr>
          <w:rFonts w:ascii="Times New Roman" w:hAnsi="Times New Roman"/>
          <w:sz w:val="24"/>
          <w:szCs w:val="24"/>
        </w:rPr>
        <w:t>чих местах, допустимый эквивалентный уровень шума для территории предприятия с постоянными рабочими местами  составляет 80 дБ, а максимальный эквивалентный ур</w:t>
      </w:r>
      <w:r w:rsidRPr="00F82616">
        <w:rPr>
          <w:rFonts w:ascii="Times New Roman" w:hAnsi="Times New Roman"/>
          <w:sz w:val="24"/>
          <w:szCs w:val="24"/>
        </w:rPr>
        <w:t>о</w:t>
      </w:r>
      <w:r w:rsidRPr="00F82616">
        <w:rPr>
          <w:rFonts w:ascii="Times New Roman" w:hAnsi="Times New Roman"/>
          <w:sz w:val="24"/>
          <w:szCs w:val="24"/>
        </w:rPr>
        <w:t>вень 95 дБ.  Проектом применено горнотранспортное оборудование обеспечивающее ур</w:t>
      </w:r>
      <w:r w:rsidRPr="00F82616">
        <w:rPr>
          <w:rFonts w:ascii="Times New Roman" w:hAnsi="Times New Roman"/>
          <w:sz w:val="24"/>
          <w:szCs w:val="24"/>
        </w:rPr>
        <w:t>о</w:t>
      </w:r>
      <w:r w:rsidRPr="00F82616">
        <w:rPr>
          <w:rFonts w:ascii="Times New Roman" w:hAnsi="Times New Roman"/>
          <w:sz w:val="24"/>
          <w:szCs w:val="24"/>
        </w:rPr>
        <w:t>вень звука на рабочих местах, не превышающий 95 дБ. При удалении от источника шума на расстояние до 200 метров происходит быстрое затухание шума.</w:t>
      </w:r>
    </w:p>
    <w:p w14:paraId="2D5E4F9F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Так  как  период  работ  непродолжительный   и участок ведения работ достаточно удален от ближайшего населенного пункта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616">
        <w:rPr>
          <w:rFonts w:ascii="Times New Roman" w:hAnsi="Times New Roman"/>
          <w:sz w:val="24"/>
          <w:szCs w:val="24"/>
        </w:rPr>
        <w:t xml:space="preserve">с. </w:t>
      </w:r>
      <w:r>
        <w:rPr>
          <w:rFonts w:ascii="Times New Roman" w:hAnsi="Times New Roman"/>
          <w:sz w:val="24"/>
          <w:szCs w:val="24"/>
        </w:rPr>
        <w:t xml:space="preserve">Акмектеп </w:t>
      </w:r>
      <w:r w:rsidRPr="00F82616">
        <w:rPr>
          <w:rFonts w:ascii="Times New Roman" w:hAnsi="Times New Roman"/>
          <w:sz w:val="24"/>
          <w:szCs w:val="24"/>
        </w:rPr>
        <w:t>на расстоянии 30 км, мер</w:t>
      </w:r>
      <w:r w:rsidRPr="00F82616">
        <w:rPr>
          <w:rFonts w:ascii="Times New Roman" w:hAnsi="Times New Roman"/>
          <w:sz w:val="24"/>
          <w:szCs w:val="24"/>
        </w:rPr>
        <w:t>о</w:t>
      </w:r>
      <w:r w:rsidRPr="00F82616">
        <w:rPr>
          <w:rFonts w:ascii="Times New Roman" w:hAnsi="Times New Roman"/>
          <w:sz w:val="24"/>
          <w:szCs w:val="24"/>
        </w:rPr>
        <w:t xml:space="preserve">приятия по защите от шума в проекте не предусматриваются. </w:t>
      </w:r>
    </w:p>
    <w:p w14:paraId="16214807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Радиационные воздействия</w:t>
      </w:r>
      <w:r w:rsidRPr="00F82616">
        <w:rPr>
          <w:rFonts w:ascii="Times New Roman" w:hAnsi="Times New Roman"/>
          <w:i/>
          <w:sz w:val="24"/>
          <w:szCs w:val="24"/>
        </w:rPr>
        <w:t>.</w:t>
      </w:r>
      <w:r w:rsidRPr="00F82616">
        <w:rPr>
          <w:rFonts w:ascii="Times New Roman" w:hAnsi="Times New Roman"/>
          <w:sz w:val="24"/>
          <w:szCs w:val="24"/>
        </w:rPr>
        <w:t xml:space="preserve"> </w:t>
      </w:r>
      <w:r w:rsidRPr="00F82616">
        <w:rPr>
          <w:rFonts w:ascii="Times New Roman" w:hAnsi="Times New Roman"/>
          <w:iCs/>
          <w:sz w:val="24"/>
          <w:szCs w:val="24"/>
        </w:rPr>
        <w:t>У</w:t>
      </w:r>
      <w:r w:rsidRPr="00F82616">
        <w:rPr>
          <w:rFonts w:ascii="Times New Roman" w:hAnsi="Times New Roman"/>
          <w:sz w:val="24"/>
          <w:szCs w:val="24"/>
        </w:rPr>
        <w:t>часток планируемых геологоразведочных работ не является объектом с повышенным радиационным фоном, на объекте не используются источники радиационного излучения.</w:t>
      </w:r>
    </w:p>
    <w:p w14:paraId="15D4F00A" w14:textId="77777777" w:rsidR="00447D33" w:rsidRPr="00F82616" w:rsidRDefault="00447D33" w:rsidP="0044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lastRenderedPageBreak/>
        <w:t>Радиационная обстановка в районе работ благополучна, природные и техногенные источников радиационного загрязнения отсутствует.</w:t>
      </w:r>
    </w:p>
    <w:p w14:paraId="25096BA7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82616">
        <w:rPr>
          <w:rFonts w:ascii="Times New Roman" w:hAnsi="Times New Roman"/>
          <w:b/>
          <w:i/>
          <w:sz w:val="24"/>
          <w:szCs w:val="24"/>
        </w:rPr>
        <w:t>Отходы производства и потребления</w:t>
      </w:r>
      <w:r w:rsidRPr="00F82616">
        <w:rPr>
          <w:rFonts w:ascii="Times New Roman" w:hAnsi="Times New Roman"/>
          <w:i/>
          <w:sz w:val="24"/>
          <w:szCs w:val="24"/>
        </w:rPr>
        <w:t>.</w:t>
      </w:r>
      <w:r w:rsidRPr="00F82616">
        <w:rPr>
          <w:rFonts w:ascii="Times New Roman" w:hAnsi="Times New Roman"/>
          <w:sz w:val="24"/>
          <w:szCs w:val="24"/>
        </w:rPr>
        <w:t xml:space="preserve"> </w:t>
      </w:r>
      <w:r w:rsidRPr="00F82616">
        <w:rPr>
          <w:rFonts w:ascii="Times New Roman" w:hAnsi="Times New Roman"/>
          <w:sz w:val="24"/>
          <w:szCs w:val="24"/>
          <w:lang w:eastAsia="ar-SA"/>
        </w:rPr>
        <w:t>Как показал анализ, в процессе разведочных работ на месторождении «</w:t>
      </w:r>
      <w:r>
        <w:rPr>
          <w:rFonts w:ascii="Times New Roman" w:hAnsi="Times New Roman"/>
          <w:sz w:val="24"/>
          <w:szCs w:val="24"/>
          <w:lang w:eastAsia="ar-SA"/>
        </w:rPr>
        <w:t>Эспетуз</w:t>
      </w:r>
      <w:r w:rsidRPr="00F82616">
        <w:rPr>
          <w:rFonts w:ascii="Times New Roman" w:hAnsi="Times New Roman"/>
          <w:sz w:val="24"/>
          <w:szCs w:val="24"/>
          <w:lang w:eastAsia="ar-SA"/>
        </w:rPr>
        <w:t xml:space="preserve">» будет образовываться 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F82616">
        <w:rPr>
          <w:rFonts w:ascii="Times New Roman" w:hAnsi="Times New Roman"/>
          <w:sz w:val="24"/>
          <w:szCs w:val="24"/>
          <w:lang w:eastAsia="ar-SA"/>
        </w:rPr>
        <w:t xml:space="preserve"> вида неопасных отходов.</w:t>
      </w:r>
    </w:p>
    <w:p w14:paraId="7573AC19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82616">
        <w:rPr>
          <w:rFonts w:ascii="Times New Roman" w:hAnsi="Times New Roman"/>
          <w:sz w:val="24"/>
          <w:szCs w:val="24"/>
          <w:lang w:eastAsia="ar-SA"/>
        </w:rPr>
        <w:t xml:space="preserve"> В процессе осуществления намечаемой деятельности образуются следующие виды отходов: промасленная ветошь (ткани для вытирания) – 0,508 т/год, твердые бытовые отходы (смешанные коммунальные отходы) –</w:t>
      </w:r>
      <w:r>
        <w:rPr>
          <w:rFonts w:ascii="Times New Roman" w:hAnsi="Times New Roman"/>
          <w:sz w:val="24"/>
          <w:szCs w:val="24"/>
          <w:lang w:eastAsia="ar-SA"/>
        </w:rPr>
        <w:t xml:space="preserve"> 2</w:t>
      </w:r>
      <w:r w:rsidRPr="00F82616">
        <w:rPr>
          <w:rFonts w:ascii="Times New Roman" w:hAnsi="Times New Roman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F82616">
        <w:rPr>
          <w:rFonts w:ascii="Times New Roman" w:hAnsi="Times New Roman"/>
          <w:sz w:val="24"/>
          <w:szCs w:val="24"/>
          <w:lang w:eastAsia="ar-SA"/>
        </w:rPr>
        <w:t xml:space="preserve"> т/год.</w:t>
      </w:r>
    </w:p>
    <w:p w14:paraId="719E3164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82616">
        <w:rPr>
          <w:rFonts w:ascii="Times New Roman" w:hAnsi="Times New Roman"/>
          <w:sz w:val="24"/>
          <w:szCs w:val="24"/>
          <w:lang w:eastAsia="ar-SA"/>
        </w:rPr>
        <w:t>Суммарный объем образования отходов на 2025-2026гг. составляет</w:t>
      </w:r>
      <w:r>
        <w:rPr>
          <w:rFonts w:ascii="Times New Roman" w:hAnsi="Times New Roman"/>
          <w:sz w:val="24"/>
          <w:szCs w:val="24"/>
          <w:lang w:eastAsia="ar-SA"/>
        </w:rPr>
        <w:t xml:space="preserve"> 2,608</w:t>
      </w:r>
      <w:r w:rsidRPr="00F82616">
        <w:rPr>
          <w:rFonts w:ascii="Times New Roman" w:hAnsi="Times New Roman"/>
          <w:sz w:val="24"/>
          <w:szCs w:val="24"/>
          <w:lang w:eastAsia="ar-SA"/>
        </w:rPr>
        <w:t xml:space="preserve"> т/год. Все три вида отходов относятся к неопасным.</w:t>
      </w:r>
    </w:p>
    <w:p w14:paraId="5CD9C256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2616">
        <w:rPr>
          <w:rFonts w:ascii="Times New Roman" w:hAnsi="Times New Roman"/>
          <w:b/>
          <w:sz w:val="24"/>
          <w:szCs w:val="24"/>
          <w:lang w:eastAsia="ru-RU"/>
        </w:rPr>
        <w:t xml:space="preserve">Оценка воздействия на состояние экологической системы. </w:t>
      </w:r>
    </w:p>
    <w:p w14:paraId="29014492" w14:textId="77777777" w:rsidR="00447D33" w:rsidRPr="00F82616" w:rsidRDefault="00447D33" w:rsidP="00447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2616">
        <w:rPr>
          <w:rFonts w:ascii="Times New Roman" w:hAnsi="Times New Roman"/>
          <w:sz w:val="24"/>
          <w:szCs w:val="24"/>
        </w:rPr>
        <w:t>Согласно произведенным расчетам, в процессе проведения разведочных работ  в оцениваемый период с 2025 по 2026 гг., на окружающую среду района размещения пре</w:t>
      </w:r>
      <w:r w:rsidRPr="00F82616">
        <w:rPr>
          <w:rFonts w:ascii="Times New Roman" w:hAnsi="Times New Roman"/>
          <w:sz w:val="24"/>
          <w:szCs w:val="24"/>
        </w:rPr>
        <w:t>д</w:t>
      </w:r>
      <w:r w:rsidRPr="00F82616">
        <w:rPr>
          <w:rFonts w:ascii="Times New Roman" w:hAnsi="Times New Roman"/>
          <w:sz w:val="24"/>
          <w:szCs w:val="24"/>
        </w:rPr>
        <w:t xml:space="preserve">приятия будет оказываться воздействие низкой значимости. </w:t>
      </w:r>
    </w:p>
    <w:p w14:paraId="30B05B06" w14:textId="77777777" w:rsidR="00447D33" w:rsidRPr="00F82616" w:rsidRDefault="00447D33" w:rsidP="00447D33">
      <w:pPr>
        <w:pStyle w:val="a5"/>
        <w:spacing w:after="0"/>
        <w:ind w:left="0"/>
        <w:rPr>
          <w:szCs w:val="24"/>
        </w:rPr>
      </w:pPr>
      <w:r w:rsidRPr="00F82616">
        <w:rPr>
          <w:szCs w:val="24"/>
        </w:rPr>
        <w:t xml:space="preserve"> Воздействие на </w:t>
      </w:r>
      <w:r w:rsidRPr="00F82616">
        <w:rPr>
          <w:szCs w:val="24"/>
          <w:lang w:eastAsia="ru-RU"/>
        </w:rPr>
        <w:t xml:space="preserve">население ближайшей к </w:t>
      </w:r>
      <w:r w:rsidRPr="00F82616">
        <w:rPr>
          <w:szCs w:val="24"/>
          <w:lang w:val="ru-RU" w:eastAsia="ru-RU"/>
        </w:rPr>
        <w:t xml:space="preserve">месторождению </w:t>
      </w:r>
      <w:r w:rsidRPr="00F82616">
        <w:rPr>
          <w:szCs w:val="24"/>
          <w:lang w:eastAsia="ru-RU"/>
        </w:rPr>
        <w:t>селитебной зоны (</w:t>
      </w:r>
      <w:r w:rsidRPr="00F82616">
        <w:rPr>
          <w:szCs w:val="24"/>
          <w:lang w:val="ru-RU" w:eastAsia="ru-RU"/>
        </w:rPr>
        <w:t>село</w:t>
      </w:r>
      <w:r>
        <w:rPr>
          <w:szCs w:val="24"/>
          <w:lang w:val="ru-RU" w:eastAsia="ru-RU"/>
        </w:rPr>
        <w:t xml:space="preserve"> Акмектеп</w:t>
      </w:r>
      <w:r w:rsidRPr="00F82616">
        <w:rPr>
          <w:szCs w:val="24"/>
          <w:lang w:eastAsia="ru-RU"/>
        </w:rPr>
        <w:t xml:space="preserve">), расположенной на расстоянии </w:t>
      </w:r>
      <w:r w:rsidRPr="00F82616">
        <w:rPr>
          <w:szCs w:val="24"/>
          <w:lang w:val="ru-RU" w:eastAsia="ru-RU"/>
        </w:rPr>
        <w:t>30</w:t>
      </w:r>
      <w:r w:rsidRPr="00F82616">
        <w:rPr>
          <w:szCs w:val="24"/>
          <w:lang w:eastAsia="ru-RU"/>
        </w:rPr>
        <w:t xml:space="preserve"> км от него, будет находиться на допустимом уровне. </w:t>
      </w:r>
      <w:r w:rsidRPr="00F82616">
        <w:rPr>
          <w:szCs w:val="24"/>
        </w:rPr>
        <w:t xml:space="preserve">Экологический риск и риск для здоровья населения при </w:t>
      </w:r>
      <w:r w:rsidRPr="00F82616">
        <w:rPr>
          <w:szCs w:val="24"/>
          <w:lang w:val="ru-RU"/>
        </w:rPr>
        <w:t>проведении разведочных работ на месторождении «</w:t>
      </w:r>
      <w:r>
        <w:rPr>
          <w:szCs w:val="24"/>
          <w:lang w:val="ru-RU"/>
        </w:rPr>
        <w:t>Эспетуз</w:t>
      </w:r>
      <w:r w:rsidRPr="00F82616">
        <w:rPr>
          <w:szCs w:val="24"/>
          <w:lang w:val="ru-RU"/>
        </w:rPr>
        <w:t>»</w:t>
      </w:r>
      <w:r w:rsidRPr="00F82616">
        <w:rPr>
          <w:szCs w:val="24"/>
        </w:rPr>
        <w:t xml:space="preserve"> будут минимальными.</w:t>
      </w:r>
    </w:p>
    <w:p w14:paraId="78A0C1AE" w14:textId="77777777" w:rsidR="00447D33" w:rsidRPr="00F82616" w:rsidRDefault="00447D33" w:rsidP="00447D33">
      <w:pPr>
        <w:pStyle w:val="2"/>
        <w:ind w:firstLine="709"/>
        <w:jc w:val="both"/>
        <w:rPr>
          <w:szCs w:val="24"/>
        </w:rPr>
      </w:pPr>
    </w:p>
    <w:p w14:paraId="4A331B82" w14:textId="77777777" w:rsidR="00447D33" w:rsidRPr="00F82616" w:rsidRDefault="00447D33" w:rsidP="00447D33">
      <w:pPr>
        <w:pStyle w:val="2"/>
        <w:ind w:firstLine="709"/>
        <w:jc w:val="both"/>
        <w:rPr>
          <w:szCs w:val="24"/>
        </w:rPr>
      </w:pPr>
    </w:p>
    <w:p w14:paraId="35D33F09" w14:textId="77777777" w:rsidR="006F0247" w:rsidRPr="00447D33" w:rsidRDefault="006F0247">
      <w:pPr>
        <w:rPr>
          <w:lang w:val="x-none"/>
        </w:rPr>
      </w:pPr>
    </w:p>
    <w:sectPr w:rsidR="006F0247" w:rsidRPr="0044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F9"/>
    <w:rsid w:val="002643F9"/>
    <w:rsid w:val="002713E8"/>
    <w:rsid w:val="00447D33"/>
    <w:rsid w:val="006F0247"/>
    <w:rsid w:val="00B14E3D"/>
    <w:rsid w:val="00D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573F"/>
  <w15:chartTrackingRefBased/>
  <w15:docId w15:val="{D03115A1-8268-4ACA-9FB1-204608A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33"/>
    <w:pPr>
      <w:spacing w:after="200" w:line="276" w:lineRule="auto"/>
      <w:ind w:firstLine="709"/>
      <w:jc w:val="both"/>
    </w:pPr>
    <w:rPr>
      <w:rFonts w:ascii="Calibri" w:eastAsia="Calibri" w:hAnsi="Calibri" w:cs="Times New Roman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qFormat/>
    <w:rsid w:val="00447D33"/>
    <w:pPr>
      <w:keepNext/>
      <w:spacing w:after="0" w:line="240" w:lineRule="auto"/>
      <w:ind w:firstLine="397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1 Знак,Заголовок 2 Знак Знак Знак"/>
    <w:basedOn w:val="a0"/>
    <w:link w:val="2"/>
    <w:rsid w:val="00447D33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a3">
    <w:name w:val="List Paragraph"/>
    <w:aliases w:val="Elenco Normale,Абзац с отступом,маркированный,Paragraph,Citation List,Resume Title,List Paragraph Char Char,Bullet 1,List Paragraph1,b1,Number_1,SGLText List Paragraph,new,lp1,Normal Sentence,Colorful List - Accent 11,ListPar1,List Paragraph2"/>
    <w:basedOn w:val="a"/>
    <w:link w:val="a4"/>
    <w:uiPriority w:val="34"/>
    <w:qFormat/>
    <w:rsid w:val="00447D3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4">
    <w:name w:val="Абзац списка Знак"/>
    <w:aliases w:val="Elenco Normale Знак,Абзац с отступом Знак,маркированный Знак,Paragraph Знак,Citation List Знак,Resume Title Знак,List Paragraph Char Char Знак,Bullet 1 Знак,List Paragraph1 Знак,b1 Знак,Number_1 Знак,SGLText List Paragraph Знак,new Знак"/>
    <w:link w:val="a3"/>
    <w:uiPriority w:val="34"/>
    <w:qFormat/>
    <w:rsid w:val="00447D3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Body Text Indent"/>
    <w:aliases w:val="Список1"/>
    <w:basedOn w:val="a"/>
    <w:link w:val="a6"/>
    <w:unhideWhenUsed/>
    <w:rsid w:val="00447D3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6">
    <w:name w:val="Основной текст с отступом Знак"/>
    <w:aliases w:val="Список1 Знак"/>
    <w:basedOn w:val="a0"/>
    <w:link w:val="a5"/>
    <w:rsid w:val="00447D33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447D33"/>
    <w:pPr>
      <w:spacing w:before="60" w:after="4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EcoOptimum</dc:creator>
  <cp:keywords/>
  <dc:description/>
  <cp:lastModifiedBy>EcoOptimum</cp:lastModifiedBy>
  <cp:revision>2</cp:revision>
  <dcterms:created xsi:type="dcterms:W3CDTF">2025-11-11T05:57:00Z</dcterms:created>
  <dcterms:modified xsi:type="dcterms:W3CDTF">2025-11-11T05:59:00Z</dcterms:modified>
</cp:coreProperties>
</file>