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AD" w:rsidRDefault="00B446AD" w:rsidP="00B446AD">
      <w:pPr>
        <w:pStyle w:val="1"/>
        <w:pageBreakBefore/>
        <w:tabs>
          <w:tab w:val="right" w:leader="dot" w:pos="9356"/>
        </w:tabs>
        <w:spacing w:before="0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 w:val="0"/>
          <w:bCs/>
          <w:caps/>
          <w:sz w:val="26"/>
          <w:szCs w:val="26"/>
        </w:rPr>
        <w:t>КРАТКОЕ НЕТЕХНИЧЕСКОЕ РЕЗЮМЕ</w:t>
      </w:r>
    </w:p>
    <w:p w:rsidR="00B446AD" w:rsidRDefault="00B446AD" w:rsidP="00B446AD">
      <w:pPr>
        <w:pStyle w:val="a6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Описание предполагаемого места намечаемой деятельности</w:t>
      </w:r>
    </w:p>
    <w:p w:rsidR="00B446AD" w:rsidRDefault="00B446AD" w:rsidP="00B446AD">
      <w:pPr>
        <w:pStyle w:val="12"/>
        <w:shd w:val="clear" w:color="auto" w:fill="auto"/>
        <w:ind w:firstLine="709"/>
        <w:jc w:val="both"/>
        <w:rPr>
          <w:sz w:val="26"/>
          <w:szCs w:val="26"/>
          <w:lang w:val="ru-RU"/>
        </w:rPr>
      </w:pPr>
    </w:p>
    <w:p w:rsidR="00B446AD" w:rsidRDefault="00B446AD" w:rsidP="00B446AD">
      <w:pPr>
        <w:pStyle w:val="a3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Планируемая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2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расчистке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озера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Копа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города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Кокшетау,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Акмолинской</w:t>
      </w:r>
      <w:r>
        <w:rPr>
          <w:spacing w:val="-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области.</w:t>
      </w:r>
    </w:p>
    <w:p w:rsidR="00B446AD" w:rsidRDefault="00B446AD" w:rsidP="00B446AD">
      <w:pPr>
        <w:pStyle w:val="a3"/>
        <w:spacing w:line="235" w:lineRule="auto"/>
        <w:ind w:right="-1" w:firstLine="70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Номер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участка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01-174-070-104,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участок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Акмолинской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области,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город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Кокшетау,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микрорайон</w:t>
      </w:r>
      <w:r>
        <w:rPr>
          <w:spacing w:val="53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Сарыарка</w:t>
      </w:r>
      <w:proofErr w:type="spellEnd"/>
      <w:r>
        <w:rPr>
          <w:sz w:val="26"/>
          <w:szCs w:val="26"/>
        </w:rPr>
        <w:t>.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Дата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28.04.2022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год,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5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лет,</w:t>
      </w:r>
      <w:r>
        <w:rPr>
          <w:spacing w:val="5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площадь</w:t>
      </w:r>
      <w:r>
        <w:rPr>
          <w:spacing w:val="5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232,6121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га.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Категория</w:t>
      </w:r>
      <w:r>
        <w:rPr>
          <w:spacing w:val="5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земель:</w:t>
      </w:r>
      <w:r>
        <w:rPr>
          <w:spacing w:val="4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населенных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пунктов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(городов,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поселков</w:t>
      </w:r>
      <w:bookmarkStart w:id="0" w:name="_GoBack"/>
      <w:bookmarkEnd w:id="0"/>
      <w:r>
        <w:rPr>
          <w:sz w:val="26"/>
          <w:szCs w:val="26"/>
        </w:rPr>
        <w:t>).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Целевое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назначение: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очистки</w:t>
      </w:r>
      <w:r>
        <w:rPr>
          <w:spacing w:val="62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озера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Копа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иловых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отложений.</w:t>
      </w:r>
    </w:p>
    <w:p w:rsidR="00B446AD" w:rsidRDefault="00B446AD" w:rsidP="00B446AD">
      <w:pPr>
        <w:pStyle w:val="a3"/>
        <w:ind w:right="-1" w:firstLine="70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Номер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участка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01-174-070-103,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участок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0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Акмолинской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области,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город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Кокшетау,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микрорайон</w:t>
      </w:r>
      <w:r>
        <w:rPr>
          <w:spacing w:val="53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Сарыарка</w:t>
      </w:r>
      <w:proofErr w:type="spellEnd"/>
      <w:r>
        <w:rPr>
          <w:sz w:val="26"/>
          <w:szCs w:val="26"/>
        </w:rPr>
        <w:t>.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Дата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>
        <w:rPr>
          <w:spacing w:val="4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9.03.2022</w:t>
      </w:r>
      <w:r>
        <w:rPr>
          <w:spacing w:val="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год,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лет,</w:t>
      </w:r>
      <w:r>
        <w:rPr>
          <w:spacing w:val="2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площадь</w:t>
      </w:r>
      <w:r>
        <w:rPr>
          <w:spacing w:val="2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0,6202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га.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Категория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земель:</w:t>
      </w:r>
      <w:r>
        <w:rPr>
          <w:spacing w:val="2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населенных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пунктов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(городов,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поселков).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Целевое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назначение: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очистки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озера</w:t>
      </w:r>
      <w:r>
        <w:rPr>
          <w:spacing w:val="85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Копа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иловых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отложений.</w:t>
      </w:r>
    </w:p>
    <w:p w:rsidR="00B446AD" w:rsidRDefault="00B446AD" w:rsidP="00B446AD">
      <w:pPr>
        <w:pStyle w:val="a3"/>
        <w:ind w:right="-1" w:firstLine="70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Номер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земельного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участка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01-174-020-105,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участок</w:t>
      </w:r>
      <w:r>
        <w:rPr>
          <w:spacing w:val="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Акмолинской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области,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город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Кокшетау,</w:t>
      </w:r>
      <w:r>
        <w:rPr>
          <w:spacing w:val="5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микрорайон</w:t>
      </w:r>
      <w:r>
        <w:rPr>
          <w:spacing w:val="53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Сарыарка</w:t>
      </w:r>
      <w:proofErr w:type="spellEnd"/>
      <w:r>
        <w:rPr>
          <w:sz w:val="26"/>
          <w:szCs w:val="26"/>
        </w:rPr>
        <w:t>.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Дата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получения</w:t>
      </w:r>
      <w:r>
        <w:rPr>
          <w:spacing w:val="42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9.03.2022</w:t>
      </w:r>
      <w:r>
        <w:rPr>
          <w:spacing w:val="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год,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лет,</w:t>
      </w:r>
      <w:r>
        <w:rPr>
          <w:spacing w:val="1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площадь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участка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11,7187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га.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Категория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земель:</w:t>
      </w:r>
      <w:r>
        <w:rPr>
          <w:spacing w:val="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земли</w:t>
      </w:r>
      <w:r>
        <w:rPr>
          <w:spacing w:val="4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населенных</w:t>
      </w:r>
      <w:r>
        <w:rPr>
          <w:spacing w:val="3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пунктов</w:t>
      </w:r>
      <w:r>
        <w:rPr>
          <w:spacing w:val="3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(городов,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поселков).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Целевое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назначение: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очистки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озера</w:t>
      </w:r>
      <w:r>
        <w:rPr>
          <w:spacing w:val="78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Копа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иловых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отложений.</w:t>
      </w:r>
    </w:p>
    <w:p w:rsidR="00B446AD" w:rsidRDefault="00B446AD" w:rsidP="00B446AD">
      <w:pPr>
        <w:pStyle w:val="a3"/>
        <w:ind w:right="-1"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Координаты земельных участков под карты намыва:</w:t>
      </w:r>
    </w:p>
    <w:tbl>
      <w:tblPr>
        <w:tblW w:w="4460" w:type="dxa"/>
        <w:jc w:val="center"/>
        <w:tblInd w:w="93" w:type="dxa"/>
        <w:tblLook w:val="04A0" w:firstRow="1" w:lastRow="0" w:firstColumn="1" w:lastColumn="0" w:noHBand="0" w:noVBand="1"/>
      </w:tblPr>
      <w:tblGrid>
        <w:gridCol w:w="476"/>
        <w:gridCol w:w="1992"/>
        <w:gridCol w:w="1992"/>
      </w:tblGrid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rPr>
                <w:rFonts w:cs="Times New Roman"/>
              </w:rPr>
            </w:pP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широта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долгота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460" w:type="dxa"/>
            <w:gridSpan w:val="3"/>
            <w:noWrap/>
            <w:vAlign w:val="bottom"/>
            <w:hideMark/>
          </w:tcPr>
          <w:p w:rsidR="00B446AD" w:rsidRDefault="00B446A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Карта 1, 2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53°20'23.48053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69°20'00.723332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53°20'31.045362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69°20'43.166605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53°20'21.340605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69°20'58.882672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53°20'19.635155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69°21'01.644203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53°20'01.261507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69°20'36.101049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53°20'01.290872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69°20'11.762798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53°20'11.994011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69°20'06.438344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460" w:type="dxa"/>
            <w:gridSpan w:val="3"/>
            <w:noWrap/>
            <w:vAlign w:val="bottom"/>
            <w:hideMark/>
          </w:tcPr>
          <w:p w:rsidR="00B446AD" w:rsidRDefault="00B446A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Карта3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53°20'10.928418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69°19'23.974384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53°20'16.393433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69°19'52.261119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53°19'58.538761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69°20'01.887139</w:t>
            </w:r>
          </w:p>
        </w:tc>
      </w:tr>
      <w:tr w:rsidR="00B446AD" w:rsidTr="00B446AD">
        <w:trPr>
          <w:trHeight w:val="276"/>
          <w:jc w:val="center"/>
        </w:trPr>
        <w:tc>
          <w:tcPr>
            <w:tcW w:w="476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53°19'53.074371</w:t>
            </w:r>
          </w:p>
        </w:tc>
        <w:tc>
          <w:tcPr>
            <w:tcW w:w="1992" w:type="dxa"/>
            <w:noWrap/>
            <w:vAlign w:val="bottom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69°19'33.603348</w:t>
            </w:r>
          </w:p>
        </w:tc>
      </w:tr>
    </w:tbl>
    <w:p w:rsidR="00B446AD" w:rsidRDefault="00B446AD" w:rsidP="00B446AD">
      <w:pPr>
        <w:pStyle w:val="a3"/>
        <w:ind w:firstLine="70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Город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Кокшетау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административный,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промышленный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культурный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центр</w:t>
      </w:r>
      <w:r>
        <w:rPr>
          <w:spacing w:val="37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Акмолинской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области.</w:t>
      </w:r>
      <w:r>
        <w:rPr>
          <w:spacing w:val="43"/>
          <w:sz w:val="26"/>
          <w:szCs w:val="26"/>
        </w:rPr>
        <w:t xml:space="preserve"> </w:t>
      </w:r>
    </w:p>
    <w:p w:rsidR="00B446AD" w:rsidRDefault="00B446AD" w:rsidP="00B446AD">
      <w:pPr>
        <w:pStyle w:val="a3"/>
        <w:ind w:firstLine="70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Город</w:t>
      </w:r>
      <w:r>
        <w:rPr>
          <w:spacing w:val="2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расположен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берегу</w:t>
      </w:r>
      <w:r>
        <w:rPr>
          <w:spacing w:val="3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озера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Копа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севере</w:t>
      </w:r>
      <w:r>
        <w:rPr>
          <w:spacing w:val="32"/>
          <w:sz w:val="26"/>
          <w:szCs w:val="26"/>
        </w:rPr>
        <w:t xml:space="preserve"> </w:t>
      </w:r>
      <w:proofErr w:type="spellStart"/>
      <w:r>
        <w:rPr>
          <w:spacing w:val="-1"/>
          <w:sz w:val="26"/>
          <w:szCs w:val="26"/>
        </w:rPr>
        <w:t>Кокшетауской</w:t>
      </w:r>
      <w:proofErr w:type="spellEnd"/>
      <w:r>
        <w:rPr>
          <w:spacing w:val="59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возвышенности,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предгорья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окружают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город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юга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востока</w:t>
      </w:r>
      <w:r>
        <w:rPr>
          <w:spacing w:val="-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(рис.1.1.1).</w:t>
      </w:r>
    </w:p>
    <w:p w:rsidR="00B446AD" w:rsidRDefault="00B446AD" w:rsidP="00B446AD">
      <w:pPr>
        <w:tabs>
          <w:tab w:val="left" w:pos="1134"/>
        </w:tabs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1040" cy="4866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48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AD" w:rsidRDefault="00B446AD" w:rsidP="00B446A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B446AD" w:rsidRDefault="00B446AD" w:rsidP="00B446AD">
      <w:pPr>
        <w:spacing w:after="0" w:line="240" w:lineRule="auto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Рис. 23. 1.1.</w:t>
      </w:r>
      <w:r>
        <w:rPr>
          <w:rFonts w:ascii="Times New Roman" w:hAnsi="Times New Roman" w:cs="Times New Roman"/>
          <w:sz w:val="26"/>
          <w:szCs w:val="26"/>
        </w:rPr>
        <w:t xml:space="preserve"> Ситуационный план расположения намечаемой деятельности</w:t>
      </w:r>
    </w:p>
    <w:p w:rsidR="00B446AD" w:rsidRDefault="00B446AD" w:rsidP="00B446AD">
      <w:pPr>
        <w:pStyle w:val="Default"/>
        <w:jc w:val="center"/>
        <w:rPr>
          <w:b/>
          <w:color w:val="auto"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отходов:</w:t>
      </w:r>
    </w:p>
    <w:p w:rsidR="00B446AD" w:rsidRDefault="00B446AD" w:rsidP="00B446AD">
      <w:pPr>
        <w:pStyle w:val="1"/>
        <w:spacing w:before="0"/>
        <w:ind w:right="-2" w:firstLine="709"/>
        <w:jc w:val="both"/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Численность</w:t>
      </w:r>
      <w:r>
        <w:rPr>
          <w:rFonts w:ascii="Times New Roman" w:hAnsi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населения</w:t>
      </w:r>
      <w:r>
        <w:rPr>
          <w:rFonts w:ascii="Times New Roman" w:hAnsi="Times New Roman"/>
          <w:spacing w:val="39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г.</w:t>
      </w:r>
      <w:r>
        <w:rPr>
          <w:rFonts w:ascii="Times New Roman" w:hAnsi="Times New Roman"/>
          <w:spacing w:val="35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Кокшетау</w:t>
      </w:r>
      <w:r>
        <w:rPr>
          <w:rFonts w:ascii="Times New Roman" w:hAnsi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pacing w:val="38"/>
          <w:sz w:val="26"/>
          <w:szCs w:val="26"/>
        </w:rPr>
        <w:t xml:space="preserve"> </w:t>
      </w:r>
      <w:r>
        <w:rPr>
          <w:rFonts w:ascii="Times New Roman" w:hAnsi="Times New Roman"/>
          <w:spacing w:val="-1"/>
          <w:sz w:val="26"/>
          <w:szCs w:val="26"/>
        </w:rPr>
        <w:t>состоянию</w:t>
      </w:r>
      <w:r>
        <w:rPr>
          <w:rFonts w:ascii="Times New Roman" w:hAnsi="Times New Roman"/>
          <w:spacing w:val="37"/>
          <w:sz w:val="26"/>
          <w:szCs w:val="26"/>
        </w:rPr>
        <w:t xml:space="preserve"> </w:t>
      </w:r>
      <w:r>
        <w:rPr>
          <w:rFonts w:ascii="Times New Roman" w:hAnsi="Times New Roman"/>
          <w:color w:val="0A0A0A"/>
          <w:sz w:val="26"/>
          <w:szCs w:val="26"/>
          <w:shd w:val="clear" w:color="auto" w:fill="FFFFFF"/>
        </w:rPr>
        <w:t xml:space="preserve"> в начале 2024 года </w:t>
      </w:r>
      <w:r>
        <w:rPr>
          <w:rFonts w:ascii="Times New Roman" w:hAnsi="Times New Roman"/>
          <w:sz w:val="26"/>
          <w:szCs w:val="26"/>
        </w:rPr>
        <w:t>составило</w:t>
      </w:r>
      <w:r>
        <w:rPr>
          <w:rFonts w:ascii="Times New Roman" w:hAnsi="Times New Roman"/>
          <w:color w:val="0A0A0A"/>
          <w:sz w:val="26"/>
          <w:szCs w:val="26"/>
          <w:shd w:val="clear" w:color="auto" w:fill="FFFFFF"/>
        </w:rPr>
        <w:t> 179 514 человек</w:t>
      </w:r>
      <w:r>
        <w:rPr>
          <w:rFonts w:ascii="Times New Roman" w:hAnsi="Times New Roman"/>
          <w:spacing w:val="22"/>
          <w:w w:val="99"/>
          <w:sz w:val="26"/>
          <w:szCs w:val="26"/>
        </w:rPr>
        <w:t xml:space="preserve"> 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Ближайшая жилая зона от карт намыва разработанного грунта находится на расстоянии 2000 м и от участков работ по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очитске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озера на расстоянии 150-180 м. (Приложение 3)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участки, на которых могут быть обнаружены выбросы, сбросы и иные негативные воздействия, кроме участка намечаемой деятельности не предвидятся.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Проектом извлечения природных ресурсов и захоронения отходов не предусматривается.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Наименование инициатора намечаемой деятельности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ГУ</w:t>
      </w:r>
      <w:r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«Управление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1"/>
          <w:sz w:val="26"/>
          <w:szCs w:val="26"/>
        </w:rPr>
        <w:t>природных</w:t>
      </w:r>
      <w:r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ресурсов</w:t>
      </w:r>
      <w:r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регулирования</w:t>
      </w:r>
      <w:r>
        <w:rPr>
          <w:rFonts w:ascii="Times New Roman" w:hAnsi="Times New Roman" w:cs="Times New Roman"/>
          <w:spacing w:val="35"/>
          <w:w w:val="9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приро</w:t>
      </w:r>
      <w:r>
        <w:rPr>
          <w:rFonts w:ascii="Times New Roman" w:hAnsi="Times New Roman" w:cs="Times New Roman"/>
          <w:spacing w:val="-3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опол</w:t>
      </w:r>
      <w:r>
        <w:rPr>
          <w:rFonts w:ascii="Times New Roman" w:hAnsi="Times New Roman" w:cs="Times New Roman"/>
          <w:spacing w:val="1"/>
          <w:sz w:val="26"/>
          <w:szCs w:val="26"/>
        </w:rPr>
        <w:t>ь</w:t>
      </w:r>
      <w:r>
        <w:rPr>
          <w:rFonts w:ascii="Times New Roman" w:hAnsi="Times New Roman" w:cs="Times New Roman"/>
          <w:spacing w:val="-2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pacing w:val="2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ан</w:t>
      </w:r>
      <w:r>
        <w:rPr>
          <w:rFonts w:ascii="Times New Roman" w:hAnsi="Times New Roman" w:cs="Times New Roman"/>
          <w:spacing w:val="1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я А</w:t>
      </w:r>
      <w:r>
        <w:rPr>
          <w:rFonts w:ascii="Times New Roman" w:hAnsi="Times New Roman" w:cs="Times New Roman"/>
          <w:spacing w:val="-2"/>
          <w:sz w:val="26"/>
          <w:szCs w:val="26"/>
        </w:rPr>
        <w:t>к</w:t>
      </w:r>
      <w:r>
        <w:rPr>
          <w:rFonts w:ascii="Times New Roman" w:hAnsi="Times New Roman" w:cs="Times New Roman"/>
          <w:spacing w:val="-1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олинской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4"/>
          <w:sz w:val="26"/>
          <w:szCs w:val="26"/>
        </w:rPr>
        <w:t>о</w:t>
      </w:r>
      <w:r>
        <w:rPr>
          <w:rFonts w:ascii="Times New Roman" w:hAnsi="Times New Roman" w:cs="Times New Roman"/>
          <w:spacing w:val="-3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лас</w:t>
      </w:r>
      <w:r>
        <w:rPr>
          <w:rFonts w:ascii="Times New Roman" w:hAnsi="Times New Roman" w:cs="Times New Roman"/>
          <w:spacing w:val="2"/>
          <w:sz w:val="26"/>
          <w:szCs w:val="26"/>
        </w:rPr>
        <w:t>т</w:t>
      </w:r>
      <w:r>
        <w:rPr>
          <w:rFonts w:ascii="Times New Roman" w:hAnsi="Times New Roman" w:cs="Times New Roman"/>
          <w:spacing w:val="5"/>
          <w:sz w:val="26"/>
          <w:szCs w:val="26"/>
        </w:rPr>
        <w:t>и»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4. Краткое описание намечаемой деятельности</w:t>
      </w:r>
    </w:p>
    <w:p w:rsidR="00B446AD" w:rsidRDefault="00B446AD" w:rsidP="00B44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Последовательная технология производства работ. 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Организационно-техническая подготовка и подготовительные работы, в том числе геодезическая разбивка участка работ;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Снятие растительного грунта скреперами.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Разработка грунта с формированием канавы, экскаватором для устройства обвалования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Формирование карт намыва.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Формирования приемного зумпфа для откачки воды.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Устройство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колодцев водосбросных металлических 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7. Монтаж 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 последствии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демонтаж плиты днища из монолитного железобетона 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Укладка и разборка трубопровода для слива воды Ø530х12.</w:t>
      </w:r>
    </w:p>
    <w:p w:rsidR="00B446AD" w:rsidRDefault="00B446AD" w:rsidP="00B446A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9. Расчистка, разработка дна озера землесосным снарядом производительностью 80 м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6"/>
          <w:szCs w:val="26"/>
        </w:rPr>
        <w:t>/ч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каждом перемещении между картами намыва производится перевозка укладка стального трубопровода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Перевозка резинотканевого пульпопровода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Работы на картах намыва и отвалах грунта.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Планировка сухого остатка в картах по завершению дноуглубительных работ,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Планировка отвалов, бульдозером 96 (130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л.с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.) кВт.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Разравнивание по площади карт части обвалования, выступающей над уровнем сухого остатка грунта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Возврат ПРС из буртов по завершению дноуглубительных работ на расстоянии до 1 км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крепером.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Планировка бульдозером 96кВт (130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л.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.)</w:t>
      </w:r>
    </w:p>
    <w:p w:rsidR="00B446AD" w:rsidRDefault="00B446AD" w:rsidP="00B446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Расчистка озера от камыша, рогоза и тростника.</w:t>
      </w:r>
    </w:p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Проектом предусмотрена расчистка озера Копа от растительности. Площадь посчитана в пределах расчистки от донных отложений и не затрагивает северную пребрежную часть озера.</w:t>
      </w:r>
    </w:p>
    <w:p w:rsidR="00B446AD" w:rsidRDefault="00B446AD" w:rsidP="00B446AD">
      <w:pPr>
        <w:pStyle w:val="Style232"/>
        <w:widowControl/>
        <w:spacing w:line="240" w:lineRule="auto"/>
        <w:ind w:firstLine="0"/>
        <w:jc w:val="center"/>
        <w:rPr>
          <w:rStyle w:val="FontStyle270"/>
          <w:rFonts w:ascii="Times New Roman" w:hAnsi="Times New Roman"/>
          <w:sz w:val="26"/>
          <w:szCs w:val="26"/>
        </w:rPr>
      </w:pPr>
      <w:r>
        <w:rPr>
          <w:rStyle w:val="FontStyle270"/>
          <w:rFonts w:ascii="Times New Roman" w:hAnsi="Times New Roman"/>
          <w:sz w:val="26"/>
          <w:szCs w:val="26"/>
        </w:rPr>
        <w:t>Основные технико-экономические показатели строительства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"/>
        <w:gridCol w:w="5094"/>
        <w:gridCol w:w="4075"/>
      </w:tblGrid>
      <w:tr w:rsidR="00B446AD" w:rsidTr="00B446AD">
        <w:trPr>
          <w:trHeight w:val="567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yellow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 w:eastAsia="en-US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 w:eastAsia="en-US"/>
              </w:rPr>
              <w:t>показателя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2026/2028 г.</w:t>
            </w:r>
          </w:p>
        </w:tc>
      </w:tr>
      <w:tr w:rsidR="00B446AD" w:rsidTr="00B446AD">
        <w:trPr>
          <w:trHeight w:val="454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D" w:rsidRDefault="00B446AD" w:rsidP="00B446AD">
            <w:pPr>
              <w:pStyle w:val="1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Распределение строительно-монтажных работ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 %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24/40/36</w:t>
            </w:r>
          </w:p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ar-SA"/>
              </w:rPr>
            </w:pPr>
          </w:p>
        </w:tc>
      </w:tr>
      <w:tr w:rsidR="00B446AD" w:rsidTr="00B446AD">
        <w:trPr>
          <w:trHeight w:val="454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D" w:rsidRDefault="00B446AD" w:rsidP="00B446AD">
            <w:pPr>
              <w:pStyle w:val="1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Продолжительность строительства по проекту, мес.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20</w:t>
            </w:r>
          </w:p>
        </w:tc>
      </w:tr>
      <w:tr w:rsidR="00B446AD" w:rsidTr="00B446AD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В том числе подготовительный период,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мес</w:t>
            </w:r>
            <w:proofErr w:type="spellEnd"/>
            <w:proofErr w:type="gramEnd"/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3 месяца</w:t>
            </w:r>
          </w:p>
        </w:tc>
      </w:tr>
      <w:tr w:rsidR="00B446AD" w:rsidTr="00B446AD">
        <w:trPr>
          <w:trHeight w:val="454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D" w:rsidRDefault="00B446AD" w:rsidP="00B446AD">
            <w:pPr>
              <w:pStyle w:val="1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Нормативная трудоемкость,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6"/>
                <w:szCs w:val="2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6"/>
                <w:szCs w:val="26"/>
              </w:rPr>
              <w:t>1 356 466,92</w:t>
            </w:r>
          </w:p>
        </w:tc>
      </w:tr>
      <w:tr w:rsidR="00B446AD" w:rsidTr="00B446AD">
        <w:trPr>
          <w:trHeight w:val="454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D" w:rsidRDefault="00B446AD" w:rsidP="00B446AD">
            <w:pPr>
              <w:pStyle w:val="1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Максимальная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работающих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чел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110</w:t>
            </w:r>
          </w:p>
        </w:tc>
      </w:tr>
      <w:tr w:rsidR="00B446AD" w:rsidTr="00B446AD">
        <w:trPr>
          <w:trHeight w:val="454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D" w:rsidRDefault="00B446AD" w:rsidP="00B446AD">
            <w:pPr>
              <w:pStyle w:val="1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pStyle w:val="11"/>
              <w:widowControl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объем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очистительных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en-US"/>
              </w:rPr>
              <w:t>работ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6AD" w:rsidRDefault="00B446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4002887,83 м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</w:tbl>
    <w:p w:rsidR="00B446AD" w:rsidRDefault="00B446AD" w:rsidP="00B446AD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5.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объекты: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проведения работ в окружающий атмосферный воздух будут поступать, в основном, следующие загрязняющие вещества: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железо (II, III) оксиды, марганец и его соединения, азота (IV) диоксид, азот (II) оксид, углерод (сажа), сера диоксид, углерод оксид, фтористые газообразные соединения,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бен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пирен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формальдегид,  керосин, углеводороды предельные С12-С19, взвешенные частицы, пыль неорганическая SiO2 70-20%, пыль абразивная.</w:t>
      </w:r>
    </w:p>
    <w:p w:rsidR="00B446AD" w:rsidRDefault="00B446AD" w:rsidP="00B446AD">
      <w:pPr>
        <w:spacing w:after="0" w:line="240" w:lineRule="auto"/>
        <w:ind w:firstLine="709"/>
        <w:jc w:val="both"/>
        <w:rPr>
          <w:rFonts w:ascii="Times New Roman" w:eastAsia="ArialMT" w:hAnsi="Times New Roman" w:cs="Times New Roman"/>
          <w:sz w:val="26"/>
          <w:szCs w:val="26"/>
        </w:rPr>
      </w:pPr>
      <w:r>
        <w:rPr>
          <w:rFonts w:ascii="Times New Roman" w:eastAsia="ArialMT" w:hAnsi="Times New Roman" w:cs="Times New Roman"/>
          <w:sz w:val="26"/>
          <w:szCs w:val="26"/>
        </w:rPr>
        <w:t xml:space="preserve">Валовый выброс ЗВ </w:t>
      </w:r>
      <w:r>
        <w:rPr>
          <w:rFonts w:ascii="Times New Roman" w:eastAsia="SymbolMT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b/>
          <w:bCs/>
          <w:sz w:val="26"/>
          <w:szCs w:val="26"/>
        </w:rPr>
        <w:t>13,12210301</w:t>
      </w:r>
      <w:r>
        <w:rPr>
          <w:rFonts w:ascii="Times New Roman" w:eastAsia="SymbolMT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ArialMT" w:hAnsi="Times New Roman" w:cs="Times New Roman"/>
          <w:b/>
          <w:sz w:val="26"/>
          <w:szCs w:val="26"/>
        </w:rPr>
        <w:t>т/год.</w:t>
      </w:r>
      <w:r>
        <w:rPr>
          <w:rFonts w:ascii="Times New Roman" w:eastAsia="ArialMT" w:hAnsi="Times New Roman" w:cs="Times New Roman"/>
          <w:sz w:val="26"/>
          <w:szCs w:val="26"/>
        </w:rPr>
        <w:t xml:space="preserve">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MT" w:hAnsi="Times New Roman" w:cs="Times New Roman"/>
          <w:sz w:val="26"/>
          <w:szCs w:val="26"/>
        </w:rPr>
      </w:pPr>
      <w:r>
        <w:rPr>
          <w:rFonts w:ascii="Times New Roman" w:eastAsia="ArialMT" w:hAnsi="Times New Roman" w:cs="Times New Roman"/>
          <w:sz w:val="26"/>
          <w:szCs w:val="26"/>
        </w:rPr>
        <w:t>Валовый выброс от автотранспорта не учитывается, выбросы оплачиваются по фактическому объёму сожженного топлива, максимально-разовый выброс же включён в расчёт рассевания, чтобы оценить воздействие объекта в целом на ОС.</w:t>
      </w:r>
    </w:p>
    <w:p w:rsidR="00B446AD" w:rsidRDefault="00B446AD" w:rsidP="00B446AD">
      <w:pPr>
        <w:pStyle w:val="Default"/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>Сбросы загрязняющих веществ в поверхностные и подземные водные объекты, недра или на земную поверхность не предусмотрены.</w:t>
      </w:r>
    </w:p>
    <w:p w:rsidR="00B446AD" w:rsidRDefault="00B446AD" w:rsidP="00B446AD">
      <w:pPr>
        <w:pStyle w:val="a3"/>
        <w:spacing w:before="3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результате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намечаемой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будут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образовываться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следующие</w:t>
      </w:r>
      <w:r>
        <w:rPr>
          <w:spacing w:val="26"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отходы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(период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строительства):</w:t>
      </w:r>
    </w:p>
    <w:p w:rsidR="00B446AD" w:rsidRDefault="00B446AD" w:rsidP="00B446AD">
      <w:pPr>
        <w:pStyle w:val="a3"/>
        <w:widowControl w:val="0"/>
        <w:numPr>
          <w:ilvl w:val="0"/>
          <w:numId w:val="5"/>
        </w:numPr>
        <w:tabs>
          <w:tab w:val="left" w:pos="1057"/>
        </w:tabs>
        <w:spacing w:line="322" w:lineRule="exact"/>
        <w:ind w:left="0" w:right="-2" w:firstLine="709"/>
        <w:jc w:val="left"/>
        <w:rPr>
          <w:sz w:val="26"/>
          <w:szCs w:val="26"/>
          <w:lang w:val="en-US"/>
        </w:rPr>
      </w:pPr>
      <w:r>
        <w:rPr>
          <w:spacing w:val="-1"/>
          <w:sz w:val="26"/>
          <w:szCs w:val="26"/>
        </w:rPr>
        <w:t>отходы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сварки;</w:t>
      </w:r>
    </w:p>
    <w:p w:rsidR="00B446AD" w:rsidRDefault="00B446AD" w:rsidP="00B446AD">
      <w:pPr>
        <w:pStyle w:val="a3"/>
        <w:widowControl w:val="0"/>
        <w:numPr>
          <w:ilvl w:val="0"/>
          <w:numId w:val="5"/>
        </w:numPr>
        <w:tabs>
          <w:tab w:val="left" w:pos="1057"/>
        </w:tabs>
        <w:spacing w:line="324" w:lineRule="exact"/>
        <w:ind w:left="0" w:right="-2" w:firstLine="709"/>
        <w:jc w:val="left"/>
        <w:rPr>
          <w:sz w:val="26"/>
          <w:szCs w:val="26"/>
        </w:rPr>
      </w:pPr>
      <w:r>
        <w:rPr>
          <w:sz w:val="26"/>
          <w:szCs w:val="26"/>
        </w:rPr>
        <w:t>растительные</w:t>
      </w:r>
      <w:r>
        <w:rPr>
          <w:spacing w:val="-2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отходы;</w:t>
      </w:r>
    </w:p>
    <w:p w:rsidR="00B446AD" w:rsidRDefault="00B446AD" w:rsidP="00B446AD">
      <w:pPr>
        <w:pStyle w:val="a3"/>
        <w:widowControl w:val="0"/>
        <w:numPr>
          <w:ilvl w:val="0"/>
          <w:numId w:val="5"/>
        </w:numPr>
        <w:tabs>
          <w:tab w:val="left" w:pos="1057"/>
        </w:tabs>
        <w:spacing w:line="322" w:lineRule="exact"/>
        <w:ind w:left="0" w:right="-2" w:firstLine="709"/>
        <w:jc w:val="left"/>
        <w:rPr>
          <w:sz w:val="26"/>
          <w:szCs w:val="26"/>
        </w:rPr>
      </w:pPr>
      <w:r>
        <w:rPr>
          <w:sz w:val="26"/>
          <w:szCs w:val="26"/>
        </w:rPr>
        <w:t>промасленная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ветошь,</w:t>
      </w:r>
    </w:p>
    <w:p w:rsidR="00B446AD" w:rsidRDefault="00B446AD" w:rsidP="00B446AD">
      <w:pPr>
        <w:pStyle w:val="a3"/>
        <w:widowControl w:val="0"/>
        <w:numPr>
          <w:ilvl w:val="0"/>
          <w:numId w:val="5"/>
        </w:numPr>
        <w:tabs>
          <w:tab w:val="left" w:pos="1057"/>
        </w:tabs>
        <w:spacing w:line="322" w:lineRule="exact"/>
        <w:ind w:left="0" w:right="-2" w:firstLine="709"/>
        <w:jc w:val="left"/>
        <w:rPr>
          <w:sz w:val="26"/>
          <w:szCs w:val="26"/>
        </w:rPr>
      </w:pPr>
      <w:r>
        <w:rPr>
          <w:spacing w:val="-1"/>
          <w:sz w:val="26"/>
          <w:szCs w:val="26"/>
        </w:rPr>
        <w:t>твердые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бытовые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(коммунальные)</w:t>
      </w:r>
      <w:r>
        <w:rPr>
          <w:spacing w:val="-2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отходы</w:t>
      </w:r>
      <w:r>
        <w:rPr>
          <w:sz w:val="26"/>
          <w:szCs w:val="26"/>
        </w:rPr>
        <w:t xml:space="preserve">. </w:t>
      </w:r>
    </w:p>
    <w:p w:rsidR="00B446AD" w:rsidRDefault="00B446AD" w:rsidP="00B446AD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предельный объем их образования на период строительства составит – </w:t>
      </w:r>
      <w:r>
        <w:rPr>
          <w:b/>
          <w:sz w:val="26"/>
          <w:szCs w:val="26"/>
          <w:lang w:val="kk-KZ"/>
        </w:rPr>
        <w:t>7 761</w:t>
      </w:r>
      <w:r>
        <w:rPr>
          <w:b/>
          <w:sz w:val="26"/>
          <w:szCs w:val="26"/>
        </w:rPr>
        <w:t xml:space="preserve"> т/год</w:t>
      </w:r>
      <w:r>
        <w:rPr>
          <w:sz w:val="26"/>
          <w:szCs w:val="26"/>
        </w:rPr>
        <w:t xml:space="preserve">, в том числе неопасных – </w:t>
      </w:r>
      <w:r>
        <w:rPr>
          <w:b/>
          <w:sz w:val="26"/>
          <w:szCs w:val="26"/>
        </w:rPr>
        <w:t>7 761,865</w:t>
      </w:r>
      <w:r>
        <w:rPr>
          <w:bCs/>
          <w:sz w:val="26"/>
          <w:szCs w:val="26"/>
        </w:rPr>
        <w:t xml:space="preserve">  </w:t>
      </w:r>
      <w:r>
        <w:rPr>
          <w:sz w:val="26"/>
          <w:szCs w:val="26"/>
        </w:rPr>
        <w:t xml:space="preserve">т/год, опасных – </w:t>
      </w:r>
      <w:r>
        <w:rPr>
          <w:b/>
          <w:sz w:val="26"/>
          <w:szCs w:val="26"/>
        </w:rPr>
        <w:t>0,00567</w:t>
      </w:r>
      <w:r>
        <w:rPr>
          <w:sz w:val="26"/>
          <w:szCs w:val="26"/>
        </w:rPr>
        <w:t xml:space="preserve">  т/год</w:t>
      </w:r>
    </w:p>
    <w:p w:rsidR="00B446AD" w:rsidRDefault="00B446AD" w:rsidP="00B446AD">
      <w:pPr>
        <w:pStyle w:val="Default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Общий ущерб, причиненный рыбному хозяйству в результате гибели кормовых для рыб организмов, личинок промысловых рыб, в денежном выражении составляет </w:t>
      </w:r>
      <w:r>
        <w:rPr>
          <w:bCs/>
          <w:sz w:val="26"/>
          <w:szCs w:val="26"/>
        </w:rPr>
        <w:t xml:space="preserve">16 344 096 </w:t>
      </w:r>
      <w:r>
        <w:rPr>
          <w:rFonts w:eastAsia="Times New Roman"/>
          <w:sz w:val="26"/>
          <w:szCs w:val="26"/>
          <w:lang w:eastAsia="ru-RU"/>
        </w:rPr>
        <w:t xml:space="preserve">тенге. 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составе проекта предусмотрены мероприятия по сохранению среды обитания и условий размножения объектов животного мира, путей миграции и мест концентрации животных, а также по обеспечению неприкосновенности участков, представляющих особую ценность в качестве среды обитания диких животных. 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С учетом всех вышеуказанных мер, при условии строгого их соблюдения, воздействие на флору и фауну ожидается незначительное.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процессе реализации предусмотренных решений, воздействие на земельные ресурсы и почвы выразится в виде: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снятия, перемещения, хранения и использования плодородного слоя почвы при рекультивации нарушенных земель;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осуществления выработок малого сечения (скважин, канав);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изменения статистических нагрузок на грунты основания;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образования отходов, которые могут стать источником загрязнения почв.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Учитывая, что намечаемая деятельность заключается в проведении строительных работ, непосредственного воздействия на недра оказываться не будет.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Тепловое, электромагнитное воздействия исключены. Уровень шума будет наблюдаться непосредственно на участке проведения работ, а за пределами он не превысит допустимых показателей для работающего персонала.</w:t>
      </w:r>
    </w:p>
    <w:p w:rsidR="00B446AD" w:rsidRDefault="00B446AD" w:rsidP="00B446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На основании выполненных расчетов, их анализа, а также учитывая принятые технологические решения, негативное воздействие на окружающую среду всех возможных факторов, способных возникнуть в результате осуществления намечаемой деятельности, будет ограничено территорией проведения строительных работ и не выйдет за ее пределы. </w:t>
      </w:r>
    </w:p>
    <w:p w:rsidR="00B446AD" w:rsidRDefault="00B446AD" w:rsidP="00B446A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x-none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деятельности:</w:t>
      </w:r>
    </w:p>
    <w:p w:rsidR="00B446AD" w:rsidRDefault="00B446AD" w:rsidP="00B44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проведения работ в окружающий атмосферный воздух будут поступать, в основном, следующие загрязняющие вещества: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железо (II, III) оксиды, марганец и его соединения, азота (IV) диоксид, азот (II) оксид, углерод (сажа), сера диоксид, углерод оксид, фтористые газообразные соединения,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бен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пирен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формальдегид,  керосин, углеводороды предельные С12-С19, взвешенные частицы, пыль неорганическая SiO2 70-20%, пыль абразивная.</w:t>
      </w:r>
    </w:p>
    <w:p w:rsidR="00B446AD" w:rsidRDefault="00B446AD" w:rsidP="00B446AD">
      <w:pPr>
        <w:spacing w:after="0" w:line="240" w:lineRule="auto"/>
        <w:ind w:firstLine="709"/>
        <w:jc w:val="both"/>
        <w:rPr>
          <w:rFonts w:ascii="Times New Roman" w:eastAsia="ArialMT" w:hAnsi="Times New Roman" w:cs="Times New Roman"/>
          <w:sz w:val="26"/>
          <w:szCs w:val="26"/>
        </w:rPr>
      </w:pPr>
      <w:r>
        <w:rPr>
          <w:rFonts w:ascii="Times New Roman" w:eastAsia="ArialMT" w:hAnsi="Times New Roman" w:cs="Times New Roman"/>
          <w:sz w:val="26"/>
          <w:szCs w:val="26"/>
        </w:rPr>
        <w:t xml:space="preserve">Валовый выброс ЗВ </w:t>
      </w:r>
      <w:r>
        <w:rPr>
          <w:rFonts w:ascii="Times New Roman" w:eastAsia="SymbolMT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b/>
          <w:bCs/>
          <w:sz w:val="26"/>
          <w:szCs w:val="26"/>
        </w:rPr>
        <w:t>13,12210301</w:t>
      </w:r>
      <w:r>
        <w:rPr>
          <w:rFonts w:ascii="Times New Roman" w:eastAsia="SymbolMT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ArialMT" w:hAnsi="Times New Roman" w:cs="Times New Roman"/>
          <w:b/>
          <w:sz w:val="26"/>
          <w:szCs w:val="26"/>
        </w:rPr>
        <w:t>т/год.</w:t>
      </w:r>
      <w:r>
        <w:rPr>
          <w:rFonts w:ascii="Times New Roman" w:eastAsia="ArialMT" w:hAnsi="Times New Roman" w:cs="Times New Roman"/>
          <w:sz w:val="26"/>
          <w:szCs w:val="26"/>
        </w:rPr>
        <w:t xml:space="preserve">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MT" w:hAnsi="Times New Roman" w:cs="Times New Roman"/>
          <w:sz w:val="26"/>
          <w:szCs w:val="26"/>
        </w:rPr>
      </w:pPr>
      <w:r>
        <w:rPr>
          <w:rFonts w:ascii="Times New Roman" w:eastAsia="ArialMT" w:hAnsi="Times New Roman" w:cs="Times New Roman"/>
          <w:sz w:val="26"/>
          <w:szCs w:val="26"/>
        </w:rPr>
        <w:t>Валовый выброс от автотранспорта не учитывается, выбросы оплачиваются по фактическому объёму сожженного топлива, максимально-разовый выброс же включён в расчёт рассевания, чтобы оценить воздействие объекта в целом на ОС.</w:t>
      </w:r>
    </w:p>
    <w:p w:rsidR="00B446AD" w:rsidRDefault="00B446AD" w:rsidP="00B446AD">
      <w:pPr>
        <w:keepNext/>
        <w:keepLines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x-none"/>
        </w:rPr>
        <w:t>В процессе реконструкции будут образованы следующие виды отходов: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B446AD" w:rsidRDefault="00B446AD" w:rsidP="00B446AD">
      <w:pPr>
        <w:keepNext/>
        <w:keepLines/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</w:p>
    <w:p w:rsidR="00B446AD" w:rsidRDefault="00B446AD" w:rsidP="00B446AD">
      <w:pPr>
        <w:keepNext/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Лимиты накопления отходов, установленные при строительстве</w:t>
      </w:r>
    </w:p>
    <w:tbl>
      <w:tblPr>
        <w:tblW w:w="4888" w:type="pct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8"/>
        <w:gridCol w:w="2979"/>
        <w:gridCol w:w="3000"/>
      </w:tblGrid>
      <w:tr w:rsidR="00B446AD" w:rsidTr="00B446AD">
        <w:trPr>
          <w:trHeight w:val="227"/>
        </w:trPr>
        <w:tc>
          <w:tcPr>
            <w:tcW w:w="18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отходов</w:t>
            </w:r>
          </w:p>
        </w:tc>
        <w:tc>
          <w:tcPr>
            <w:tcW w:w="1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накопленных отходов на существующее положение, тонн/год</w:t>
            </w:r>
          </w:p>
        </w:tc>
        <w:tc>
          <w:tcPr>
            <w:tcW w:w="1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Лимит накопления, тонн/год</w:t>
            </w:r>
          </w:p>
        </w:tc>
      </w:tr>
      <w:tr w:rsidR="00B446AD" w:rsidTr="00B446AD">
        <w:trPr>
          <w:trHeight w:val="227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446AD" w:rsidTr="00B446AD">
        <w:trPr>
          <w:trHeight w:val="227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7 761,87067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7 761,87067</w:t>
            </w:r>
          </w:p>
        </w:tc>
      </w:tr>
      <w:tr w:rsidR="00B446AD" w:rsidTr="00B446AD">
        <w:trPr>
          <w:trHeight w:val="227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т. ч. Отходов производства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7 748,30967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7 748,30967</w:t>
            </w:r>
          </w:p>
        </w:tc>
      </w:tr>
      <w:tr w:rsidR="00B446AD" w:rsidTr="00B446AD">
        <w:trPr>
          <w:trHeight w:val="227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отходов потребления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13,561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13,561</w:t>
            </w:r>
          </w:p>
        </w:tc>
      </w:tr>
      <w:tr w:rsidR="00B446AD" w:rsidTr="00B446AD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AD" w:rsidRDefault="00B4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опасные отходы</w:t>
            </w:r>
          </w:p>
        </w:tc>
      </w:tr>
      <w:tr w:rsidR="00B446AD" w:rsidTr="00B446AD">
        <w:trPr>
          <w:trHeight w:val="227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Твердо-бытовые отходы, 20 03 01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13,561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13,561</w:t>
            </w:r>
          </w:p>
        </w:tc>
      </w:tr>
      <w:tr w:rsidR="00B446AD" w:rsidTr="00B446AD">
        <w:trPr>
          <w:trHeight w:val="265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Огарки сварочных электродов,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12 01 13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0,004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0,004</w:t>
            </w:r>
          </w:p>
        </w:tc>
      </w:tr>
      <w:tr w:rsidR="00B446AD" w:rsidTr="00B446AD">
        <w:trPr>
          <w:trHeight w:val="265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Растительные отходы, 02 01 03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7 748,3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7 748,3</w:t>
            </w:r>
          </w:p>
        </w:tc>
      </w:tr>
      <w:tr w:rsidR="00B446AD" w:rsidTr="00B446AD">
        <w:trPr>
          <w:trHeight w:val="227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Опасные отходы</w:t>
            </w:r>
          </w:p>
        </w:tc>
      </w:tr>
      <w:tr w:rsidR="00B446AD" w:rsidTr="00B446AD">
        <w:trPr>
          <w:trHeight w:val="68"/>
        </w:trPr>
        <w:tc>
          <w:tcPr>
            <w:tcW w:w="1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Промасленная ветошь,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 02 02*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0,00567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AD" w:rsidRDefault="00B44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0,00567</w:t>
            </w:r>
          </w:p>
        </w:tc>
      </w:tr>
    </w:tbl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 Информация: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осуществления:</w:t>
      </w:r>
    </w:p>
    <w:p w:rsidR="00B446AD" w:rsidRDefault="00B446AD" w:rsidP="00B446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Возможные причины возникновения аварийных ситуаций при проведении проектируемых работ условно разделяются на две взаимосвязанные группы:</w:t>
      </w:r>
    </w:p>
    <w:p w:rsidR="00B446AD" w:rsidRDefault="00B446AD" w:rsidP="00B446AD">
      <w:pPr>
        <w:pStyle w:val="Markernew"/>
        <w:tabs>
          <w:tab w:val="left" w:pos="0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отказы оборудования;</w:t>
      </w:r>
    </w:p>
    <w:p w:rsidR="00B446AD" w:rsidRDefault="00B446AD" w:rsidP="00B446AD">
      <w:pPr>
        <w:pStyle w:val="Markernew"/>
        <w:tabs>
          <w:tab w:val="left" w:pos="0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внешние воздействия природного и техногенного характера.</w:t>
      </w:r>
    </w:p>
    <w:p w:rsidR="00B446AD" w:rsidRDefault="00B446AD" w:rsidP="00B446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Опыт эксплуатации подобных объектов показывает, что вероятность возникновения аварий от внешних источников незначительна.</w:t>
      </w:r>
    </w:p>
    <w:p w:rsidR="00B446AD" w:rsidRDefault="00B446AD" w:rsidP="00B446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Причина аварийности из-за ошибочных действий персонала практически полностью связана с неэффективной организацией эксплуатации объектов, недостатками правового обеспечения промышленной безопасности и «человеческим фактором».</w:t>
      </w:r>
    </w:p>
    <w:p w:rsidR="00B446AD" w:rsidRDefault="00B446AD" w:rsidP="00B446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Планируемая деятельность в запланированных объемах и при выполнении проектных технологических требований не должна приводить к возникновению аварийных ситуаций, поэтому не представляет опасности для населения ближайших населенных пунктов и окружающей среды. Однако не исключена возможность их возникновения. Возникновение аварий может привести как к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прямому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так и к косвенному воздействию на окружающую природную среду. Прямой вид воздействий является наиболее опасным по непосредственному влиянию на окружающую среду, который может сопровождаться загрязнением атмосферного воздуха, подземных вод, почвенно-растительного покрова.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Краткое описание: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мер по предотвращению, сокращению, смягчению выявленных существенных воздействий намечаемой деятельности на окружающую среду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Существенных воздействий намечаемой деятельности на окружающую среду не ожидается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мер по компенсации потерь биоразнообразия, если намечаемая деятельность может привести к таким потерям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Потери биоразнообразия от намечаемой деятельности на окружающую среду не ожидается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Возможных необратимых воздействий намечаемой деятельности на окружающую среду не ожидается </w:t>
      </w:r>
    </w:p>
    <w:p w:rsidR="00B446AD" w:rsidRDefault="00B446AD" w:rsidP="00B446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способов и мер восстановления окружающей среды в случаях прекращения намечаемой деятельности </w:t>
      </w:r>
    </w:p>
    <w:p w:rsidR="00B446AD" w:rsidRDefault="00B446AD" w:rsidP="00B446A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Необратимого техногенного изменения окружающей среды не ожидается</w:t>
      </w:r>
    </w:p>
    <w:p w:rsidR="00B446AD" w:rsidRDefault="00B446AD" w:rsidP="00B446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 Список источников информации, полученной в ходе выполнения оценки воздействия на окружающую среду:</w:t>
      </w:r>
    </w:p>
    <w:p w:rsidR="00B446AD" w:rsidRDefault="00B446AD" w:rsidP="00B446AD">
      <w:pPr>
        <w:shd w:val="clear" w:color="auto" w:fill="FFFFFF"/>
        <w:tabs>
          <w:tab w:val="left" w:pos="180"/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Законодательные рамки экологической оценки</w:t>
      </w:r>
    </w:p>
    <w:p w:rsidR="00B446AD" w:rsidRDefault="00B446AD" w:rsidP="00B446AD">
      <w:pPr>
        <w:shd w:val="clear" w:color="auto" w:fill="FFFFFF"/>
        <w:tabs>
          <w:tab w:val="left" w:pos="180"/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Намечаемая деятельность осуществляется на территории Республики Казахстан, поэтому его экологическая оценка выполнена в соответствии с требованиями Экологического законодательства Республики Казахстан и других законов, имеющих отношение к проекту.</w:t>
      </w:r>
    </w:p>
    <w:p w:rsidR="00B446AD" w:rsidRDefault="00B446AD" w:rsidP="00B446AD">
      <w:pPr>
        <w:shd w:val="clear" w:color="auto" w:fill="FFFFFF"/>
        <w:tabs>
          <w:tab w:val="left" w:pos="180"/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Экологическое законодательство РК основывается на Конституции Республики Казахстан и состоит из Экологического Кодекса, 2021г. (далее </w:t>
      </w:r>
      <w:proofErr w:type="gramStart"/>
      <w:r>
        <w:rPr>
          <w:rFonts w:ascii="Times New Roman" w:hAnsi="Times New Roman" w:cs="Times New Roman"/>
          <w:sz w:val="26"/>
          <w:szCs w:val="26"/>
        </w:rPr>
        <w:t>ЭК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РК) и иных нормативных правовых актов Республики Казахстан.</w:t>
      </w:r>
    </w:p>
    <w:p w:rsidR="00B446AD" w:rsidRDefault="00B446AD" w:rsidP="00B446AD">
      <w:pPr>
        <w:shd w:val="clear" w:color="auto" w:fill="FFFFFF"/>
        <w:tabs>
          <w:tab w:val="left" w:pos="180"/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Оценка воздействия на окружающую среду (ОВОС), согласно </w:t>
      </w:r>
      <w:proofErr w:type="gramStart"/>
      <w:r>
        <w:rPr>
          <w:rFonts w:ascii="Times New Roman" w:hAnsi="Times New Roman" w:cs="Times New Roman"/>
          <w:sz w:val="26"/>
          <w:szCs w:val="26"/>
        </w:rPr>
        <w:t>ЭК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РК – обязательная процедура для намечаемой деятельности, в рамках которой оцениваются возможные последствия хозяйственной и иной деятельности для окружающей среды и здоровья человека, разрабатываются меры по предотвращению неблагоприятных последствий, оздоровлению окружающей среды с учетом требований экологического законодательства Республики Казахстан.</w:t>
      </w:r>
    </w:p>
    <w:p w:rsidR="00B446AD" w:rsidRDefault="00B446AD" w:rsidP="00B446AD">
      <w:pPr>
        <w:shd w:val="clear" w:color="auto" w:fill="FFFFFF"/>
        <w:tabs>
          <w:tab w:val="left" w:pos="180"/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Методическая основа проведения ОВОС.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предпроектной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проектной документации определяет </w:t>
      </w:r>
      <w:r>
        <w:rPr>
          <w:rFonts w:ascii="Times New Roman" w:hAnsi="Times New Roman" w:cs="Times New Roman"/>
          <w:sz w:val="26"/>
          <w:szCs w:val="26"/>
        </w:rPr>
        <w:lastRenderedPageBreak/>
        <w:t>«Инструкции по организации и проведению экологической оценки», утвержденная Приказом Министра экологии, геологии и природных ресурсов РК от 30 июля 2021 года №280.</w:t>
      </w:r>
      <w:proofErr w:type="gramEnd"/>
    </w:p>
    <w:p w:rsidR="004B4F0E" w:rsidRDefault="004B4F0E" w:rsidP="00B446AD">
      <w:pPr>
        <w:spacing w:after="0" w:line="240" w:lineRule="auto"/>
        <w:ind w:firstLine="720"/>
        <w:jc w:val="both"/>
      </w:pPr>
    </w:p>
    <w:sectPr w:rsidR="004B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charset w:val="80"/>
    <w:family w:val="swiss"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7DF7"/>
    <w:multiLevelType w:val="hybridMultilevel"/>
    <w:tmpl w:val="7ACC644C"/>
    <w:lvl w:ilvl="0" w:tplc="2BD02EDE">
      <w:start w:val="1"/>
      <w:numFmt w:val="bullet"/>
      <w:lvlText w:val=""/>
      <w:lvlJc w:val="left"/>
      <w:pPr>
        <w:ind w:left="1057" w:hanging="279"/>
      </w:pPr>
      <w:rPr>
        <w:rFonts w:ascii="Symbol" w:eastAsia="Symbol" w:hAnsi="Symbol" w:hint="default"/>
        <w:w w:val="99"/>
        <w:sz w:val="28"/>
        <w:szCs w:val="28"/>
      </w:rPr>
    </w:lvl>
    <w:lvl w:ilvl="1" w:tplc="44D4CBDE">
      <w:start w:val="1"/>
      <w:numFmt w:val="bullet"/>
      <w:lvlText w:val="•"/>
      <w:lvlJc w:val="left"/>
      <w:pPr>
        <w:ind w:left="1973" w:hanging="279"/>
      </w:pPr>
    </w:lvl>
    <w:lvl w:ilvl="2" w:tplc="AF5CD03A">
      <w:start w:val="1"/>
      <w:numFmt w:val="bullet"/>
      <w:lvlText w:val="•"/>
      <w:lvlJc w:val="left"/>
      <w:pPr>
        <w:ind w:left="2890" w:hanging="279"/>
      </w:pPr>
    </w:lvl>
    <w:lvl w:ilvl="3" w:tplc="D47AC3D8">
      <w:start w:val="1"/>
      <w:numFmt w:val="bullet"/>
      <w:lvlText w:val="•"/>
      <w:lvlJc w:val="left"/>
      <w:pPr>
        <w:ind w:left="3807" w:hanging="279"/>
      </w:pPr>
    </w:lvl>
    <w:lvl w:ilvl="4" w:tplc="DB1C7376">
      <w:start w:val="1"/>
      <w:numFmt w:val="bullet"/>
      <w:lvlText w:val="•"/>
      <w:lvlJc w:val="left"/>
      <w:pPr>
        <w:ind w:left="4723" w:hanging="279"/>
      </w:pPr>
    </w:lvl>
    <w:lvl w:ilvl="5" w:tplc="18107B08">
      <w:start w:val="1"/>
      <w:numFmt w:val="bullet"/>
      <w:lvlText w:val="•"/>
      <w:lvlJc w:val="left"/>
      <w:pPr>
        <w:ind w:left="5640" w:hanging="279"/>
      </w:pPr>
    </w:lvl>
    <w:lvl w:ilvl="6" w:tplc="6D4A0D2C">
      <w:start w:val="1"/>
      <w:numFmt w:val="bullet"/>
      <w:lvlText w:val="•"/>
      <w:lvlJc w:val="left"/>
      <w:pPr>
        <w:ind w:left="6557" w:hanging="279"/>
      </w:pPr>
    </w:lvl>
    <w:lvl w:ilvl="7" w:tplc="C1E049F4">
      <w:start w:val="1"/>
      <w:numFmt w:val="bullet"/>
      <w:lvlText w:val="•"/>
      <w:lvlJc w:val="left"/>
      <w:pPr>
        <w:ind w:left="7473" w:hanging="279"/>
      </w:pPr>
    </w:lvl>
    <w:lvl w:ilvl="8" w:tplc="95CA0580">
      <w:start w:val="1"/>
      <w:numFmt w:val="bullet"/>
      <w:lvlText w:val="•"/>
      <w:lvlJc w:val="left"/>
      <w:pPr>
        <w:ind w:left="8390" w:hanging="279"/>
      </w:pPr>
    </w:lvl>
  </w:abstractNum>
  <w:abstractNum w:abstractNumId="1">
    <w:nsid w:val="52C64829"/>
    <w:multiLevelType w:val="hybridMultilevel"/>
    <w:tmpl w:val="1D9C7298"/>
    <w:lvl w:ilvl="0" w:tplc="7BAE32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4E62B5"/>
    <w:multiLevelType w:val="multilevel"/>
    <w:tmpl w:val="07F2434C"/>
    <w:lvl w:ilvl="0">
      <w:start w:val="9"/>
      <w:numFmt w:val="decimal"/>
      <w:lvlText w:val="%1"/>
      <w:lvlJc w:val="left"/>
      <w:pPr>
        <w:ind w:left="360" w:hanging="360"/>
      </w:pPr>
      <w:rPr>
        <w:b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i/>
      </w:rPr>
    </w:lvl>
  </w:abstractNum>
  <w:abstractNum w:abstractNumId="3">
    <w:nsid w:val="709139C9"/>
    <w:multiLevelType w:val="multilevel"/>
    <w:tmpl w:val="478061BA"/>
    <w:lvl w:ilvl="0">
      <w:start w:val="10"/>
      <w:numFmt w:val="decimal"/>
      <w:lvlText w:val="%1"/>
      <w:lvlJc w:val="left"/>
      <w:pPr>
        <w:ind w:left="2450" w:hanging="465"/>
      </w:pPr>
    </w:lvl>
    <w:lvl w:ilvl="1">
      <w:start w:val="1"/>
      <w:numFmt w:val="decimal"/>
      <w:lvlText w:val="%1.%2"/>
      <w:lvlJc w:val="left"/>
      <w:pPr>
        <w:ind w:left="2166" w:hanging="465"/>
      </w:pPr>
    </w:lvl>
    <w:lvl w:ilvl="2">
      <w:start w:val="1"/>
      <w:numFmt w:val="decimal"/>
      <w:lvlText w:val="%1.%2.%3"/>
      <w:lvlJc w:val="left"/>
      <w:pPr>
        <w:ind w:left="4071" w:hanging="720"/>
      </w:pPr>
    </w:lvl>
    <w:lvl w:ilvl="3">
      <w:start w:val="1"/>
      <w:numFmt w:val="decimal"/>
      <w:lvlText w:val="%1.%2.%3.%4"/>
      <w:lvlJc w:val="left"/>
      <w:pPr>
        <w:ind w:left="4896" w:hanging="720"/>
      </w:pPr>
    </w:lvl>
    <w:lvl w:ilvl="4">
      <w:start w:val="1"/>
      <w:numFmt w:val="decimal"/>
      <w:lvlText w:val="%1.%2.%3.%4.%5"/>
      <w:lvlJc w:val="left"/>
      <w:pPr>
        <w:ind w:left="6081" w:hanging="1080"/>
      </w:pPr>
    </w:lvl>
    <w:lvl w:ilvl="5">
      <w:start w:val="1"/>
      <w:numFmt w:val="decimal"/>
      <w:lvlText w:val="%1.%2.%3.%4.%5.%6"/>
      <w:lvlJc w:val="left"/>
      <w:pPr>
        <w:ind w:left="7266" w:hanging="1440"/>
      </w:pPr>
    </w:lvl>
    <w:lvl w:ilvl="6">
      <w:start w:val="1"/>
      <w:numFmt w:val="decimal"/>
      <w:lvlText w:val="%1.%2.%3.%4.%5.%6.%7"/>
      <w:lvlJc w:val="left"/>
      <w:pPr>
        <w:ind w:left="8091" w:hanging="1440"/>
      </w:pPr>
    </w:lvl>
    <w:lvl w:ilvl="7">
      <w:start w:val="1"/>
      <w:numFmt w:val="decimal"/>
      <w:lvlText w:val="%1.%2.%3.%4.%5.%6.%7.%8"/>
      <w:lvlJc w:val="left"/>
      <w:pPr>
        <w:ind w:left="9276" w:hanging="1800"/>
      </w:pPr>
    </w:lvl>
    <w:lvl w:ilvl="8">
      <w:start w:val="1"/>
      <w:numFmt w:val="decimal"/>
      <w:lvlText w:val="%1.%2.%3.%4.%5.%6.%7.%8.%9"/>
      <w:lvlJc w:val="left"/>
      <w:pPr>
        <w:ind w:left="10101" w:hanging="1800"/>
      </w:pPr>
    </w:lvl>
  </w:abstractNum>
  <w:abstractNum w:abstractNumId="4">
    <w:nsid w:val="72B72CDD"/>
    <w:multiLevelType w:val="hybridMultilevel"/>
    <w:tmpl w:val="BCCA1406"/>
    <w:lvl w:ilvl="0" w:tplc="8320026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95F08DE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7A2E2C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6E8CD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A5887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E2FA9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01A87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16EE20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9862F0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BD"/>
    <w:rsid w:val="002C55BD"/>
    <w:rsid w:val="004B4F0E"/>
    <w:rsid w:val="00A86D98"/>
    <w:rsid w:val="00B4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98"/>
  </w:style>
  <w:style w:type="paragraph" w:styleId="1">
    <w:name w:val="heading 1"/>
    <w:basedOn w:val="a"/>
    <w:next w:val="a"/>
    <w:link w:val="10"/>
    <w:qFormat/>
    <w:rsid w:val="00A86D98"/>
    <w:pPr>
      <w:keepNext/>
      <w:snapToGrid w:val="0"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98"/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A86D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86D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_список Знак,Заголовок первого уровня Знак,Абзац Знак,Список МАРКЕРОВ Знак,маркированный Знак,Абзац списка3 Знак,Bullet List Знак,FooterText Знак,numbered Знак,List Paragraph Знак,Абзац с отступом Знак,Heading1 Знак,Абзац списка8 Знак"/>
    <w:link w:val="a6"/>
    <w:uiPriority w:val="34"/>
    <w:qFormat/>
    <w:locked/>
    <w:rsid w:val="00A86D98"/>
  </w:style>
  <w:style w:type="paragraph" w:styleId="a6">
    <w:name w:val="List Paragraph"/>
    <w:aliases w:val="_список,Заголовок первого уровня,Абзац,Список МАРКЕРОВ,маркированный,Абзац списка3,Bullet List,FooterText,numbered,List Paragraph,Абзац с отступом,Heading1,Colorful List - Accent 11,Абзац списка8,Bullets,List Paragraph (numbered (a))"/>
    <w:basedOn w:val="a"/>
    <w:link w:val="a5"/>
    <w:uiPriority w:val="34"/>
    <w:qFormat/>
    <w:rsid w:val="00A86D98"/>
    <w:pPr>
      <w:ind w:left="720"/>
      <w:contextualSpacing/>
    </w:pPr>
  </w:style>
  <w:style w:type="paragraph" w:customStyle="1" w:styleId="Default">
    <w:name w:val="Default"/>
    <w:uiPriority w:val="99"/>
    <w:qFormat/>
    <w:rsid w:val="00A86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86D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Markernew">
    <w:name w:val="Marker_new"/>
    <w:basedOn w:val="a"/>
    <w:uiPriority w:val="99"/>
    <w:qFormat/>
    <w:rsid w:val="00A86D98"/>
    <w:pPr>
      <w:widowControl w:val="0"/>
      <w:tabs>
        <w:tab w:val="num" w:pos="0"/>
      </w:tabs>
      <w:suppressAutoHyphens/>
      <w:spacing w:after="120" w:line="240" w:lineRule="auto"/>
      <w:ind w:left="360" w:hanging="360"/>
      <w:jc w:val="both"/>
    </w:pPr>
    <w:rPr>
      <w:rFonts w:ascii="Arial" w:eastAsia="SimSun" w:hAnsi="Arial" w:cs="Mangal"/>
      <w:kern w:val="2"/>
      <w:szCs w:val="20"/>
      <w:lang w:eastAsia="hi-IN" w:bidi="hi-IN"/>
    </w:rPr>
  </w:style>
  <w:style w:type="paragraph" w:customStyle="1" w:styleId="31">
    <w:name w:val="Заголовок 31"/>
    <w:basedOn w:val="a"/>
    <w:next w:val="a"/>
    <w:uiPriority w:val="1"/>
    <w:qFormat/>
    <w:rsid w:val="00A86D98"/>
    <w:pPr>
      <w:widowControl w:val="0"/>
      <w:autoSpaceDE w:val="0"/>
      <w:autoSpaceDN w:val="0"/>
      <w:adjustRightInd w:val="0"/>
      <w:spacing w:before="7" w:after="0" w:line="318" w:lineRule="exact"/>
      <w:ind w:left="1546"/>
      <w:outlineLvl w:val="2"/>
    </w:pPr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normaltextrun">
    <w:name w:val="normaltextrun"/>
    <w:basedOn w:val="a0"/>
    <w:rsid w:val="00A86D98"/>
  </w:style>
  <w:style w:type="paragraph" w:styleId="a7">
    <w:name w:val="Balloon Text"/>
    <w:basedOn w:val="a"/>
    <w:link w:val="a8"/>
    <w:uiPriority w:val="99"/>
    <w:semiHidden/>
    <w:unhideWhenUsed/>
    <w:rsid w:val="00A8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D98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11"/>
    <w:locked/>
    <w:rsid w:val="00B446AD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B446AD"/>
    <w:pPr>
      <w:ind w:left="720" w:firstLine="851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0"/>
    <w:link w:val="12"/>
    <w:locked/>
    <w:rsid w:val="00B446AD"/>
    <w:rPr>
      <w:rFonts w:ascii="Times New Roman" w:eastAsia="Times New Roman" w:hAnsi="Times New Roman" w:cs="Times New Roman"/>
      <w:sz w:val="28"/>
      <w:szCs w:val="28"/>
      <w:shd w:val="clear" w:color="auto" w:fill="FFFFFF"/>
      <w:lang w:val="kk-KZ" w:eastAsia="kk-KZ" w:bidi="kk-KZ"/>
    </w:rPr>
  </w:style>
  <w:style w:type="paragraph" w:customStyle="1" w:styleId="12">
    <w:name w:val="Основной текст1"/>
    <w:basedOn w:val="a"/>
    <w:link w:val="a9"/>
    <w:qFormat/>
    <w:rsid w:val="00B446A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Style232">
    <w:name w:val="Style232"/>
    <w:basedOn w:val="a"/>
    <w:uiPriority w:val="99"/>
    <w:qFormat/>
    <w:rsid w:val="00B446AD"/>
    <w:pPr>
      <w:widowControl w:val="0"/>
      <w:autoSpaceDE w:val="0"/>
      <w:autoSpaceDN w:val="0"/>
      <w:adjustRightInd w:val="0"/>
      <w:spacing w:after="0" w:line="262" w:lineRule="exact"/>
      <w:ind w:firstLine="70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70">
    <w:name w:val="Font Style270"/>
    <w:basedOn w:val="a0"/>
    <w:rsid w:val="00B446AD"/>
    <w:rPr>
      <w:rFonts w:ascii="Arial" w:hAnsi="Arial" w:cs="Arial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98"/>
  </w:style>
  <w:style w:type="paragraph" w:styleId="1">
    <w:name w:val="heading 1"/>
    <w:basedOn w:val="a"/>
    <w:next w:val="a"/>
    <w:link w:val="10"/>
    <w:qFormat/>
    <w:rsid w:val="00A86D98"/>
    <w:pPr>
      <w:keepNext/>
      <w:snapToGrid w:val="0"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98"/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A86D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86D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_список Знак,Заголовок первого уровня Знак,Абзац Знак,Список МАРКЕРОВ Знак,маркированный Знак,Абзац списка3 Знак,Bullet List Знак,FooterText Знак,numbered Знак,List Paragraph Знак,Абзац с отступом Знак,Heading1 Знак,Абзац списка8 Знак"/>
    <w:link w:val="a6"/>
    <w:uiPriority w:val="34"/>
    <w:qFormat/>
    <w:locked/>
    <w:rsid w:val="00A86D98"/>
  </w:style>
  <w:style w:type="paragraph" w:styleId="a6">
    <w:name w:val="List Paragraph"/>
    <w:aliases w:val="_список,Заголовок первого уровня,Абзац,Список МАРКЕРОВ,маркированный,Абзац списка3,Bullet List,FooterText,numbered,List Paragraph,Абзац с отступом,Heading1,Colorful List - Accent 11,Абзац списка8,Bullets,List Paragraph (numbered (a))"/>
    <w:basedOn w:val="a"/>
    <w:link w:val="a5"/>
    <w:uiPriority w:val="34"/>
    <w:qFormat/>
    <w:rsid w:val="00A86D98"/>
    <w:pPr>
      <w:ind w:left="720"/>
      <w:contextualSpacing/>
    </w:pPr>
  </w:style>
  <w:style w:type="paragraph" w:customStyle="1" w:styleId="Default">
    <w:name w:val="Default"/>
    <w:uiPriority w:val="99"/>
    <w:qFormat/>
    <w:rsid w:val="00A86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86D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Markernew">
    <w:name w:val="Marker_new"/>
    <w:basedOn w:val="a"/>
    <w:uiPriority w:val="99"/>
    <w:qFormat/>
    <w:rsid w:val="00A86D98"/>
    <w:pPr>
      <w:widowControl w:val="0"/>
      <w:tabs>
        <w:tab w:val="num" w:pos="0"/>
      </w:tabs>
      <w:suppressAutoHyphens/>
      <w:spacing w:after="120" w:line="240" w:lineRule="auto"/>
      <w:ind w:left="360" w:hanging="360"/>
      <w:jc w:val="both"/>
    </w:pPr>
    <w:rPr>
      <w:rFonts w:ascii="Arial" w:eastAsia="SimSun" w:hAnsi="Arial" w:cs="Mangal"/>
      <w:kern w:val="2"/>
      <w:szCs w:val="20"/>
      <w:lang w:eastAsia="hi-IN" w:bidi="hi-IN"/>
    </w:rPr>
  </w:style>
  <w:style w:type="paragraph" w:customStyle="1" w:styleId="31">
    <w:name w:val="Заголовок 31"/>
    <w:basedOn w:val="a"/>
    <w:next w:val="a"/>
    <w:uiPriority w:val="1"/>
    <w:qFormat/>
    <w:rsid w:val="00A86D98"/>
    <w:pPr>
      <w:widowControl w:val="0"/>
      <w:autoSpaceDE w:val="0"/>
      <w:autoSpaceDN w:val="0"/>
      <w:adjustRightInd w:val="0"/>
      <w:spacing w:before="7" w:after="0" w:line="318" w:lineRule="exact"/>
      <w:ind w:left="1546"/>
      <w:outlineLvl w:val="2"/>
    </w:pPr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normaltextrun">
    <w:name w:val="normaltextrun"/>
    <w:basedOn w:val="a0"/>
    <w:rsid w:val="00A86D98"/>
  </w:style>
  <w:style w:type="paragraph" w:styleId="a7">
    <w:name w:val="Balloon Text"/>
    <w:basedOn w:val="a"/>
    <w:link w:val="a8"/>
    <w:uiPriority w:val="99"/>
    <w:semiHidden/>
    <w:unhideWhenUsed/>
    <w:rsid w:val="00A8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D98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11"/>
    <w:locked/>
    <w:rsid w:val="00B446AD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B446AD"/>
    <w:pPr>
      <w:ind w:left="720" w:firstLine="851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0"/>
    <w:link w:val="12"/>
    <w:locked/>
    <w:rsid w:val="00B446AD"/>
    <w:rPr>
      <w:rFonts w:ascii="Times New Roman" w:eastAsia="Times New Roman" w:hAnsi="Times New Roman" w:cs="Times New Roman"/>
      <w:sz w:val="28"/>
      <w:szCs w:val="28"/>
      <w:shd w:val="clear" w:color="auto" w:fill="FFFFFF"/>
      <w:lang w:val="kk-KZ" w:eastAsia="kk-KZ" w:bidi="kk-KZ"/>
    </w:rPr>
  </w:style>
  <w:style w:type="paragraph" w:customStyle="1" w:styleId="12">
    <w:name w:val="Основной текст1"/>
    <w:basedOn w:val="a"/>
    <w:link w:val="a9"/>
    <w:qFormat/>
    <w:rsid w:val="00B446A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Style232">
    <w:name w:val="Style232"/>
    <w:basedOn w:val="a"/>
    <w:uiPriority w:val="99"/>
    <w:qFormat/>
    <w:rsid w:val="00B446AD"/>
    <w:pPr>
      <w:widowControl w:val="0"/>
      <w:autoSpaceDE w:val="0"/>
      <w:autoSpaceDN w:val="0"/>
      <w:adjustRightInd w:val="0"/>
      <w:spacing w:after="0" w:line="262" w:lineRule="exact"/>
      <w:ind w:firstLine="70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70">
    <w:name w:val="Font Style270"/>
    <w:basedOn w:val="a0"/>
    <w:rsid w:val="00B446AD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11035</Characters>
  <Application>Microsoft Office Word</Application>
  <DocSecurity>0</DocSecurity>
  <Lines>91</Lines>
  <Paragraphs>25</Paragraphs>
  <ScaleCrop>false</ScaleCrop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</dc:creator>
  <cp:keywords/>
  <dc:description/>
  <cp:lastModifiedBy>Бойко</cp:lastModifiedBy>
  <cp:revision>3</cp:revision>
  <dcterms:created xsi:type="dcterms:W3CDTF">2022-10-10T10:54:00Z</dcterms:created>
  <dcterms:modified xsi:type="dcterms:W3CDTF">2025-11-12T05:45:00Z</dcterms:modified>
</cp:coreProperties>
</file>