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04E25">
        <w:rPr>
          <w:rFonts w:cs="Times New Roman"/>
          <w:sz w:val="24"/>
          <w:szCs w:val="24"/>
        </w:rPr>
        <w:t xml:space="preserve">Нетехническое резюме по проектным материалам ИП </w:t>
      </w:r>
      <w:r>
        <w:rPr>
          <w:rFonts w:cs="Times New Roman"/>
          <w:sz w:val="24"/>
          <w:szCs w:val="24"/>
        </w:rPr>
        <w:t>Кислых В.Б.</w:t>
      </w:r>
      <w:bookmarkStart w:id="0" w:name="_GoBack"/>
      <w:bookmarkEnd w:id="0"/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Согласно ЭК РК, данный вид деятельности не подлежит проведению обязательной оценки воздействия на окружающую среду и скринингу воздействия намечаемой деятельности.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Объект – «Установка углевыжигательных печей», расположенного в СКО, г. Петропавловск, 1 проезд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Я.Гашека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, уч. 6. Объект по производству древесного угля ИП Кислых является действующим объектом, заявление подается в связи с увеличением производственной мощности.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В административном отношении земельный участок располагается СКО, восточная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промзона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г. Петропавловск, 1 проезд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Я.Гашека</w:t>
      </w:r>
      <w:proofErr w:type="spellEnd"/>
      <w:r w:rsidRPr="00F04E25">
        <w:rPr>
          <w:rFonts w:cs="Times New Roman"/>
          <w:color w:val="000000"/>
          <w:sz w:val="24"/>
          <w:szCs w:val="24"/>
        </w:rPr>
        <w:t>, уч. 6 по следующим координатам глобального позиционирования 54.893383, 69.180992. Ближайшая жилая зона находится на расстоянии более 1000 метров от территории предприятия, в западном направлении. Расстояние до ближайших водных объектов: оз. Белое более 4.5 км, р. Ишим более 3.3 км.</w:t>
      </w:r>
    </w:p>
    <w:p w:rsidR="00F04E25" w:rsidRPr="00F04E25" w:rsidRDefault="00F04E25" w:rsidP="00F04E25">
      <w:pPr>
        <w:ind w:firstLine="709"/>
        <w:jc w:val="both"/>
        <w:rPr>
          <w:rFonts w:cs="Times New Roman"/>
          <w:bCs/>
          <w:color w:val="000000"/>
          <w:sz w:val="24"/>
          <w:szCs w:val="24"/>
          <w:shd w:val="clear" w:color="auto" w:fill="FFFFFF"/>
        </w:rPr>
      </w:pPr>
      <w:r w:rsidRPr="00F04E25">
        <w:rPr>
          <w:rFonts w:cs="Times New Roman"/>
          <w:bCs/>
          <w:color w:val="000000"/>
          <w:sz w:val="24"/>
          <w:szCs w:val="24"/>
          <w:shd w:val="clear" w:color="auto" w:fill="FFFFFF"/>
        </w:rPr>
        <w:t>Выбор данного участка обоснован наличием инфраструктуры (электроснабжение, дороги), а также создание рабочих мест для жителей региона.</w:t>
      </w:r>
    </w:p>
    <w:p w:rsidR="00F04E25" w:rsidRPr="00F04E25" w:rsidRDefault="00F04E25" w:rsidP="00F04E25">
      <w:pPr>
        <w:ind w:firstLine="709"/>
        <w:jc w:val="both"/>
        <w:rPr>
          <w:rFonts w:cs="Times New Roman"/>
          <w:bCs/>
          <w:color w:val="000000"/>
          <w:sz w:val="24"/>
          <w:szCs w:val="24"/>
          <w:shd w:val="clear" w:color="auto" w:fill="FFFFFF"/>
        </w:rPr>
      </w:pPr>
      <w:r w:rsidRPr="00F04E25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Координаты участка: </w:t>
      </w:r>
      <w:r w:rsidRPr="00F04E25">
        <w:rPr>
          <w:rFonts w:cs="Times New Roman"/>
          <w:color w:val="000000"/>
          <w:sz w:val="24"/>
          <w:szCs w:val="24"/>
        </w:rPr>
        <w:t>54°53'34.0"N 69°10'50.1"E; 54°53'33.9"N 69°10'52.7"E; 54°53'31.8"N 69°10'52.4"E; 54°53'32.0"N 69°10'47.9"E; 54°53'34.9"N 69°10'48.1"E; 54°53'34.9"N 69°10'48.4"E; 54°53'33.3"N 69°10'48.2"E; 54°53'33.2"N 69°10'48.4"E; 54°53'32.6"N 69°10'48.3"E; 54°53'32.5"N 69°10'49.8"E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E25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Общие предполагаемые технические характеристики намечаемой деятельности, включая мощность (производительность) объекта, его предполагаемые размеры, характеристику продукции*: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highlight w:val="yellow"/>
        </w:rPr>
      </w:pPr>
      <w:r w:rsidRPr="00F04E25">
        <w:rPr>
          <w:rFonts w:cs="Times New Roman"/>
          <w:color w:val="000000"/>
          <w:sz w:val="24"/>
          <w:szCs w:val="24"/>
        </w:rPr>
        <w:t xml:space="preserve">Объект строительства располагается по адресу: СКО, восточная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промзона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г. Петропавловск, 1 проезд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Я.Гашека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, уч. 6. Период проведения работ составит 14 дней в 2026 году.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bCs/>
          <w:color w:val="000000"/>
          <w:sz w:val="24"/>
          <w:szCs w:val="24"/>
        </w:rPr>
        <w:t>СМР.</w:t>
      </w:r>
      <w:r w:rsidRPr="00F04E25">
        <w:rPr>
          <w:rFonts w:cs="Times New Roman"/>
          <w:color w:val="000000"/>
          <w:sz w:val="24"/>
          <w:szCs w:val="24"/>
        </w:rPr>
        <w:t xml:space="preserve"> Сварочные работы. Проводятся в рамках производства монтажа металлических конструкций при помощи передвижного поста ручной дуговой сварки штучными электродами. В качестве сварочного материала используются электроды типа МР-3 - 10 кг. Сварочные работы будут проводиться на период строительства на открытых площадках, вследствие чего отсутствует техническая возможность установки местной вытяжной вентиляции.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Эксплуатация</w:t>
      </w:r>
      <w:r w:rsidRPr="00F04E25">
        <w:rPr>
          <w:rFonts w:cs="Times New Roman"/>
          <w:b/>
          <w:color w:val="000000"/>
          <w:sz w:val="24"/>
          <w:szCs w:val="24"/>
        </w:rPr>
        <w:t>.</w:t>
      </w:r>
      <w:r w:rsidRPr="00F04E25">
        <w:rPr>
          <w:rFonts w:cs="Times New Roman"/>
          <w:color w:val="000000"/>
          <w:sz w:val="24"/>
          <w:szCs w:val="24"/>
        </w:rPr>
        <w:t xml:space="preserve">  Основной вид деятельности ИП «Кислых В.Б.» - производство древесного угля из лиственных пород методом пиролиза.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Основной вид деятельности предприятия связан с производством и реализацией древесного угля.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На территории производственной площадки уже установлено 2 углевыжигательные печи «Мадерум-40» (УПГ-40), предназначенные для производства древесного угля. Планируется установка 2 новых углевыжигательных печей «Печь углевыжигательная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двухреторная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горизонтальная (УП2РТ)».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Углевыжигательные установки «МАДЕРУМ-40» (УПГ-40) по производству древесного угля относится к модульным мобильным установкам замкнутого цикла с вертикальными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выемными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ретортами и дожиганием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пиролизных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газов в основной топке. Процессы сушки и пиролиза в установке совмещены. На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даннм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производстве печи используются как стационарные источники.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Производительность печи «Мадерум-40» – 880 т древесного угля в год на 2 печи.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Углевыжигательная установка «Печь углевыжигательная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двухреторная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горизонтальная (УПР2РТ)» по производству древесного угля предназначена для переработки древесных материалов в древесный уголь методом термического разложения древесины без доступа кислорода. Производительность печи «УП2РТ» - 25 тонн древесного угля в месяц, 300 т/год (на обе). Годовое количество циклов составляет не более 240.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lastRenderedPageBreak/>
        <w:t xml:space="preserve">Годовое количество перерабатываемого сырья на все печи будет составлять 8104м3 (5267.6т), количество </w:t>
      </w:r>
      <w:proofErr w:type="gramStart"/>
      <w:r w:rsidRPr="00F04E25">
        <w:rPr>
          <w:rFonts w:cs="Times New Roman"/>
          <w:color w:val="000000"/>
          <w:sz w:val="24"/>
          <w:szCs w:val="24"/>
        </w:rPr>
        <w:t>сырья</w:t>
      </w:r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используемого для розжига будет составлять 18м3 (11.7т). Количество готовой продукции при этом будет составлять около 1180 т/год.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После завершения процесса углежжения готовая продукция выгружается и сразу упаковывается в</w:t>
      </w:r>
      <w:r w:rsidRPr="00F04E25">
        <w:rPr>
          <w:rFonts w:cs="Times New Roman"/>
          <w:color w:val="000000"/>
          <w:sz w:val="24"/>
          <w:szCs w:val="24"/>
          <w:highlight w:val="yellow"/>
        </w:rPr>
        <w:t xml:space="preserve"> </w:t>
      </w:r>
      <w:r w:rsidRPr="00F04E25">
        <w:rPr>
          <w:rFonts w:cs="Times New Roman"/>
          <w:color w:val="000000"/>
          <w:sz w:val="24"/>
          <w:szCs w:val="24"/>
        </w:rPr>
        <w:t>бумажные пакеты по 5-10 кг. Таким образом, готовая продукция не раскидывается по территории площадки, а упаковывается и хранится сразу в бумажной таре.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E25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Краткое описание предполагаемых технических и технологических решений для намечаемой деятельности*: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Основной вид деятельности ИП «Кислых В.Б.» - производство и реализация древесного угля.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Основной вид деятельности предприятия связан с производством и реализацией древесного угля.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На территории производственной площадки уже установлены две углевыжигательные печи «Мадерум-40», предназначенные для производства древесного угля. Планируется установка 2 новых углевыжигательных печей «Печь углевыжигательная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двухреторная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горизонтальная (УПР2РТ)». Годовое количество перерабатываемого сырья (древесные поленья) от всех печей будет составлять 8104м3 (5267.6т), количество </w:t>
      </w:r>
      <w:proofErr w:type="gramStart"/>
      <w:r w:rsidRPr="00F04E25">
        <w:rPr>
          <w:rFonts w:cs="Times New Roman"/>
          <w:color w:val="000000"/>
          <w:sz w:val="24"/>
          <w:szCs w:val="24"/>
        </w:rPr>
        <w:t>сырья</w:t>
      </w:r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используемого для розжига будет составлять 18м3 (11.7т). Количество готовой продукции при этом будет составлять около 1180 т/год.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bCs/>
          <w:color w:val="000000"/>
          <w:sz w:val="24"/>
          <w:szCs w:val="24"/>
        </w:rPr>
        <w:t>СМР.</w:t>
      </w:r>
      <w:r w:rsidRPr="00F04E25">
        <w:rPr>
          <w:rFonts w:cs="Times New Roman"/>
          <w:color w:val="000000"/>
          <w:sz w:val="24"/>
          <w:szCs w:val="24"/>
        </w:rPr>
        <w:t xml:space="preserve"> Сварочные работы. Проводятся в рамках производства монтажа металлических конструкций при помощи передвижного поста ручной дуговой сварки штучными электродами. В качестве сварочного материала используются электроды типа МР-3 - 10 кг. Сварочные работы будут проводиться на период строительства на открытых площадках, вследствие чего отсутствует техническая возможность установки местной вытяжной вентиляции.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Процесс углежжения печи «Мадерум-40».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Влажное древесное сырье закладывают в реторты, которые при помощи подъемного крана помещают в сушильную камеру. После завершения процесса сушки реторты вынимают из сушильной камеры и устанавливают в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пиролизную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камеру. В топке сжигают топливо, дрова, и получают топочные газы с температурой около 600-650°С. Топочные газы поступают в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пиролизную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камеру и нагревают реторты с загруженным в них сырьем. По мере достижения внутри реторт температуры 400- 450°С происходит термическое разложение древесины с получением угля и горючих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пиролизных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газов, которые через отверстия в днищах реторт выходят по газоходам в топку. В топке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пиролизные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газы сгорают с выделением дополнительного тепла для осуществления процесса. Из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пиролизной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камеры дымовые газы поступают через воздуховоды в стенке в сушильную камеру, где происходит, нагрев реторт до температуры сырья 200-250°С, вследствие чего происходит сушка древесины, при этом излишние дымовые газы удаляются через дымовую трубу наружу. Поддержание требуемой температуры обеспечивается за счет регулируемого подсоса наружного воздуха.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Процесс углежжения печи «УПР2РТ»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Подготовка в работе. В реторту загружается подготовленное сырье и размещается в следующем порядке: на низ укладывается мелкое, сухое сырье сечением не больше 80мм, реторта наполняется на 1/3, затем укладывается более крупное и влажное сырье сечением до 140мм, реторта наполняется по края, шапка укладывается любым сырьем сечением до 300мм. Таким образом, подготавливаются все свободные от угля кассеты (реторты).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Начало работы. Чтобы 2 цикла из 2 камер не происходили одновременно, в 2 камеры загружается разное по влажности сырье и кассеты ставятся в камеры с промежутком в 2 часа. В первую камеру ставится кассета с сухим сырьем и разводится огонь в топке, топится до достижения температуры в стаканах 380-410 С, при этой температуре из первой камеры должен начаться процесс пиролиза и газ должен поступать с топку. Как только газ начал поступать в топку, дрова перестают подкидывать. В этот момент во вторую камеру ставится кассета с дровами влажностью на 10-20% больше, чем в первой.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Таким образом, первая камера вырабатывает газ и одновременно греет себя и соседнюю камеру, где в этот момент происходит процесс сушки сырых дров. Образовавшийся пар от сушки может поступать в камеру сгорания, либо сбрасывается в атмосферу вручную задвижкой. При сбрасывании в атмосферу нужно контролировать его цвет, как только пар приобрел желтоватый цвет или изменил свой запах, оператор перекрывает задвижку и пар с газом поступает в камеру сгорания, где при температуре более 700 </w:t>
      </w:r>
      <w:proofErr w:type="gramStart"/>
      <w:r w:rsidRPr="00F04E25">
        <w:rPr>
          <w:rFonts w:cs="Times New Roman"/>
          <w:color w:val="000000"/>
          <w:sz w:val="24"/>
          <w:szCs w:val="24"/>
        </w:rPr>
        <w:t>С</w:t>
      </w:r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сгорает и нейтрализуется.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Оператор ждет 6-8 часов наблюдая за газовой трубой из первой камеры. Как только интенсивность поступления газа снизилась, а температура выше 400 С, то камера готова к выгрузке, производится выемка реторты из стакана, реторта закрывается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тушильником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. Горячую реторту перемещают на подготовленное место для дальнейшего охлаждения, которое длится от 12 до 24 часов. После оператор погрузчика берет заранее подготовленную сырьем загруженную кассету и ставит ее в стакан, а второй оператор заполняет пустоты в стакане и в реторте дополнительными дровами (для лучшей загрузки) и закрывает дверь стакана путем затягивания бортовых соединений двери и 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корпуме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печи. Цикл начался заново, оператор фиксирует время загрузки.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После завершения процесса углежжения готовая продукция выгружается и сразу упаковывается в бумажные пакеты по 5-10 кг. Таким образом, готовая продукция не раскидывается по территории площадки, а упаковывается и хранится сразу в бумажной таре.</w:t>
      </w:r>
    </w:p>
    <w:p w:rsidR="00F12C76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Период проведения работ составит 14 дней в 2026 году.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На период СМР водоснабжение питьевой водой за счет привозной воды: 1.05 м3 в период. Водоснабжение на </w:t>
      </w:r>
      <w:proofErr w:type="spellStart"/>
      <w:proofErr w:type="gramStart"/>
      <w:r w:rsidRPr="00F04E25">
        <w:rPr>
          <w:rFonts w:cs="Times New Roman"/>
          <w:color w:val="000000"/>
          <w:sz w:val="24"/>
          <w:szCs w:val="24"/>
        </w:rPr>
        <w:t>хоз.бытовые</w:t>
      </w:r>
      <w:proofErr w:type="spellEnd"/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нужды централизованное. Водоотведение в биотуалет (септик), объем сточных вод по мере наполнения вывозится по договору. Объем водоотведения на период СМР 1.05 м3.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highlight w:val="yellow"/>
        </w:rPr>
      </w:pP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Проектом предусматривается: питьевое водоснабжение за счет привозной воды – 27.375 м3. Водоснабжение на </w:t>
      </w:r>
      <w:proofErr w:type="spellStart"/>
      <w:proofErr w:type="gramStart"/>
      <w:r w:rsidRPr="00F04E25">
        <w:rPr>
          <w:rFonts w:cs="Times New Roman"/>
          <w:color w:val="000000"/>
          <w:sz w:val="24"/>
          <w:szCs w:val="24"/>
        </w:rPr>
        <w:t>хоз.бытовые</w:t>
      </w:r>
      <w:proofErr w:type="spellEnd"/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нужды централизованное. Водоотведение. Хозяйственно-бытовые стоки собираются в септики и вывозятся по договору, объем 27.375 м3.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bCs/>
          <w:color w:val="000000"/>
          <w:sz w:val="24"/>
          <w:szCs w:val="24"/>
          <w:shd w:val="clear" w:color="auto" w:fill="FFFFFF"/>
        </w:rPr>
      </w:pPr>
      <w:r w:rsidRPr="00F04E25">
        <w:rPr>
          <w:rFonts w:cs="Times New Roman"/>
          <w:sz w:val="24"/>
          <w:szCs w:val="24"/>
        </w:rPr>
        <w:tab/>
      </w:r>
      <w:r w:rsidRPr="00F04E25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Описание ожидаемых выбросов загрязняющих веществ в атмосферу:</w:t>
      </w:r>
      <w:r w:rsidRPr="00F04E25">
        <w:rPr>
          <w:rFonts w:cs="Times New Roman"/>
          <w:color w:val="000000"/>
          <w:sz w:val="24"/>
          <w:szCs w:val="24"/>
        </w:rPr>
        <w:t xml:space="preserve"> </w:t>
      </w:r>
      <w:r w:rsidRPr="00F04E25">
        <w:rPr>
          <w:rFonts w:cs="Times New Roman"/>
          <w:color w:val="000000"/>
          <w:sz w:val="24"/>
          <w:szCs w:val="24"/>
        </w:rPr>
        <w:t>Период строительства: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Вещества 2 класса, т/год: </w:t>
      </w:r>
      <w:r w:rsidRPr="00F04E25">
        <w:rPr>
          <w:rFonts w:cs="Times New Roman"/>
          <w:sz w:val="24"/>
          <w:szCs w:val="24"/>
        </w:rPr>
        <w:t>Марганец и его соединения – 0.0000173</w:t>
      </w:r>
      <w:r w:rsidRPr="00F04E25">
        <w:rPr>
          <w:rFonts w:cs="Times New Roman"/>
          <w:color w:val="000000"/>
          <w:sz w:val="24"/>
          <w:szCs w:val="24"/>
        </w:rPr>
        <w:t xml:space="preserve">, </w:t>
      </w:r>
      <w:r w:rsidRPr="00F04E25">
        <w:rPr>
          <w:rFonts w:cs="Times New Roman"/>
          <w:sz w:val="24"/>
          <w:szCs w:val="24"/>
        </w:rPr>
        <w:t>Фтористые газообразные соединения - 0.000004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04E25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Вещества 3 класса, т/год: </w:t>
      </w:r>
      <w:r w:rsidRPr="00F04E25">
        <w:rPr>
          <w:rFonts w:cs="Times New Roman"/>
          <w:sz w:val="24"/>
          <w:szCs w:val="24"/>
        </w:rPr>
        <w:t xml:space="preserve">Железо (II, III) оксиды </w:t>
      </w:r>
      <w:r w:rsidRPr="00F04E25">
        <w:rPr>
          <w:rFonts w:cs="Times New Roman"/>
          <w:color w:val="000000"/>
          <w:sz w:val="24"/>
          <w:szCs w:val="24"/>
        </w:rPr>
        <w:t xml:space="preserve">– </w:t>
      </w:r>
      <w:r w:rsidRPr="00F04E25">
        <w:rPr>
          <w:rFonts w:cs="Times New Roman"/>
          <w:sz w:val="24"/>
          <w:szCs w:val="24"/>
        </w:rPr>
        <w:t>0.0000977</w:t>
      </w:r>
      <w:r w:rsidRPr="00F04E25">
        <w:rPr>
          <w:rFonts w:cs="Times New Roman"/>
          <w:color w:val="000000"/>
          <w:sz w:val="24"/>
          <w:szCs w:val="24"/>
        </w:rPr>
        <w:t xml:space="preserve">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04E25">
        <w:rPr>
          <w:rFonts w:cs="Times New Roman"/>
          <w:sz w:val="24"/>
          <w:szCs w:val="24"/>
        </w:rPr>
        <w:t>Итого 0.000119 т.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Период эксплуатации: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2 класс опасности: Марганец и его соединения - 0.0000865 т/г, Азота (IV) диоксид - 4.2174158 т/г, Фтористые газообразные соединения - 0.00002 т/г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3 класс опасности: Железо (II, III) оксиды - 0.0004885 т/г, Азот (II) оксид (Азота оксид) (6) - 0.746478605 т/г, Углерод (Сажа, Углерод черный) - 9.818496 т/г, Сера диоксид - 71.75227 т/г, Взвешенные частицы - 0.0351 т/г, Пыль неорганическая, содержащая двуокись кремния в %: 70-20 - 0.3751 т/г, Углерод (Сажа, Углерод черный) - 6.9552 т/г, Метанол (Метиловый спирт) (338) - 15.8976 т/год, Уксусная кислота - 1.3248 т/г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4 класс опасности: Углерод оксид - 1.23996068 т/г, Пропан-2-он (Ацетон) - 0.3312 т/г,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Итого 88.185 т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 w:rsidRPr="00F04E25">
        <w:rPr>
          <w:rFonts w:cs="Times New Roman"/>
          <w:color w:val="000000"/>
          <w:sz w:val="24"/>
          <w:szCs w:val="24"/>
        </w:rPr>
        <w:t>ОБУВ: Метан - 330.5376 т\г.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 w:rsidRPr="00F04E25">
        <w:rPr>
          <w:rFonts w:cs="Times New Roman"/>
          <w:sz w:val="24"/>
          <w:szCs w:val="24"/>
        </w:rPr>
        <w:t>Сведения о веществах, входящих в перечень загрязнителей, данные по которым подлежат внесению в регистр выбросов и переноса загрязнителей: Оксид углерода.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kern w:val="2"/>
          <w:sz w:val="24"/>
          <w:szCs w:val="24"/>
          <w:lang w:val="kk-KZ"/>
        </w:rPr>
      </w:pPr>
      <w:r w:rsidRPr="00F04E25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Описание отходов, управление которыми относится к намечаемой деятельности:</w:t>
      </w:r>
      <w:r w:rsidRPr="00F04E25">
        <w:rPr>
          <w:rFonts w:cs="Times New Roman"/>
          <w:color w:val="000000"/>
          <w:sz w:val="24"/>
          <w:szCs w:val="24"/>
          <w:u w:val="single"/>
        </w:rPr>
        <w:t xml:space="preserve"> </w:t>
      </w:r>
      <w:r w:rsidRPr="00F04E25">
        <w:rPr>
          <w:rFonts w:cs="Times New Roman"/>
          <w:color w:val="000000"/>
          <w:sz w:val="24"/>
          <w:szCs w:val="24"/>
          <w:u w:val="single"/>
        </w:rPr>
        <w:t>Период строительства:</w:t>
      </w:r>
      <w:r w:rsidRPr="00F04E25">
        <w:rPr>
          <w:rFonts w:cs="Times New Roman"/>
          <w:color w:val="000000"/>
          <w:sz w:val="24"/>
          <w:szCs w:val="24"/>
        </w:rPr>
        <w:t xml:space="preserve"> отходы на период строительства образуются от </w:t>
      </w:r>
      <w:proofErr w:type="gramStart"/>
      <w:r w:rsidRPr="00F04E25">
        <w:rPr>
          <w:rFonts w:cs="Times New Roman"/>
          <w:color w:val="000000"/>
          <w:sz w:val="24"/>
          <w:szCs w:val="24"/>
        </w:rPr>
        <w:t>СМР</w:t>
      </w:r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 а также от жизнедеятельности рабочих. </w:t>
      </w:r>
      <w:r w:rsidRPr="00F04E25">
        <w:rPr>
          <w:rFonts w:cs="Times New Roman"/>
          <w:sz w:val="24"/>
          <w:szCs w:val="24"/>
        </w:rPr>
        <w:t xml:space="preserve">Твердо-бытовые отходы (коммунальные) 20 03 01 – 0.0086 т; Огарки сварочных электродов 12 01 13 - </w:t>
      </w:r>
      <w:r w:rsidRPr="00F04E25">
        <w:rPr>
          <w:rFonts w:cs="Times New Roman"/>
          <w:kern w:val="2"/>
          <w:sz w:val="24"/>
          <w:szCs w:val="24"/>
          <w:lang w:val="kk-KZ"/>
        </w:rPr>
        <w:t>0.00015 т. Срок временного хранения не превышает 6 месяцев, вывоз отходов осуществляется специализированными организациями по договору.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u w:val="single"/>
        </w:rPr>
      </w:pPr>
      <w:r w:rsidRPr="00F04E25">
        <w:rPr>
          <w:rFonts w:cs="Times New Roman"/>
          <w:color w:val="000000"/>
          <w:sz w:val="24"/>
          <w:szCs w:val="24"/>
          <w:u w:val="single"/>
        </w:rPr>
        <w:t xml:space="preserve">На период эксплуатации: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Зола </w:t>
      </w:r>
      <w:r w:rsidRPr="00F04E25">
        <w:rPr>
          <w:rFonts w:cs="Times New Roman"/>
          <w:bCs/>
          <w:i/>
          <w:iCs/>
          <w:color w:val="000000"/>
          <w:sz w:val="24"/>
          <w:szCs w:val="24"/>
          <w:u w:val="single"/>
        </w:rPr>
        <w:t xml:space="preserve">(10 01 01) </w:t>
      </w:r>
      <w:r w:rsidRPr="00F04E25">
        <w:rPr>
          <w:rFonts w:cs="Times New Roman"/>
          <w:color w:val="000000"/>
          <w:sz w:val="24"/>
          <w:szCs w:val="24"/>
        </w:rPr>
        <w:t>– 0.6318 тонн, образуется в процессе пиролиза в камере розжига.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Коммунальные отходы (ТБО) </w:t>
      </w:r>
      <w:r w:rsidRPr="00F04E25">
        <w:rPr>
          <w:rFonts w:cs="Times New Roman"/>
          <w:bCs/>
          <w:i/>
          <w:iCs/>
          <w:color w:val="000000"/>
          <w:sz w:val="24"/>
          <w:szCs w:val="24"/>
          <w:u w:val="single"/>
        </w:rPr>
        <w:t>(20 03 01)</w:t>
      </w:r>
      <w:r w:rsidRPr="00F04E25">
        <w:rPr>
          <w:rFonts w:cs="Times New Roman"/>
          <w:color w:val="000000"/>
          <w:sz w:val="24"/>
          <w:szCs w:val="24"/>
        </w:rPr>
        <w:t xml:space="preserve"> - 0.225 тонн, образуются в процессе жизнедеятельности рабочего персонала, а также уборке административно-бытовых помещений предприятия.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Отходы глиняно-</w:t>
      </w:r>
      <w:proofErr w:type="spellStart"/>
      <w:r w:rsidRPr="00F04E25">
        <w:rPr>
          <w:rFonts w:cs="Times New Roman"/>
          <w:color w:val="000000"/>
          <w:sz w:val="24"/>
          <w:szCs w:val="24"/>
        </w:rPr>
        <w:t>песчанной</w:t>
      </w:r>
      <w:proofErr w:type="spellEnd"/>
      <w:r w:rsidRPr="00F04E25">
        <w:rPr>
          <w:rFonts w:cs="Times New Roman"/>
          <w:color w:val="000000"/>
          <w:sz w:val="24"/>
          <w:szCs w:val="24"/>
        </w:rPr>
        <w:t xml:space="preserve"> смеси </w:t>
      </w:r>
      <w:r w:rsidRPr="00F04E25">
        <w:rPr>
          <w:rFonts w:cs="Times New Roman"/>
          <w:bCs/>
          <w:i/>
          <w:iCs/>
          <w:color w:val="000000"/>
          <w:sz w:val="24"/>
          <w:szCs w:val="24"/>
          <w:u w:val="single"/>
        </w:rPr>
        <w:t xml:space="preserve">(01 04 09) </w:t>
      </w:r>
      <w:r w:rsidRPr="00F04E25">
        <w:rPr>
          <w:rFonts w:cs="Times New Roman"/>
          <w:color w:val="000000"/>
          <w:sz w:val="24"/>
          <w:szCs w:val="24"/>
        </w:rPr>
        <w:t>- 0,208 тонн, образуется в процессе углежжения. Для изоляции материала в печи используется глиняно-песчаная смесь.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highlight w:val="yellow"/>
        </w:rPr>
      </w:pPr>
      <w:r w:rsidRPr="00F04E25">
        <w:rPr>
          <w:rFonts w:cs="Times New Roman"/>
          <w:color w:val="000000"/>
          <w:sz w:val="24"/>
          <w:szCs w:val="24"/>
        </w:rPr>
        <w:t xml:space="preserve">Отходы от чистки </w:t>
      </w:r>
      <w:proofErr w:type="gramStart"/>
      <w:r w:rsidRPr="00F04E25">
        <w:rPr>
          <w:rFonts w:cs="Times New Roman"/>
          <w:color w:val="000000"/>
          <w:sz w:val="24"/>
          <w:szCs w:val="24"/>
        </w:rPr>
        <w:t>дымоходов  (</w:t>
      </w:r>
      <w:proofErr w:type="gramEnd"/>
      <w:r w:rsidRPr="00F04E25">
        <w:rPr>
          <w:rFonts w:cs="Times New Roman"/>
          <w:color w:val="000000"/>
          <w:sz w:val="24"/>
          <w:szCs w:val="24"/>
        </w:rPr>
        <w:t xml:space="preserve">сажа) </w:t>
      </w:r>
      <w:r w:rsidRPr="00F04E25">
        <w:rPr>
          <w:rFonts w:cs="Times New Roman"/>
          <w:bCs/>
          <w:i/>
          <w:iCs/>
          <w:color w:val="000000"/>
          <w:sz w:val="24"/>
          <w:szCs w:val="24"/>
          <w:u w:val="single"/>
        </w:rPr>
        <w:t>(20 01 41)</w:t>
      </w:r>
      <w:r w:rsidRPr="00F04E25">
        <w:rPr>
          <w:rFonts w:cs="Times New Roman"/>
          <w:color w:val="000000"/>
          <w:sz w:val="24"/>
          <w:szCs w:val="24"/>
        </w:rPr>
        <w:t xml:space="preserve"> – 0.1 тонн, образуются при чистке газоходов и дымоходов.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Отходы золы</w:t>
      </w:r>
      <w:r w:rsidRPr="00F04E25">
        <w:rPr>
          <w:rFonts w:cs="Times New Roman"/>
          <w:sz w:val="24"/>
          <w:szCs w:val="24"/>
        </w:rPr>
        <w:t xml:space="preserve"> </w:t>
      </w:r>
      <w:r w:rsidRPr="00F04E25">
        <w:rPr>
          <w:rFonts w:cs="Times New Roman"/>
          <w:color w:val="000000"/>
          <w:sz w:val="24"/>
          <w:szCs w:val="24"/>
        </w:rPr>
        <w:t>передаются населению для использования в качестве удобрения, коммунальные отходы, отходы от чистки дымоходов, остатки глиняно-песчаного слоя передаются по договору, срок временного хранения не превышает 6 месяцев. Все отходы хранятся в контейнерах, раздельно друг от друга.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Воздействие на компоненты окружающей среды при нормальном (без аварий) режиме намечаемых работ с учетом проведения предложенных мероприятий определяется как воздействие средней значимости.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Негативное воздействие обусловлено наличием выбросов ЗВ от производственного процесс при производстве древесного угля.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Положительное воздействие обусловлено: созданием рабочих мест, платежи в местный бюджет, использование древесных отходов и больного леса в качестве исходного сырья.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Расстояние до ближайших водных объектов: оз. Белое более 4.5 км, р. Ишим более 3.3 км. Намечаемая деятельность не приведет к изменению рельефа местности, истощению, опустыниванию, водной и ветровой эрозии, селям, подтоплению, заболачиванию, вторичному засолению, иссушению, уплотнению, другим процессам нарушения почв, и не повлияет на состояние водных объектов.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>При реализации намечаемой деятельности источники радиационного воздействия отсутствуют.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F04E25">
        <w:rPr>
          <w:rFonts w:cs="Times New Roman"/>
          <w:color w:val="000000"/>
          <w:sz w:val="24"/>
          <w:szCs w:val="24"/>
        </w:rPr>
        <w:t xml:space="preserve">Для снижения воздействия производимых работ на атмосферный воздух предусматривается строгое соблюдение проектных решений. Сбор образующихся отходов в контейнеры с последующей передачей на утилизацию специализированным организациям. Заправка спецтехники и автотранспорта топливом строго в отведенных специализированных местах. 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1)Для снижения воздействия производимых работ на атмосферный воздух предусматривается своевременное проведение планово-предупредительных работ. К планово-предупредительным работам относятся: контроль исправности технологического оборудования; контроль за соблюдением нормативов НДВ на территории предприятия; строгое соблюдение режима и правил эксплуатации технологического оборудования. 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2)Принимаемые отходы подлежат сортировке. Образующиеся ТБО будут подвержены разделению по классам с сортировкой по отдельным контейнерам с указанием типа. 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3) Территория производственной площадки и близлежащая территория будет благоустроена растительностью согласно видам и типам произрастающих в данном регионе. 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4) Контроль мест временного складирования отходов (раздельный сбор, соответствие санитарным требованиям сбора и хранения, контроль сроков - не более 6 месяцев, для ТБО не более 3 дней). 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5)Запрет на </w:t>
      </w:r>
      <w:proofErr w:type="spellStart"/>
      <w:r w:rsidRPr="00F04E25">
        <w:rPr>
          <w:rFonts w:eastAsia="Calibri" w:cs="Times New Roman"/>
          <w:color w:val="000000" w:themeColor="text1"/>
          <w:sz w:val="24"/>
          <w:szCs w:val="24"/>
        </w:rPr>
        <w:t>погрузо</w:t>
      </w:r>
      <w:proofErr w:type="spellEnd"/>
      <w:r w:rsidRPr="00F04E25">
        <w:rPr>
          <w:rFonts w:eastAsia="Calibri" w:cs="Times New Roman"/>
          <w:color w:val="000000" w:themeColor="text1"/>
          <w:sz w:val="24"/>
          <w:szCs w:val="24"/>
        </w:rPr>
        <w:t>/разгрузочные работы при включенном двигателе автотранспорта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>6)Предусмотреть ограждение (</w:t>
      </w:r>
      <w:proofErr w:type="spellStart"/>
      <w:r w:rsidRPr="00F04E25">
        <w:rPr>
          <w:rFonts w:eastAsia="Calibri" w:cs="Times New Roman"/>
          <w:color w:val="000000" w:themeColor="text1"/>
          <w:sz w:val="24"/>
          <w:szCs w:val="24"/>
        </w:rPr>
        <w:t>оконавливание</w:t>
      </w:r>
      <w:proofErr w:type="spellEnd"/>
      <w:r w:rsidRPr="00F04E25">
        <w:rPr>
          <w:rFonts w:eastAsia="Calibri" w:cs="Times New Roman"/>
          <w:color w:val="000000" w:themeColor="text1"/>
          <w:sz w:val="24"/>
          <w:szCs w:val="24"/>
        </w:rPr>
        <w:t>), с целью недопущения попадания животных на территорию.</w:t>
      </w:r>
    </w:p>
    <w:p w:rsidR="00F04E25" w:rsidRPr="00F04E25" w:rsidRDefault="00F04E25" w:rsidP="00F04E25">
      <w:pPr>
        <w:spacing w:after="0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F04E25">
        <w:rPr>
          <w:rFonts w:eastAsia="Calibri" w:cs="Times New Roman"/>
          <w:color w:val="000000" w:themeColor="text1"/>
          <w:sz w:val="24"/>
          <w:szCs w:val="24"/>
        </w:rPr>
        <w:t xml:space="preserve">С целью недопущения загрязнения почвенного покрова и подземных вод не допускать: утечек ГСМ, хранение отходов на открытой земной поверхности, а также осуществлять сброс хозяйственно-бытовых и ливневых стоков в накопители железобетонные. </w:t>
      </w:r>
    </w:p>
    <w:p w:rsidR="00F04E25" w:rsidRPr="00F04E25" w:rsidRDefault="00F04E25" w:rsidP="00F04E2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04E25" w:rsidRPr="00F04E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25"/>
    <w:rsid w:val="006C0B77"/>
    <w:rsid w:val="008242FF"/>
    <w:rsid w:val="00870751"/>
    <w:rsid w:val="00922C48"/>
    <w:rsid w:val="00B915B7"/>
    <w:rsid w:val="00EA59DF"/>
    <w:rsid w:val="00EE4070"/>
    <w:rsid w:val="00F04E2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0FD1"/>
  <w15:chartTrackingRefBased/>
  <w15:docId w15:val="{DB288A03-5DBA-4195-9EC8-153DB173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2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2025-11-16T16:57:00Z</dcterms:created>
  <dcterms:modified xsi:type="dcterms:W3CDTF">2025-11-16T17:01:00Z</dcterms:modified>
</cp:coreProperties>
</file>