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D1" w:rsidRPr="000F38D1" w:rsidRDefault="000F38D1" w:rsidP="000F38D1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8D1">
        <w:rPr>
          <w:rFonts w:ascii="Times New Roman" w:hAnsi="Times New Roman" w:cs="Times New Roman"/>
          <w:b/>
          <w:sz w:val="26"/>
          <w:szCs w:val="26"/>
        </w:rPr>
        <w:t>Нетехническое резюме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Промышленная площадка ТОО «ALMATY TANNERY+» (Алматинский кожевенный завод+) расположена по адресу Алматинская область,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Карасайский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районе с.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Кокозек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>.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Основным видом деятельности ТОО «ALMATY TANNERY+» (Алматинский кожевенный завод+), является обработка кожи, производительность предприятия 11 тонн в сутки готовой продукции. 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На момент проведения инвентаризации предприятие ТОО «ALMATY TANNERY+» (Алматинский кожевенный завод+) расположено по адресу Алматинская область,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Карасайский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районе с.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Кокозек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>.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Координаты площадки 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Широта -N 43°35'81.73"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Долгота- Е 76°76'51.06"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Ближайшие жилые зоны относительно площадки предприятия расположены: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севера – автомобильная дорога на расстоянии 80 м и далее размещаются жилые дома на расстоянии 127 м от крайнего источника №6008;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с севера –востока на расстоянии 105 м от крайнего источника №0001 расположены жилые дома;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с востока - на расстоянии 129 метров от крайнего источника №0023 расположены жилые дома;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с юго-восточной стороны – от крайнего источника №0023 на расстоянии 251 м размещаются жилые дома;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с юга – на расстоянии 245 метров расположены жилые дома от крайнего источника №0023;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с юго-западной стороны – на расстоянии 275 м от крайнего источника №6006 размещаются жилые дома;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с запада – свободная от застройки территория, далее на расстоянии 219 метров от крайнего источника №0003 расположены жилые дома; 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с северо-западной стороны – за автотрассой, жилые дома на расстоянии 140 м;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Ближайшая жилая зона расположена в север –восточном направлении на расстоянии 105 м от крайнего источника №0001.</w:t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С северо-западной стороны расположены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Исаевские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Озера, расстояние от территории предприятия более 2 км.</w:t>
      </w:r>
      <w:r w:rsidRPr="000F38D1">
        <w:rPr>
          <w:rFonts w:ascii="Times New Roman" w:hAnsi="Times New Roman" w:cs="Times New Roman"/>
          <w:sz w:val="26"/>
          <w:szCs w:val="26"/>
        </w:rPr>
        <w:tab/>
      </w: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Координаты участка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F38D1" w:rsidRPr="006C7E9F" w:rsidTr="00A2776D">
        <w:tc>
          <w:tcPr>
            <w:tcW w:w="5068" w:type="dxa"/>
          </w:tcPr>
          <w:p w:rsidR="000F38D1" w:rsidRPr="006C7E9F" w:rsidRDefault="000F38D1" w:rsidP="00A2776D">
            <w:pPr>
              <w:pStyle w:val="TableParagraph"/>
              <w:spacing w:line="267" w:lineRule="exact"/>
              <w:ind w:left="121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7E9F">
              <w:rPr>
                <w:rFonts w:ascii="Times New Roman" w:hAnsi="Times New Roman"/>
                <w:b/>
                <w:sz w:val="26"/>
                <w:szCs w:val="26"/>
              </w:rPr>
              <w:t>С.Ш.</w:t>
            </w:r>
          </w:p>
        </w:tc>
        <w:tc>
          <w:tcPr>
            <w:tcW w:w="5069" w:type="dxa"/>
          </w:tcPr>
          <w:p w:rsidR="000F38D1" w:rsidRPr="006C7E9F" w:rsidRDefault="000F38D1" w:rsidP="00A2776D">
            <w:pPr>
              <w:pStyle w:val="TableParagraph"/>
              <w:spacing w:line="267" w:lineRule="exact"/>
              <w:ind w:left="124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7E9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В.Д.</w:t>
            </w:r>
          </w:p>
        </w:tc>
      </w:tr>
      <w:tr w:rsidR="000F38D1" w:rsidRPr="006C7E9F" w:rsidTr="00A2776D">
        <w:tc>
          <w:tcPr>
            <w:tcW w:w="5068" w:type="dxa"/>
          </w:tcPr>
          <w:p w:rsidR="000F38D1" w:rsidRPr="00181B99" w:rsidRDefault="000F38D1" w:rsidP="00A27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43.358173</w:t>
            </w:r>
          </w:p>
        </w:tc>
        <w:tc>
          <w:tcPr>
            <w:tcW w:w="5069" w:type="dxa"/>
          </w:tcPr>
          <w:p w:rsidR="000F38D1" w:rsidRPr="00181B99" w:rsidRDefault="000F38D1" w:rsidP="00A2776D">
            <w:pPr>
              <w:jc w:val="center"/>
              <w:rPr>
                <w:sz w:val="26"/>
                <w:szCs w:val="26"/>
              </w:rPr>
            </w:pPr>
            <w:r>
              <w:t>76.765106</w:t>
            </w:r>
          </w:p>
        </w:tc>
      </w:tr>
    </w:tbl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lastRenderedPageBreak/>
        <w:t>Промышленная площадка ТОО «ALMATY TANNERY+» (Алматинский кожевенный завод+) размещена на собственном земельном участке согласно акта на право частной собственности на земельный участок №13353, кадастровый номер №03-047-062-062 от 10 октября 2017 года, площадью 100 000 м2 (10 га), из них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           - площадь застройки – 39400 м2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           - площадь твердых покрытий – 15600 м2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           - площадь озеленения – 45000 м2 на собственной территории.</w:t>
      </w:r>
    </w:p>
    <w:p w:rsid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           процент озеленения – 45%.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Рельеф местности вокруг производственной площадки равнинный, перепад высот менее 50 м на 1 км, поэтому безразмерный коэффициент, учитывающий рельеф местности равен 1.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Природные условия Алматинской области включают 5 климатических зон – от пустынь до вечных снегов. Климат резко континентальный, средняя температура января в равнинной части - 15 С, в предгорьях – 6-8 </w:t>
      </w:r>
      <w:proofErr w:type="gramStart"/>
      <w:r w:rsidRPr="000F38D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F38D1">
        <w:rPr>
          <w:rFonts w:ascii="Times New Roman" w:hAnsi="Times New Roman" w:cs="Times New Roman"/>
          <w:sz w:val="26"/>
          <w:szCs w:val="26"/>
        </w:rPr>
        <w:t>; июля – +16 С и +24+25 С соответственно. Годовое количество осадков на равнинах – до 300 мм, в предгорьях и горах – от 500-700 до 1000 мм в год.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Алматинская область расположена между хребтами Северного </w:t>
      </w:r>
      <w:hyperlink r:id="rId5" w:tooltip="Тянь-Шань" w:history="1">
        <w:r w:rsidRPr="000F38D1">
          <w:rPr>
            <w:rFonts w:ascii="Times New Roman" w:hAnsi="Times New Roman" w:cs="Times New Roman"/>
            <w:sz w:val="26"/>
            <w:szCs w:val="26"/>
          </w:rPr>
          <w:t>Тянь-Шаня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 на юге, озеро </w:t>
      </w:r>
      <w:hyperlink r:id="rId6" w:tooltip="Балхаш (озеро)" w:history="1">
        <w:r w:rsidRPr="000F38D1">
          <w:rPr>
            <w:rFonts w:ascii="Times New Roman" w:hAnsi="Times New Roman" w:cs="Times New Roman"/>
            <w:sz w:val="26"/>
            <w:szCs w:val="26"/>
          </w:rPr>
          <w:t>Балхаш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 – на северо-западе и река </w:t>
      </w:r>
      <w:hyperlink r:id="rId7" w:tooltip="Или (река)" w:history="1">
        <w:r w:rsidRPr="000F38D1">
          <w:rPr>
            <w:rFonts w:ascii="Times New Roman" w:hAnsi="Times New Roman" w:cs="Times New Roman"/>
            <w:sz w:val="26"/>
            <w:szCs w:val="26"/>
          </w:rPr>
          <w:t>Или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 – на северо-востоке; на востоке граничит с </w:t>
      </w:r>
      <w:hyperlink r:id="rId8" w:tooltip="Китай" w:history="1">
        <w:r w:rsidRPr="000F38D1">
          <w:rPr>
            <w:rFonts w:ascii="Times New Roman" w:hAnsi="Times New Roman" w:cs="Times New Roman"/>
            <w:sz w:val="26"/>
            <w:szCs w:val="26"/>
          </w:rPr>
          <w:t>КНР</w:t>
        </w:r>
      </w:hyperlink>
      <w:r w:rsidRPr="000F38D1">
        <w:rPr>
          <w:rFonts w:ascii="Times New Roman" w:hAnsi="Times New Roman" w:cs="Times New Roman"/>
          <w:sz w:val="26"/>
          <w:szCs w:val="26"/>
        </w:rPr>
        <w:t>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Всю северную половину занимает слабонаклоненная к северу равнина южного </w:t>
      </w:r>
      <w:hyperlink r:id="rId9" w:tooltip="Семиречье" w:history="1">
        <w:r w:rsidRPr="000F38D1">
          <w:rPr>
            <w:rFonts w:ascii="Times New Roman" w:hAnsi="Times New Roman" w:cs="Times New Roman"/>
            <w:sz w:val="26"/>
            <w:szCs w:val="26"/>
          </w:rPr>
          <w:t>Семиречья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или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Прибалхашья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(высота 300-500 м), пересечённая сухими руслами -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баканасами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>, с массивами грядовых и сыпучих песков (Сары-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Ишикотрау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Таукум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). Южная часть занята хребтами высотой до 5000 м: </w:t>
      </w:r>
      <w:hyperlink r:id="rId10" w:tooltip="Кетмень" w:history="1">
        <w:r w:rsidRPr="000F38D1">
          <w:rPr>
            <w:rFonts w:ascii="Times New Roman" w:hAnsi="Times New Roman" w:cs="Times New Roman"/>
            <w:sz w:val="26"/>
            <w:szCs w:val="26"/>
          </w:rPr>
          <w:t>Кетмень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tooltip="Заилийский Алатау" w:history="1">
        <w:proofErr w:type="spellStart"/>
        <w:r w:rsidRPr="000F38D1">
          <w:rPr>
            <w:rFonts w:ascii="Times New Roman" w:hAnsi="Times New Roman" w:cs="Times New Roman"/>
            <w:sz w:val="26"/>
            <w:szCs w:val="26"/>
          </w:rPr>
          <w:t>Заилийский</w:t>
        </w:r>
        <w:proofErr w:type="spellEnd"/>
        <w:r w:rsidRPr="000F38D1">
          <w:rPr>
            <w:rFonts w:ascii="Times New Roman" w:hAnsi="Times New Roman" w:cs="Times New Roman"/>
            <w:sz w:val="26"/>
            <w:szCs w:val="26"/>
          </w:rPr>
          <w:t xml:space="preserve"> Алатау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 и северными отрогами </w:t>
      </w:r>
      <w:hyperlink r:id="rId12" w:tooltip="Кунгей-Алатау" w:history="1">
        <w:proofErr w:type="spellStart"/>
        <w:r w:rsidRPr="000F38D1">
          <w:rPr>
            <w:rFonts w:ascii="Times New Roman" w:hAnsi="Times New Roman" w:cs="Times New Roman"/>
            <w:sz w:val="26"/>
            <w:szCs w:val="26"/>
          </w:rPr>
          <w:t>Кунгей</w:t>
        </w:r>
        <w:proofErr w:type="spellEnd"/>
        <w:r w:rsidRPr="000F38D1">
          <w:rPr>
            <w:rFonts w:ascii="Times New Roman" w:hAnsi="Times New Roman" w:cs="Times New Roman"/>
            <w:sz w:val="26"/>
            <w:szCs w:val="26"/>
          </w:rPr>
          <w:t>-Алатау</w:t>
        </w:r>
      </w:hyperlink>
      <w:r w:rsidRPr="000F38D1">
        <w:rPr>
          <w:rFonts w:ascii="Times New Roman" w:hAnsi="Times New Roman" w:cs="Times New Roman"/>
          <w:sz w:val="26"/>
          <w:szCs w:val="26"/>
        </w:rPr>
        <w:t>. С севера хребты окаймлены предгорьями и неширокими предгорными равнинами. Вся южная часть - район высокой сейсмичности.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Для северной, равнинной части характерна резкая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континентальность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климата, относительно холодная зима (января -9°С, -10°С), жаркое лето (июль около 24°С). Осадков выпадает всего 110 мм в год. В предгорной полосе климат мягче, осадков до 500-600 мм. В горах ярко выражена вертикальная поясность; количество осадков достигает 700-1000 мм в год. Вегетационный период в предгорьях и на равнине 205-225 дней.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Север и северо-запад почти лишены поверхностного стока; единственная река здесь - </w:t>
      </w:r>
      <w:hyperlink r:id="rId13" w:tooltip="Или (река)" w:history="1">
        <w:r w:rsidRPr="000F38D1">
          <w:rPr>
            <w:rFonts w:ascii="Times New Roman" w:hAnsi="Times New Roman" w:cs="Times New Roman"/>
            <w:sz w:val="26"/>
            <w:szCs w:val="26"/>
          </w:rPr>
          <w:t>Или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образующая сильно развитую заболоченную дельту и впадающая в западную часть озера </w:t>
      </w:r>
      <w:hyperlink r:id="rId14" w:tooltip="Балхаш (озеро)" w:history="1">
        <w:r w:rsidRPr="000F38D1">
          <w:rPr>
            <w:rFonts w:ascii="Times New Roman" w:hAnsi="Times New Roman" w:cs="Times New Roman"/>
            <w:sz w:val="26"/>
            <w:szCs w:val="26"/>
          </w:rPr>
          <w:t>Балхаш</w:t>
        </w:r>
      </w:hyperlink>
      <w:r w:rsidRPr="000F38D1">
        <w:rPr>
          <w:rFonts w:ascii="Times New Roman" w:hAnsi="Times New Roman" w:cs="Times New Roman"/>
          <w:sz w:val="26"/>
          <w:szCs w:val="26"/>
        </w:rPr>
        <w:t>. В южной, предгорной части речная сеть сравнительно густа; большинство рек (</w:t>
      </w:r>
      <w:hyperlink r:id="rId15" w:tooltip="Курты" w:history="1">
        <w:r w:rsidRPr="000F38D1">
          <w:rPr>
            <w:rFonts w:ascii="Times New Roman" w:hAnsi="Times New Roman" w:cs="Times New Roman"/>
            <w:sz w:val="26"/>
            <w:szCs w:val="26"/>
          </w:rPr>
          <w:t>Курты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tooltip="Каскелен" w:history="1">
        <w:r w:rsidRPr="000F38D1">
          <w:rPr>
            <w:rFonts w:ascii="Times New Roman" w:hAnsi="Times New Roman" w:cs="Times New Roman"/>
            <w:sz w:val="26"/>
            <w:szCs w:val="26"/>
          </w:rPr>
          <w:t>Каскелен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tooltip="Талгар" w:history="1">
        <w:r w:rsidRPr="000F38D1">
          <w:rPr>
            <w:rFonts w:ascii="Times New Roman" w:hAnsi="Times New Roman" w:cs="Times New Roman"/>
            <w:sz w:val="26"/>
            <w:szCs w:val="26"/>
          </w:rPr>
          <w:t>Талгар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tooltip="Иссык (река)" w:history="1">
        <w:r w:rsidRPr="000F38D1">
          <w:rPr>
            <w:rFonts w:ascii="Times New Roman" w:hAnsi="Times New Roman" w:cs="Times New Roman"/>
            <w:sz w:val="26"/>
            <w:szCs w:val="26"/>
          </w:rPr>
          <w:t>Иссык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tooltip="Турген" w:history="1">
        <w:proofErr w:type="spellStart"/>
        <w:r w:rsidRPr="000F38D1">
          <w:rPr>
            <w:rFonts w:ascii="Times New Roman" w:hAnsi="Times New Roman" w:cs="Times New Roman"/>
            <w:sz w:val="26"/>
            <w:szCs w:val="26"/>
          </w:rPr>
          <w:t>Тургень</w:t>
        </w:r>
        <w:proofErr w:type="spellEnd"/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tooltip="Чилик" w:history="1">
        <w:r w:rsidRPr="000F38D1">
          <w:rPr>
            <w:rFonts w:ascii="Times New Roman" w:hAnsi="Times New Roman" w:cs="Times New Roman"/>
            <w:sz w:val="26"/>
            <w:szCs w:val="26"/>
          </w:rPr>
          <w:t>Чилик</w:t>
        </w:r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tooltip="Чарын" w:history="1">
        <w:proofErr w:type="spellStart"/>
        <w:r w:rsidRPr="000F38D1">
          <w:rPr>
            <w:rFonts w:ascii="Times New Roman" w:hAnsi="Times New Roman" w:cs="Times New Roman"/>
            <w:sz w:val="26"/>
            <w:szCs w:val="26"/>
          </w:rPr>
          <w:t>Чарын</w:t>
        </w:r>
        <w:proofErr w:type="spellEnd"/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 и др.) берёт начало в горах и обычно не доходит до реки </w:t>
      </w:r>
      <w:hyperlink r:id="rId22" w:tooltip="Или (река)" w:history="1">
        <w:r w:rsidRPr="000F38D1">
          <w:rPr>
            <w:rFonts w:ascii="Times New Roman" w:hAnsi="Times New Roman" w:cs="Times New Roman"/>
            <w:sz w:val="26"/>
            <w:szCs w:val="26"/>
          </w:rPr>
          <w:t>Или</w:t>
        </w:r>
      </w:hyperlink>
      <w:r w:rsidRPr="000F38D1">
        <w:rPr>
          <w:rFonts w:ascii="Times New Roman" w:hAnsi="Times New Roman" w:cs="Times New Roman"/>
          <w:sz w:val="26"/>
          <w:szCs w:val="26"/>
        </w:rPr>
        <w:t>; реки теряются в песках или разбираются на орошение. В горах много мелких пресных озёр (</w:t>
      </w:r>
      <w:hyperlink r:id="rId23" w:tooltip="Большое Алматинское" w:history="1">
        <w:r w:rsidRPr="000F38D1">
          <w:rPr>
            <w:rFonts w:ascii="Times New Roman" w:hAnsi="Times New Roman" w:cs="Times New Roman"/>
            <w:sz w:val="26"/>
            <w:szCs w:val="26"/>
          </w:rPr>
          <w:t xml:space="preserve">Большое </w:t>
        </w:r>
        <w:proofErr w:type="spellStart"/>
        <w:r w:rsidRPr="000F38D1">
          <w:rPr>
            <w:rFonts w:ascii="Times New Roman" w:hAnsi="Times New Roman" w:cs="Times New Roman"/>
            <w:sz w:val="26"/>
            <w:szCs w:val="26"/>
          </w:rPr>
          <w:t>Алматинское</w:t>
        </w:r>
        <w:proofErr w:type="spellEnd"/>
      </w:hyperlink>
      <w:r w:rsidRPr="000F38D1">
        <w:rPr>
          <w:rFonts w:ascii="Times New Roman" w:hAnsi="Times New Roman" w:cs="Times New Roman"/>
          <w:sz w:val="26"/>
          <w:szCs w:val="26"/>
        </w:rPr>
        <w:t xml:space="preserve"> и др.) и минеральных источников (Алма-Арасан и др.).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Сброс сточных вод в открытые водоемы не производится, водоотведение осуществляется в городскую канализацию.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Захоронение отходов не планируется. По мере накопления отходы вывозятся с территории предприятия, согласно </w:t>
      </w:r>
      <w:proofErr w:type="gramStart"/>
      <w:r w:rsidRPr="000F38D1">
        <w:rPr>
          <w:rFonts w:ascii="Times New Roman" w:hAnsi="Times New Roman" w:cs="Times New Roman"/>
          <w:sz w:val="26"/>
          <w:szCs w:val="26"/>
        </w:rPr>
        <w:t>договору</w:t>
      </w:r>
      <w:proofErr w:type="gramEnd"/>
      <w:r w:rsidRPr="000F38D1">
        <w:rPr>
          <w:rFonts w:ascii="Times New Roman" w:hAnsi="Times New Roman" w:cs="Times New Roman"/>
          <w:sz w:val="26"/>
          <w:szCs w:val="26"/>
        </w:rPr>
        <w:t xml:space="preserve"> со специализированной организацией.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 Наименование инициатора намечаемой деятельности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W w:w="98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254"/>
        <w:gridCol w:w="1795"/>
      </w:tblGrid>
      <w:tr w:rsidR="000F38D1" w:rsidRPr="000F38D1" w:rsidTr="00A2776D">
        <w:trPr>
          <w:trHeight w:hRule="exact" w:val="264"/>
        </w:trPr>
        <w:tc>
          <w:tcPr>
            <w:tcW w:w="8049" w:type="dxa"/>
            <w:gridSpan w:val="2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Общая информация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473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Резиденство</w:t>
            </w:r>
            <w:proofErr w:type="spellEnd"/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ТОО «ALMATY TANNERY+» (Алматинский кожевенный завод+)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4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БИН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БИН 061140002558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2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136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Основной вид деятельности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 xml:space="preserve">Основным видом деятельности ТОО «ALMATY TANNERY+» (Алматинский кожевенный завод+), является обработка кожи, производительность предприятия 11 тонн в сутки готовой продукции. </w:t>
            </w:r>
          </w:p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ab/>
              <w:t>В соответствии с данными предприятия и Контрактом на разработку ПГС, производительность разработки составляет 132875 тыс.м3/год (309598,75 тонн/год).материалов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4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Форма собственности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ТОО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4"/>
        </w:trPr>
        <w:tc>
          <w:tcPr>
            <w:tcW w:w="8049" w:type="dxa"/>
            <w:gridSpan w:val="2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2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4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Алматинская область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777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Кокозек</w:t>
            </w:r>
            <w:proofErr w:type="spellEnd"/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2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4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Факс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577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info@tannery.kz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4"/>
        </w:trPr>
        <w:tc>
          <w:tcPr>
            <w:tcW w:w="8049" w:type="dxa"/>
            <w:gridSpan w:val="2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Директор филиала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719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Аблаков</w:t>
            </w:r>
            <w:proofErr w:type="spellEnd"/>
            <w:r w:rsidRPr="000F38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264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Саят</w:t>
            </w:r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8D1" w:rsidRPr="000F38D1" w:rsidTr="00A2776D">
        <w:trPr>
          <w:trHeight w:hRule="exact" w:val="317"/>
        </w:trPr>
        <w:tc>
          <w:tcPr>
            <w:tcW w:w="3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Отечество</w:t>
            </w:r>
          </w:p>
        </w:tc>
        <w:tc>
          <w:tcPr>
            <w:tcW w:w="4254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8D1">
              <w:rPr>
                <w:rFonts w:ascii="Times New Roman" w:hAnsi="Times New Roman" w:cs="Times New Roman"/>
                <w:sz w:val="26"/>
                <w:szCs w:val="26"/>
              </w:rPr>
              <w:t>Абжапбарович</w:t>
            </w:r>
            <w:proofErr w:type="spellEnd"/>
          </w:p>
        </w:tc>
        <w:tc>
          <w:tcPr>
            <w:tcW w:w="1795" w:type="dxa"/>
          </w:tcPr>
          <w:p w:rsidR="000F38D1" w:rsidRPr="000F38D1" w:rsidRDefault="000F38D1" w:rsidP="000F38D1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Основным видом деятельности ТОО «ALMATY TANNERY+» (Алматинский кожевенный завод+), является обработка кожи, производительность предприятия 11 тонн в сутки готовой продукции. 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Краткое описание существенных воздействий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Планируемые работы, не приведут к загрязнению окружающей природной среды, что не скажется негативно на здоровье населения. Эксплуатация промплощадки пополнит сырьевую базу области и позволит частично обеспечить рабочими местами местное население.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Воздействие эксплуатации объекта на биоразнообразие не негативного.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На территории предприятия представители животного мира отсутствуют. На данной местности отсутствуют деревья, кустарники и другие зеленые насаждения. Снос деревьев не предусмотрен.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Негативное воздействие проектируемого объекта на растительный покров прилегающих угодий не окажет воздействия. Растительный покров близлежащих угодий не будет поврежден.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Участок не входит в земли государственного лесного фонда и особо охраняемых природных территорий. Растения, занесенные в Красную книгу РК не встречаются. Влияния не изменят коренным образом структуру и направление развития экосистемы, и ее способность к самовосстановлению после прекращения или уменьшения степени техногенного воздействия.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Эксплуатация объекта связана с потребностью в водных ресурсах питьевого и технического назначения.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lastRenderedPageBreak/>
        <w:t xml:space="preserve">Вода на питьевые и хозяйственно-бытовые нужды должна соответствовать санитарным правилам «Санитарно-эпидемиологические требования к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водоисточникам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>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приказом Министра национальной экономики РК от 16.03.2015 г. №209.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Отбор воды из поверхностных источников для водоснабжения предприятия и сброс сточных вод в открытые водоемы не производится.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Согласно данным заказчика с месяц на производственные нужды (вода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используестся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со скважин) расходуется 156,86 м3/сут, 4000,0 м3/месяц, 48000,0 м3/год, (водоотведение составляет 80 %)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Итого водопотребление ТОО «ALMATY TANNERY+» (Алматинский кожевенный завод+) – 316,459 м3/сут, 74709,294 м3/сут,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Итого водоотведение от ТОО «ALMATY TANNERY+» (Алматинский кожевенный завод+) –142,799 м3/сут, 43607,036м3/год.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На территории промплощадки предусмотрены административно-бытовые помещения. 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 здании хранится медицинская аптечка, средства для индивидуальной защиты от вредных воздействий (респираторы, при необходимости средства от поражения людей электрическим током и пр.)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Также предусмотрено помещение для рабочей и верхней одежды, помещение для приема пищи, отдыха. Для мытья рук и умывания предусмотрены умывальники. Вентиляция в здании естественная.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Электроснабжение осуществляется от существующих сетей согласно договору № 85764 от 01. 04.2024 года, 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Теплоснабжение – осуществляется от собственной котельной.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Водоснабжение – осуществляется от насосных станция водозаборных скважин № 0795, № 0796, № 0797 (скважина № 1754 в резерве).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Водоотведение – осуществляется в существующие канализационные сети, согласно договору №5375 от 01.01.2018 года.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Вывоз бытовых отходов (ТБО) от осуществляется согласно договору.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На промплощадке имеются контейнера для сбора мусора, противопожарный щит, площадки для стоянки техники.</w:t>
      </w:r>
    </w:p>
    <w:p w:rsidR="000F38D1" w:rsidRPr="001343B4" w:rsidRDefault="000F38D1" w:rsidP="000F38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43B4">
        <w:rPr>
          <w:rFonts w:ascii="Times New Roman" w:hAnsi="Times New Roman" w:cs="Times New Roman"/>
          <w:color w:val="000000" w:themeColor="text1"/>
          <w:sz w:val="26"/>
          <w:szCs w:val="26"/>
        </w:rPr>
        <w:t>Основными</w:t>
      </w:r>
      <w:r w:rsidRPr="001343B4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Pr="001343B4">
        <w:rPr>
          <w:rFonts w:ascii="Times New Roman" w:hAnsi="Times New Roman" w:cs="Times New Roman"/>
          <w:color w:val="000000" w:themeColor="text1"/>
          <w:sz w:val="26"/>
          <w:szCs w:val="26"/>
        </w:rPr>
        <w:t>источниками</w:t>
      </w:r>
      <w:r w:rsidRPr="001343B4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Pr="001343B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</w:t>
      </w:r>
      <w:r w:rsidRPr="001343B4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1343B4">
        <w:rPr>
          <w:rFonts w:ascii="Times New Roman" w:hAnsi="Times New Roman" w:cs="Times New Roman"/>
          <w:color w:val="000000" w:themeColor="text1"/>
          <w:sz w:val="26"/>
          <w:szCs w:val="26"/>
        </w:rPr>
        <w:t>отходов</w:t>
      </w:r>
      <w:r w:rsidRPr="001343B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1343B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Pr="001343B4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Pr="001343B4">
        <w:rPr>
          <w:rFonts w:ascii="Times New Roman" w:hAnsi="Times New Roman" w:cs="Times New Roman"/>
          <w:color w:val="000000" w:themeColor="text1"/>
          <w:sz w:val="26"/>
          <w:szCs w:val="26"/>
        </w:rPr>
        <w:t>эксплуатации</w:t>
      </w:r>
      <w:r w:rsidRPr="001343B4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Pr="001343B4">
        <w:rPr>
          <w:rFonts w:ascii="Times New Roman" w:hAnsi="Times New Roman" w:cs="Times New Roman"/>
          <w:color w:val="000000" w:themeColor="text1"/>
          <w:sz w:val="26"/>
          <w:szCs w:val="26"/>
        </w:rPr>
        <w:t>промышленной площадки</w:t>
      </w:r>
      <w:r w:rsidRPr="001343B4">
        <w:rPr>
          <w:rFonts w:ascii="Times New Roman" w:hAnsi="Times New Roman" w:cs="Times New Roman"/>
          <w:color w:val="000000" w:themeColor="text1"/>
          <w:spacing w:val="69"/>
          <w:sz w:val="26"/>
          <w:szCs w:val="26"/>
        </w:rPr>
        <w:t xml:space="preserve"> </w:t>
      </w:r>
      <w:r w:rsidRPr="001343B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будут</w:t>
      </w:r>
      <w:r w:rsidRPr="001343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являться: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ТБО (20 03 01)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Смет с территории (20 03 03)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Лом черных металлов (16 01 17)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Металлическая стружка (12 01 01)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Огарки сварочных электродов (12 01 13)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Пищевые отходы (20 01 08)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Люминесцентные лампы (20 01 21*)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Биологические отходы производства (04 01 01)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Отходы отстойника (04 02 19*)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Текстиль для подкладки, термопласт для деталей низа, нитки (04 02 09)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Кожа натуральная для верха и подкладки (04 01 08)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Картон обувной для деталей низа (04 02 99)</w:t>
      </w:r>
    </w:p>
    <w:p w:rsidR="000F38D1" w:rsidRPr="003B0EA7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Резина, полиуретан (04 01 99)</w:t>
      </w:r>
    </w:p>
    <w:p w:rsidR="000F38D1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3B0EA7">
        <w:rPr>
          <w:color w:val="000000" w:themeColor="text1"/>
          <w:sz w:val="26"/>
          <w:szCs w:val="26"/>
        </w:rPr>
        <w:t>Тара металлическая (15 01 10*)</w:t>
      </w:r>
    </w:p>
    <w:p w:rsidR="000F38D1" w:rsidRDefault="000F38D1" w:rsidP="000F38D1">
      <w:pPr>
        <w:pStyle w:val="a4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9A33C9">
        <w:rPr>
          <w:color w:val="000000" w:themeColor="text1"/>
          <w:sz w:val="26"/>
          <w:szCs w:val="26"/>
        </w:rPr>
        <w:lastRenderedPageBreak/>
        <w:t>Красители и пигменты, содержащие опасные вещества (04 02 16*)</w:t>
      </w:r>
    </w:p>
    <w:p w:rsidR="000F38D1" w:rsidRPr="00AD645A" w:rsidRDefault="000F38D1" w:rsidP="000F38D1">
      <w:pPr>
        <w:tabs>
          <w:tab w:val="left" w:pos="567"/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64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Всего образуется </w:t>
      </w:r>
      <w:r w:rsidRPr="00AD64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798,1484</w:t>
      </w:r>
      <w:r w:rsidRPr="00AD64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тонн в год бытовых и производственных отходов.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F38D1">
        <w:rPr>
          <w:rFonts w:ascii="Times New Roman" w:hAnsi="Times New Roman" w:cs="Times New Roman"/>
          <w:sz w:val="26"/>
          <w:szCs w:val="26"/>
        </w:rPr>
        <w:t>Виды и количество отходов производства и потребления</w:t>
      </w:r>
    </w:p>
    <w:p w:rsidR="000F38D1" w:rsidRPr="000F38D1" w:rsidRDefault="000F38D1" w:rsidP="000F38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Ниже, в таблице приведены объёмы образования отходов на период эксплуатации.</w:t>
      </w:r>
    </w:p>
    <w:tbl>
      <w:tblPr>
        <w:tblStyle w:val="4"/>
        <w:tblW w:w="9857" w:type="dxa"/>
        <w:tblLayout w:type="fixed"/>
        <w:tblLook w:val="04A0" w:firstRow="1" w:lastRow="0" w:firstColumn="1" w:lastColumn="0" w:noHBand="0" w:noVBand="1"/>
      </w:tblPr>
      <w:tblGrid>
        <w:gridCol w:w="4815"/>
        <w:gridCol w:w="1701"/>
        <w:gridCol w:w="1701"/>
        <w:gridCol w:w="1640"/>
      </w:tblGrid>
      <w:tr w:rsidR="000F38D1" w:rsidRPr="009A33C9" w:rsidTr="00A2776D">
        <w:tc>
          <w:tcPr>
            <w:tcW w:w="4815" w:type="dxa"/>
          </w:tcPr>
          <w:p w:rsidR="000F38D1" w:rsidRPr="009A33C9" w:rsidRDefault="000F38D1" w:rsidP="00A2776D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Наименование</w:t>
            </w:r>
            <w:r w:rsidRPr="009A33C9">
              <w:rPr>
                <w:color w:val="000000" w:themeColor="text1"/>
                <w:spacing w:val="-23"/>
                <w:sz w:val="26"/>
                <w:szCs w:val="26"/>
              </w:rPr>
              <w:t xml:space="preserve"> </w:t>
            </w:r>
            <w:r w:rsidRPr="009A33C9">
              <w:rPr>
                <w:color w:val="000000" w:themeColor="text1"/>
                <w:sz w:val="26"/>
                <w:szCs w:val="26"/>
              </w:rPr>
              <w:t>отходов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Образование</w:t>
            </w:r>
            <w:r w:rsidRPr="009A33C9">
              <w:rPr>
                <w:color w:val="000000" w:themeColor="text1"/>
                <w:w w:val="95"/>
                <w:sz w:val="26"/>
                <w:szCs w:val="26"/>
              </w:rPr>
              <w:t>,</w:t>
            </w:r>
            <w:r w:rsidRPr="009A33C9">
              <w:rPr>
                <w:color w:val="000000" w:themeColor="text1"/>
                <w:spacing w:val="23"/>
                <w:w w:val="99"/>
                <w:sz w:val="26"/>
                <w:szCs w:val="26"/>
              </w:rPr>
              <w:t xml:space="preserve"> </w:t>
            </w:r>
            <w:r w:rsidRPr="009A33C9">
              <w:rPr>
                <w:color w:val="000000" w:themeColor="text1"/>
                <w:sz w:val="26"/>
                <w:szCs w:val="26"/>
              </w:rPr>
              <w:t>т/год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Размещение</w:t>
            </w:r>
            <w:r w:rsidRPr="009A33C9">
              <w:rPr>
                <w:color w:val="000000" w:themeColor="text1"/>
                <w:w w:val="95"/>
                <w:sz w:val="26"/>
                <w:szCs w:val="26"/>
              </w:rPr>
              <w:t>,</w:t>
            </w:r>
            <w:r w:rsidRPr="009A33C9">
              <w:rPr>
                <w:color w:val="000000" w:themeColor="text1"/>
                <w:spacing w:val="23"/>
                <w:w w:val="99"/>
                <w:sz w:val="26"/>
                <w:szCs w:val="26"/>
              </w:rPr>
              <w:t xml:space="preserve"> </w:t>
            </w:r>
            <w:r w:rsidRPr="009A33C9">
              <w:rPr>
                <w:color w:val="000000" w:themeColor="text1"/>
                <w:sz w:val="26"/>
                <w:szCs w:val="26"/>
              </w:rPr>
              <w:t>т/год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Передача</w:t>
            </w:r>
            <w:r w:rsidRPr="009A33C9">
              <w:rPr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Pr="009A33C9">
              <w:rPr>
                <w:color w:val="000000" w:themeColor="text1"/>
                <w:sz w:val="26"/>
                <w:szCs w:val="26"/>
              </w:rPr>
              <w:t>сторонним</w:t>
            </w:r>
            <w:r w:rsidRPr="009A33C9">
              <w:rPr>
                <w:color w:val="000000" w:themeColor="text1"/>
                <w:spacing w:val="22"/>
                <w:w w:val="99"/>
                <w:sz w:val="26"/>
                <w:szCs w:val="26"/>
              </w:rPr>
              <w:t xml:space="preserve"> </w:t>
            </w:r>
            <w:r w:rsidRPr="009A33C9">
              <w:rPr>
                <w:color w:val="000000" w:themeColor="text1"/>
                <w:sz w:val="26"/>
                <w:szCs w:val="26"/>
              </w:rPr>
              <w:t>организациям,</w:t>
            </w:r>
            <w:r w:rsidRPr="009A33C9">
              <w:rPr>
                <w:color w:val="000000" w:themeColor="text1"/>
                <w:spacing w:val="-21"/>
                <w:sz w:val="26"/>
                <w:szCs w:val="26"/>
              </w:rPr>
              <w:t xml:space="preserve"> </w:t>
            </w:r>
            <w:r w:rsidRPr="009A33C9">
              <w:rPr>
                <w:color w:val="000000" w:themeColor="text1"/>
                <w:sz w:val="26"/>
                <w:szCs w:val="26"/>
              </w:rPr>
              <w:t>т/год</w:t>
            </w:r>
          </w:p>
        </w:tc>
      </w:tr>
      <w:tr w:rsidR="000F38D1" w:rsidRPr="009A33C9" w:rsidTr="00A2776D">
        <w:tc>
          <w:tcPr>
            <w:tcW w:w="4815" w:type="dxa"/>
          </w:tcPr>
          <w:p w:rsidR="000F38D1" w:rsidRPr="009A33C9" w:rsidRDefault="000F38D1" w:rsidP="00A2776D">
            <w:pPr>
              <w:rPr>
                <w:b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798,1484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798,1484</w:t>
            </w:r>
          </w:p>
        </w:tc>
      </w:tr>
      <w:tr w:rsidR="000F38D1" w:rsidRPr="009A33C9" w:rsidTr="00A2776D">
        <w:tc>
          <w:tcPr>
            <w:tcW w:w="4815" w:type="dxa"/>
          </w:tcPr>
          <w:p w:rsidR="000F38D1" w:rsidRPr="009A33C9" w:rsidRDefault="000F38D1" w:rsidP="00A2776D">
            <w:pPr>
              <w:rPr>
                <w:b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color w:val="000000" w:themeColor="text1"/>
                <w:sz w:val="26"/>
                <w:szCs w:val="26"/>
              </w:rPr>
              <w:t>в</w:t>
            </w:r>
            <w:r w:rsidRPr="009A33C9">
              <w:rPr>
                <w:b/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9A33C9">
              <w:rPr>
                <w:b/>
                <w:color w:val="000000" w:themeColor="text1"/>
                <w:sz w:val="26"/>
                <w:szCs w:val="26"/>
              </w:rPr>
              <w:t>т.</w:t>
            </w:r>
            <w:r w:rsidRPr="009A33C9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33C9">
              <w:rPr>
                <w:b/>
                <w:color w:val="000000" w:themeColor="text1"/>
                <w:sz w:val="26"/>
                <w:szCs w:val="26"/>
              </w:rPr>
              <w:t>ч.</w:t>
            </w:r>
            <w:r w:rsidRPr="009A33C9">
              <w:rPr>
                <w:b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9A33C9">
              <w:rPr>
                <w:b/>
                <w:color w:val="000000" w:themeColor="text1"/>
                <w:sz w:val="26"/>
                <w:szCs w:val="26"/>
              </w:rPr>
              <w:t>отходов</w:t>
            </w:r>
            <w:r w:rsidRPr="009A33C9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9A33C9">
              <w:rPr>
                <w:b/>
                <w:color w:val="000000" w:themeColor="text1"/>
                <w:sz w:val="26"/>
                <w:szCs w:val="26"/>
              </w:rPr>
              <w:t>производства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F38D1" w:rsidRPr="009A33C9" w:rsidTr="00A2776D"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ТБО (20 03 01)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31,27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31,27</w:t>
            </w:r>
          </w:p>
        </w:tc>
      </w:tr>
      <w:tr w:rsidR="000F38D1" w:rsidRPr="009A33C9" w:rsidTr="00A2776D">
        <w:trPr>
          <w:trHeight w:val="180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Смет с территории (20 03 03)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56,16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56,16</w:t>
            </w:r>
          </w:p>
        </w:tc>
      </w:tr>
      <w:tr w:rsidR="000F38D1" w:rsidRPr="009A33C9" w:rsidTr="00A2776D">
        <w:trPr>
          <w:trHeight w:val="127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Лом черных металлов (16 01 17)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0,53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0,53</w:t>
            </w:r>
          </w:p>
        </w:tc>
      </w:tr>
      <w:tr w:rsidR="000F38D1" w:rsidRPr="009A33C9" w:rsidTr="00A2776D">
        <w:trPr>
          <w:trHeight w:val="108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Металлическая стружка (12 01 01)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0,0014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0,0014</w:t>
            </w:r>
          </w:p>
        </w:tc>
      </w:tr>
      <w:tr w:rsidR="000F38D1" w:rsidRPr="009A33C9" w:rsidTr="00A2776D">
        <w:trPr>
          <w:trHeight w:val="115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Огарки сварочных электродов (12 01 13)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0,006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0,006</w:t>
            </w:r>
          </w:p>
        </w:tc>
      </w:tr>
      <w:tr w:rsidR="000F38D1" w:rsidRPr="009A33C9" w:rsidTr="00A2776D">
        <w:trPr>
          <w:trHeight w:val="151"/>
        </w:trPr>
        <w:tc>
          <w:tcPr>
            <w:tcW w:w="4815" w:type="dxa"/>
          </w:tcPr>
          <w:p w:rsidR="000F38D1" w:rsidRPr="009A33C9" w:rsidRDefault="000F38D1" w:rsidP="00A2776D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Пищевые отходы (20 01 08)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3,25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3,25</w:t>
            </w:r>
          </w:p>
        </w:tc>
      </w:tr>
      <w:tr w:rsidR="000F38D1" w:rsidRPr="009A33C9" w:rsidTr="00A2776D">
        <w:trPr>
          <w:trHeight w:val="180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Люминесцентные лампы (20 01 21*)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0,02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0,02</w:t>
            </w:r>
          </w:p>
        </w:tc>
      </w:tr>
      <w:tr w:rsidR="000F38D1" w:rsidRPr="009A33C9" w:rsidTr="00A2776D">
        <w:trPr>
          <w:trHeight w:val="396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Биологические отходы производства (04 01 01)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537,0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A33C9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537,0</w:t>
            </w:r>
          </w:p>
        </w:tc>
      </w:tr>
      <w:tr w:rsidR="000F38D1" w:rsidRPr="009A33C9" w:rsidTr="00A2776D">
        <w:trPr>
          <w:trHeight w:val="156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Отходы отстойника  (04 02 19*)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134,0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134,0</w:t>
            </w:r>
          </w:p>
        </w:tc>
      </w:tr>
      <w:tr w:rsidR="000F38D1" w:rsidRPr="009A33C9" w:rsidTr="00A2776D">
        <w:trPr>
          <w:trHeight w:val="156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Текстиль для подкладки, термопласт для деталей низа, нитки (04 02 09)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8,475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8,475</w:t>
            </w:r>
          </w:p>
        </w:tc>
      </w:tr>
      <w:tr w:rsidR="000F38D1" w:rsidRPr="009A33C9" w:rsidTr="00A2776D">
        <w:trPr>
          <w:trHeight w:val="143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Кожа натуральная для верха и подкладки (04 01 08)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9,504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9,504</w:t>
            </w:r>
          </w:p>
        </w:tc>
      </w:tr>
      <w:tr w:rsidR="000F38D1" w:rsidRPr="009A33C9" w:rsidTr="00A2776D">
        <w:trPr>
          <w:trHeight w:val="144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Картон обувной для деталей низа (04 02 99)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10,824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10,824</w:t>
            </w:r>
          </w:p>
        </w:tc>
      </w:tr>
      <w:tr w:rsidR="000F38D1" w:rsidRPr="009A33C9" w:rsidTr="00A2776D">
        <w:trPr>
          <w:trHeight w:val="144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Резина, полиуретан (04 01 99)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2,468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2,468</w:t>
            </w:r>
          </w:p>
        </w:tc>
      </w:tr>
      <w:tr w:rsidR="000F38D1" w:rsidRPr="009A33C9" w:rsidTr="00A2776D">
        <w:trPr>
          <w:trHeight w:val="119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Тара металлическая (15 01 10*)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2,64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2,64</w:t>
            </w:r>
          </w:p>
        </w:tc>
      </w:tr>
      <w:tr w:rsidR="000F38D1" w:rsidRPr="009A33C9" w:rsidTr="00A2776D">
        <w:trPr>
          <w:trHeight w:val="95"/>
        </w:trPr>
        <w:tc>
          <w:tcPr>
            <w:tcW w:w="4815" w:type="dxa"/>
          </w:tcPr>
          <w:p w:rsidR="000F38D1" w:rsidRPr="009A33C9" w:rsidRDefault="000F38D1" w:rsidP="00A2776D">
            <w:pPr>
              <w:ind w:left="36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 xml:space="preserve">Красители и пигменты, содержащие опасные вещества  (04 02 16*) 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2.0</w:t>
            </w:r>
          </w:p>
        </w:tc>
        <w:tc>
          <w:tcPr>
            <w:tcW w:w="1701" w:type="dxa"/>
          </w:tcPr>
          <w:p w:rsidR="000F38D1" w:rsidRPr="009A33C9" w:rsidRDefault="000F38D1" w:rsidP="00A2776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40" w:type="dxa"/>
          </w:tcPr>
          <w:p w:rsidR="000F38D1" w:rsidRPr="009A33C9" w:rsidRDefault="000F38D1" w:rsidP="00A2776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3C9">
              <w:rPr>
                <w:color w:val="000000" w:themeColor="text1"/>
                <w:sz w:val="26"/>
                <w:szCs w:val="26"/>
              </w:rPr>
              <w:t>2,0</w:t>
            </w:r>
          </w:p>
        </w:tc>
      </w:tr>
    </w:tbl>
    <w:p w:rsidR="000F38D1" w:rsidRPr="000F38D1" w:rsidRDefault="000F38D1" w:rsidP="000F38D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Наблюдения за загрязнением атмосферного воздуха, проводимые как составная часть государственного мониторинга окружающей среды, осуществляется государственным подразделением «Казгидромет». Справка о фоновых концентрациях представлена в приложении.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Контроль за выбросами загрязняющих веществ в атмосферу на предприятии будет расчётным методом.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Воздействие на атмосферный воздух допустимое.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 непосредственной близости от района расположения объекта историко-архитектурные памятники, охраняемые объекты, археологические ценности, а также особо охраняемые и ценные природные комплексы (заповедники, заказники, памятники природы) отсутствуют.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Информация о показателях эмиссий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lastRenderedPageBreak/>
        <w:t>При проведении инвентаризации в 2025 году на ТОО «ALMATY TANNERY+» (Алматинский кожевенный завод+) выявлены 26 источников загрязнения атмосферного воздуха, из них: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организованных – 10: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ист. загр. № 0001 – парогенератор №1;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ист. загр. №0002 – парогенератор №2; (резервный)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ист. загр. № 0020 – парогенератор №3; (резервный)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ист. загр. № 0003 – емкость для хранения дизельного топлива;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ист. загр. №0021 – цех финишной обработки кожи;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ист. загр. № 0022 – раскройно-штамповочный цех;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ист. загр. №0023 –заготовочный цех;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ист. загр. № 0024 – затяжной цех;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ист. загр. №0025 – литьевой цех;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ист. загр. №0019 – столовая;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неорганизованных нормируемых– 14: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ист. загр. № 6004 – производство полуфабриката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Wet-bliue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>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ист. загр. № 6005 – производство полуфабриката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Wet-bliue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>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6006 – производство полуфабриката CRUST;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6007 – производство полуфабриката CRUST;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6008 –производственный корпус;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6009 – производственный цех;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6010 – производственный цех;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6011 –сооружение локальной очистки сточных вод;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6012 – сварочные работы;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6013 – сварочные работы;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6014 – сварочные работы;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6015 – ремонтные работы;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6016 – ремонт мастерского цеха;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6012 – сварочные работы;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неорганизованных ненормируемых – 2 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6017– автотранспорт предприятия;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ист. загр. № 6018 –автотранспорт, приезжающего на территорию промышленной площадки (парковочный карман).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При эксплуатации ТОО «ALMATY TANNERY+» (Алматинский кожевенный завод+) в атмосферный воздух выделяются: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- загрязняющие вещества 1 класса опасности – хром (0203), бензапирен (0703), -2;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загрязняющие вещества 2 класса опасности – оксид алюминия (0101), марганец и его соединения (0143), диоксид азота (0301), серная кислота (0322), сероводород (0333), фтористые и газообразные соединения (0342), акриловая кислота (1206), акролеин (1301), формальдегид (1325), смола (2743) – 9;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загрязняющие вещества 3 класса опасности - оксид железа (0123), оксид магния (0138), сода кальцинированная (0150), кальция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стеарат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(0258), оксид азота (0304), сажа (0328), диоксид серы (0330), диметилбензол (0616), метилбензол (0621), бутиловый спирт (1042),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этенилацетат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(1213), муравьиная кислота (1231), ацетальдегид (1317), ацетальдегид (1317),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lastRenderedPageBreak/>
        <w:t>циклогексанол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(1411), уксусная кислота (1555),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альтакс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(2406), взвешенные частицы (2902), пыль неорганическая (2908), – 19;  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загрязняющие вещества 4 класса опасности – аммиак (0303), оксид углерода (0337),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дихлорметан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(0869), этиловый спирт (1061), уксусная кислота (1210),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метилакрилат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(1225), этилацетат (1240), бензин (2704), алканы (2754), пыль мучная (3721)- 10;</w:t>
      </w:r>
    </w:p>
    <w:p w:rsidR="000F38D1" w:rsidRPr="000F38D1" w:rsidRDefault="000F38D1" w:rsidP="000F38D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- загрязняющие вещества ОБУВ – сода кальцинированная (0150),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гексан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(0256), бутанол (1288), канифоль (2726), керосин (2732), пыль меховая (2920), каучук (2928), пыль абразивная (2930), пыль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токого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измельчённого резинового вулканизата (2978), Бор хлорид (0373), Гликоль (1078) Ацетальдегид (1115). 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Выбросы от автотранспорта учитываются в расчете рассеивания, но не нормируются, так как автотранспорт является передвижным источником.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О вероятности возникновения аварий и природных явлений. Проектные решения предусматривают все необходимые мероприятия и решения, направленные на недопущение и предотвращение данных ситуаций. Вероятность возникновения аварийных ситуаций на объекте по причине природных воздействий следует принять несущественной, так как при проектировании зданий, сооружений и инженерных сетей в полной мере учитываются природно-климатические особенности района.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О возможных существенных вредных воздействиях. 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–низкая.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О мерах по предотвращению аварий. Проведение инструктажа для работников предприятия, при каждом   инструктаже проверяется: знание безопасных методов работы, умение пользоваться средствами защиты индивидуального и коллективного пользования, предохранительными устройствами; оказания первой медицинской помощи; знание Плана ликвидации аварий, своих действий при аварии. 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При возникновении пожара подаются соответствующие сигналы для оповещения работающих, которые выводятся за пределы опасной зоны.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 помещениях и производственных корпусах рекомендуется иметь углекислотные и пенные огнетушители, ящики с песком и простейший противопожарный инвентарь.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Необходимо широко популяризировать среди рабочих и ИТР промышленной площадки правила противопожарных мероприятий и обучать их приемам тушения пожара.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Размещение объектов на генплане, автомобильные въезды на территорию и проезды по территории выполнены с учетом требований норм по обслуживанию объектов в случае возникновения чрезвычайных ситуаций. На территории объекта исключены опасные геологические и геотехнические явления типа селей, обвалов, оползней и другие. От ливневых осадков территория защищена соответствующей планировкой.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Мер по предотвращению, сокращению, смягчению существенных воздействий. 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Учитывая требования в области ООС, а также применяя новейшие технологии и технологическое оборудование, на предприятии постоянно осуществляются мероприятия по снижению выбросов пыли.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 xml:space="preserve">Источники загрязняющих веществ на предприятии </w:t>
      </w:r>
      <w:proofErr w:type="spellStart"/>
      <w:r w:rsidRPr="000F38D1">
        <w:rPr>
          <w:rFonts w:ascii="Times New Roman" w:hAnsi="Times New Roman" w:cs="Times New Roman"/>
          <w:sz w:val="26"/>
          <w:szCs w:val="26"/>
        </w:rPr>
        <w:t>пылегазоочистными</w:t>
      </w:r>
      <w:proofErr w:type="spellEnd"/>
      <w:r w:rsidRPr="000F38D1">
        <w:rPr>
          <w:rFonts w:ascii="Times New Roman" w:hAnsi="Times New Roman" w:cs="Times New Roman"/>
          <w:sz w:val="26"/>
          <w:szCs w:val="26"/>
        </w:rPr>
        <w:t xml:space="preserve"> установками не оборудованы согласно таблице выше.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lastRenderedPageBreak/>
        <w:t>Все образующиеся виды отходов собираются в промаркированные контейнеры и вывозятся согласно договору.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Мер по компенсации потерь биоразнообразия. Угроза потери биоразнообразия на территории проектируемого объекта отсутствует, и соответственно компенсация по их потере не требуется.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Рекомендуется провести инструктаж персонала о бережном отношении к природе, указать места, где работы должны быть проведены с особой тщательностью и осторожностью.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Возможных необратимых воздействий намечаемой деятельности на ОС. Аварийных ситуаций, которые могли бы иметь необратимые процессы или изменения условий жизни нет.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Способов и мер восстановления ОС в случаях прекращения намечаемой деятельности. В случае принятия решения о прекращении деятельности на начальной стадии ее осуществления, оператором будет разработан план ликвидации последствий производственной деятельности на основании «Инструкции по составлению плана ликвидации», утвержденной приказом №386 от 24.05.2018 г.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При планировании ликвидационных мероприятий выделены следующие критерии: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приведение нарушенного участка в состояние, безопасное для населения и животного мира;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приведение земель в состояние, пригодное для восстановления почвенно-растительного покрова;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улучшение микроклимата на восстановленной территории;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8D1">
        <w:rPr>
          <w:rFonts w:ascii="Times New Roman" w:hAnsi="Times New Roman" w:cs="Times New Roman"/>
          <w:sz w:val="26"/>
          <w:szCs w:val="26"/>
        </w:rPr>
        <w:t>нейтрализация отрицательного воздействия нарушенной территории на окружающую среду и здоровье человека.</w:t>
      </w: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38D1" w:rsidRPr="000F38D1" w:rsidRDefault="000F38D1" w:rsidP="000F38D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5D73" w:rsidRPr="000F38D1" w:rsidRDefault="00B55D73" w:rsidP="000F38D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D73" w:rsidRPr="000F38D1" w:rsidSect="000F38D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4456"/>
    <w:multiLevelType w:val="hybridMultilevel"/>
    <w:tmpl w:val="987EA476"/>
    <w:lvl w:ilvl="0" w:tplc="3FC6EBD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1C"/>
    <w:rsid w:val="000F38D1"/>
    <w:rsid w:val="0039301C"/>
    <w:rsid w:val="00B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3559"/>
  <w15:chartTrackingRefBased/>
  <w15:docId w15:val="{49D42FA3-4BEB-466E-8108-F91919E5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F38D1"/>
    <w:pPr>
      <w:widowControl w:val="0"/>
      <w:spacing w:after="0" w:line="240" w:lineRule="auto"/>
    </w:pPr>
    <w:rPr>
      <w:rFonts w:eastAsiaTheme="minorEastAsia"/>
      <w:lang w:val="en-US" w:eastAsia="ru-RU"/>
    </w:rPr>
  </w:style>
  <w:style w:type="table" w:styleId="a3">
    <w:name w:val="Table Grid"/>
    <w:aliases w:val="ПНОО"/>
    <w:basedOn w:val="a1"/>
    <w:uiPriority w:val="59"/>
    <w:rsid w:val="000F3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ПНОО4"/>
    <w:basedOn w:val="a1"/>
    <w:next w:val="a3"/>
    <w:uiPriority w:val="59"/>
    <w:rsid w:val="000F3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АРКЕРОВ"/>
    <w:basedOn w:val="a"/>
    <w:uiPriority w:val="34"/>
    <w:qFormat/>
    <w:rsid w:val="000F38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8%D1%82%D0%B0%D0%B9" TargetMode="External"/><Relationship Id="rId13" Type="http://schemas.openxmlformats.org/officeDocument/2006/relationships/hyperlink" Target="http://ru.wikipedia.org/wiki/%D0%98%D0%BB%D0%B8_%28%D1%80%D0%B5%D0%BA%D0%B0%29" TargetMode="External"/><Relationship Id="rId18" Type="http://schemas.openxmlformats.org/officeDocument/2006/relationships/hyperlink" Target="http://ru.wikipedia.org/w/index.php?title=%D0%98%D1%81%D1%81%D1%8B%D0%BA_%28%D1%80%D0%B5%D0%BA%D0%B0%29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7%D0%B0%D1%80%D1%8B%D0%BD" TargetMode="External"/><Relationship Id="rId7" Type="http://schemas.openxmlformats.org/officeDocument/2006/relationships/hyperlink" Target="http://ru.wikipedia.org/wiki/%D0%98%D0%BB%D0%B8_%28%D1%80%D0%B5%D0%BA%D0%B0%29" TargetMode="External"/><Relationship Id="rId12" Type="http://schemas.openxmlformats.org/officeDocument/2006/relationships/hyperlink" Target="http://ru.wikipedia.org/w/index.php?title=%D0%9A%D1%83%D0%BD%D0%B3%D0%B5%D0%B9-%D0%90%D0%BB%D0%B0%D1%82%D0%B0%D1%83&amp;action=edit" TargetMode="External"/><Relationship Id="rId17" Type="http://schemas.openxmlformats.org/officeDocument/2006/relationships/hyperlink" Target="http://ru.wikipedia.org/wiki/%D0%A2%D0%B0%D0%BB%D0%B3%D0%B0%D1%8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0%D1%81%D0%BA%D0%B5%D0%BB%D0%B5%D0%BD" TargetMode="External"/><Relationship Id="rId20" Type="http://schemas.openxmlformats.org/officeDocument/2006/relationships/hyperlink" Target="http://ru.wikipedia.org/wiki/%D0%A7%D0%B8%D0%BB%D0%B8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1%D0%B0%D0%BB%D1%85%D0%B0%D1%88_%28%D0%BE%D0%B7%D0%B5%D1%80%D0%BE%29" TargetMode="External"/><Relationship Id="rId11" Type="http://schemas.openxmlformats.org/officeDocument/2006/relationships/hyperlink" Target="http://ru.wikipedia.org/wiki/%D0%97%D0%B0%D0%B8%D0%BB%D0%B8%D0%B9%D1%81%D0%BA%D0%B8%D0%B9_%D0%90%D0%BB%D0%B0%D1%82%D0%B0%D1%8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wikipedia.org/wiki/%D0%A2%D1%8F%D0%BD%D1%8C-%D0%A8%D0%B0%D0%BD%D1%8C" TargetMode="External"/><Relationship Id="rId15" Type="http://schemas.openxmlformats.org/officeDocument/2006/relationships/hyperlink" Target="http://ru.wikipedia.org/wiki/%D0%9A%D1%83%D1%80%D1%82%D1%8B" TargetMode="External"/><Relationship Id="rId23" Type="http://schemas.openxmlformats.org/officeDocument/2006/relationships/hyperlink" Target="http://ru.wikipedia.org/w/index.php?title=%D0%91%D0%BE%D0%BB%D1%8C%D1%88%D0%BE%D0%B5_%D0%90%D0%BB%D0%BC%D0%B0%D1%82%D0%B8%D0%BD%D1%81%D0%BA%D0%BE%D0%B5&amp;action=edit" TargetMode="External"/><Relationship Id="rId10" Type="http://schemas.openxmlformats.org/officeDocument/2006/relationships/hyperlink" Target="http://ru.wikipedia.org/w/index.php?title=%D0%9A%D0%B5%D1%82%D0%BC%D0%B5%D0%BD%D1%8C&amp;action=edit" TargetMode="External"/><Relationship Id="rId19" Type="http://schemas.openxmlformats.org/officeDocument/2006/relationships/hyperlink" Target="http://ru.wikipedia.org/wiki/%D0%A2%D1%83%D1%80%D0%B3%D0%B5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0%B5%D0%BC%D0%B8%D1%80%D0%B5%D1%87%D1%8C%D0%B5" TargetMode="External"/><Relationship Id="rId14" Type="http://schemas.openxmlformats.org/officeDocument/2006/relationships/hyperlink" Target="http://ru.wikipedia.org/wiki/%D0%91%D0%B0%D0%BB%D1%85%D0%B0%D1%88_%28%D0%BE%D0%B7%D0%B5%D1%80%D0%BE%29" TargetMode="External"/><Relationship Id="rId22" Type="http://schemas.openxmlformats.org/officeDocument/2006/relationships/hyperlink" Target="http://ru.wikipedia.org/wiki/%D0%98%D0%BB%D0%B8_%28%D1%80%D0%B5%D0%BA%D0%B0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3003</Words>
  <Characters>17122</Characters>
  <Application>Microsoft Office Word</Application>
  <DocSecurity>0</DocSecurity>
  <Lines>142</Lines>
  <Paragraphs>40</Paragraphs>
  <ScaleCrop>false</ScaleCrop>
  <Company/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2025-11-17T09:41:00Z</dcterms:created>
  <dcterms:modified xsi:type="dcterms:W3CDTF">2025-11-17T09:45:00Z</dcterms:modified>
</cp:coreProperties>
</file>