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EE74" w14:textId="51E79522" w:rsid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Основное направление ТОО «</w:t>
      </w:r>
      <w:proofErr w:type="spellStart"/>
      <w:r w:rsidRPr="003D1334">
        <w:rPr>
          <w:rFonts w:ascii="Arial" w:eastAsia="Times New Roman" w:hAnsi="Arial" w:cs="Arial"/>
          <w:sz w:val="20"/>
          <w:szCs w:val="20"/>
          <w:lang w:eastAsia="ru-RU"/>
        </w:rPr>
        <w:t>Толеш-Мангистау</w:t>
      </w:r>
      <w:proofErr w:type="spellEnd"/>
      <w:r w:rsidRPr="003D1334">
        <w:rPr>
          <w:rFonts w:ascii="Arial" w:eastAsia="Times New Roman" w:hAnsi="Arial" w:cs="Arial"/>
          <w:sz w:val="20"/>
          <w:szCs w:val="20"/>
          <w:lang w:eastAsia="ru-RU"/>
        </w:rPr>
        <w:t xml:space="preserve">» добыча строительного камня </w:t>
      </w:r>
      <w:proofErr w:type="gramStart"/>
      <w:r w:rsidRPr="003D1334">
        <w:rPr>
          <w:rFonts w:ascii="Arial" w:eastAsia="Times New Roman" w:hAnsi="Arial" w:cs="Arial"/>
          <w:sz w:val="20"/>
          <w:szCs w:val="20"/>
          <w:lang w:eastAsia="ru-RU"/>
        </w:rPr>
        <w:t>и  производство</w:t>
      </w:r>
      <w:proofErr w:type="gramEnd"/>
      <w:r w:rsidRPr="003D1334">
        <w:rPr>
          <w:rFonts w:ascii="Arial" w:eastAsia="Times New Roman" w:hAnsi="Arial" w:cs="Arial"/>
          <w:sz w:val="20"/>
          <w:szCs w:val="20"/>
          <w:lang w:eastAsia="ru-RU"/>
        </w:rPr>
        <w:t xml:space="preserve"> щебня на части месторождения Каратаучик-2, расположенного в Тупкараганском районе Мангистауской области. </w:t>
      </w:r>
    </w:p>
    <w:p w14:paraId="294590D4"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Месторождение строительного камня Каратаучик-2 имеет в своем составе следующие объекты:</w:t>
      </w:r>
    </w:p>
    <w:p w14:paraId="6CD1D201" w14:textId="77777777" w:rsidR="003D1334" w:rsidRPr="003D1334" w:rsidRDefault="003D1334" w:rsidP="003D1334">
      <w:pPr>
        <w:numPr>
          <w:ilvl w:val="0"/>
          <w:numId w:val="1"/>
        </w:numPr>
        <w:spacing w:before="120" w:after="0" w:line="240" w:lineRule="auto"/>
        <w:ind w:left="757"/>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Карьер.</w:t>
      </w:r>
    </w:p>
    <w:p w14:paraId="48726B05" w14:textId="77777777" w:rsidR="003D1334" w:rsidRPr="003D1334" w:rsidRDefault="003D1334" w:rsidP="003D1334">
      <w:pPr>
        <w:numPr>
          <w:ilvl w:val="0"/>
          <w:numId w:val="1"/>
        </w:numPr>
        <w:spacing w:before="120" w:after="0" w:line="240" w:lineRule="auto"/>
        <w:ind w:left="757"/>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Площадка ДСУ (дробильно-сортировочная установка).</w:t>
      </w:r>
    </w:p>
    <w:p w14:paraId="688085FE" w14:textId="77777777" w:rsidR="003D1334" w:rsidRPr="003D1334" w:rsidRDefault="003D1334" w:rsidP="003D1334">
      <w:pPr>
        <w:numPr>
          <w:ilvl w:val="0"/>
          <w:numId w:val="1"/>
        </w:numPr>
        <w:spacing w:before="120" w:after="0" w:line="240" w:lineRule="auto"/>
        <w:ind w:left="757"/>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Административно-бытовые помещения.</w:t>
      </w:r>
    </w:p>
    <w:p w14:paraId="25A13FAF" w14:textId="77777777" w:rsidR="003D1334" w:rsidRPr="003D1334" w:rsidRDefault="003D1334" w:rsidP="003D1334">
      <w:pPr>
        <w:numPr>
          <w:ilvl w:val="0"/>
          <w:numId w:val="1"/>
        </w:numPr>
        <w:spacing w:before="120" w:after="0" w:line="240" w:lineRule="auto"/>
        <w:ind w:left="757"/>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Внутрикарьерные автодороги.</w:t>
      </w:r>
    </w:p>
    <w:p w14:paraId="3614F152"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Согласно инвентаризации, проведенной на месторождении, было выявлено 10 источников выбросов загрязняющих веществ в атмосферу, все - неорганизованные. Количество источников представлено в таблице.</w:t>
      </w:r>
    </w:p>
    <w:p w14:paraId="5C7A9AF9" w14:textId="77777777" w:rsidR="003D1334" w:rsidRPr="003D1334" w:rsidRDefault="003D1334" w:rsidP="003D1334">
      <w:pPr>
        <w:spacing w:before="120" w:after="0" w:line="240" w:lineRule="auto"/>
        <w:jc w:val="both"/>
        <w:rPr>
          <w:rFonts w:ascii="Arial" w:eastAsia="Times New Roman" w:hAnsi="Arial" w:cs="Arial"/>
          <w:b/>
          <w:sz w:val="20"/>
          <w:szCs w:val="20"/>
          <w:lang w:eastAsia="ru-RU"/>
        </w:rPr>
      </w:pPr>
      <w:r w:rsidRPr="003D1334">
        <w:rPr>
          <w:rFonts w:ascii="Arial" w:eastAsia="Times New Roman" w:hAnsi="Arial" w:cs="Arial"/>
          <w:b/>
          <w:sz w:val="20"/>
          <w:szCs w:val="20"/>
          <w:lang w:eastAsia="ru-RU"/>
        </w:rPr>
        <w:t>Таблица – Количество источников выбросов вредных веществ в атмосферу по результатам инвентаризации, проведенной в 2025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727"/>
        <w:gridCol w:w="2977"/>
        <w:gridCol w:w="2835"/>
        <w:gridCol w:w="1276"/>
      </w:tblGrid>
      <w:tr w:rsidR="003D1334" w:rsidRPr="003D1334" w14:paraId="2CA232C8" w14:textId="77777777" w:rsidTr="004353C7">
        <w:trPr>
          <w:trHeight w:val="470"/>
        </w:trPr>
        <w:tc>
          <w:tcPr>
            <w:tcW w:w="1216" w:type="dxa"/>
          </w:tcPr>
          <w:p w14:paraId="66982789"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w:t>
            </w:r>
          </w:p>
          <w:p w14:paraId="76318DE1"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площадки</w:t>
            </w:r>
          </w:p>
        </w:tc>
        <w:tc>
          <w:tcPr>
            <w:tcW w:w="1727" w:type="dxa"/>
            <w:shd w:val="clear" w:color="auto" w:fill="auto"/>
            <w:vAlign w:val="center"/>
          </w:tcPr>
          <w:p w14:paraId="661CEC25"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Наименование площадки</w:t>
            </w:r>
          </w:p>
        </w:tc>
        <w:tc>
          <w:tcPr>
            <w:tcW w:w="2977" w:type="dxa"/>
            <w:shd w:val="clear" w:color="auto" w:fill="auto"/>
            <w:vAlign w:val="center"/>
          </w:tcPr>
          <w:p w14:paraId="7E9C2792"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Наименование источника выделения</w:t>
            </w:r>
          </w:p>
        </w:tc>
        <w:tc>
          <w:tcPr>
            <w:tcW w:w="2835" w:type="dxa"/>
            <w:shd w:val="clear" w:color="auto" w:fill="auto"/>
            <w:vAlign w:val="center"/>
          </w:tcPr>
          <w:p w14:paraId="47A70DF7"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Наименование источника выброса</w:t>
            </w:r>
          </w:p>
        </w:tc>
        <w:tc>
          <w:tcPr>
            <w:tcW w:w="1276" w:type="dxa"/>
            <w:shd w:val="clear" w:color="auto" w:fill="auto"/>
            <w:vAlign w:val="center"/>
          </w:tcPr>
          <w:p w14:paraId="6ECF955E"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Номер источника</w:t>
            </w:r>
          </w:p>
        </w:tc>
      </w:tr>
      <w:tr w:rsidR="003D1334" w:rsidRPr="003D1334" w14:paraId="7986B650" w14:textId="77777777" w:rsidTr="004353C7">
        <w:tc>
          <w:tcPr>
            <w:tcW w:w="1216" w:type="dxa"/>
          </w:tcPr>
          <w:p w14:paraId="6582F167"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1</w:t>
            </w:r>
          </w:p>
        </w:tc>
        <w:tc>
          <w:tcPr>
            <w:tcW w:w="1727" w:type="dxa"/>
            <w:shd w:val="clear" w:color="auto" w:fill="auto"/>
            <w:vAlign w:val="center"/>
          </w:tcPr>
          <w:p w14:paraId="6B73F8F2"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2</w:t>
            </w:r>
          </w:p>
        </w:tc>
        <w:tc>
          <w:tcPr>
            <w:tcW w:w="2977" w:type="dxa"/>
            <w:shd w:val="clear" w:color="auto" w:fill="auto"/>
            <w:vAlign w:val="center"/>
          </w:tcPr>
          <w:p w14:paraId="5B2257C5"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3</w:t>
            </w:r>
          </w:p>
        </w:tc>
        <w:tc>
          <w:tcPr>
            <w:tcW w:w="2835" w:type="dxa"/>
            <w:shd w:val="clear" w:color="auto" w:fill="auto"/>
            <w:vAlign w:val="center"/>
          </w:tcPr>
          <w:p w14:paraId="4F8E0425"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4</w:t>
            </w:r>
          </w:p>
        </w:tc>
        <w:tc>
          <w:tcPr>
            <w:tcW w:w="1276" w:type="dxa"/>
            <w:shd w:val="clear" w:color="auto" w:fill="auto"/>
            <w:vAlign w:val="center"/>
          </w:tcPr>
          <w:p w14:paraId="1641E8A5"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5</w:t>
            </w:r>
          </w:p>
        </w:tc>
      </w:tr>
      <w:tr w:rsidR="003D1334" w:rsidRPr="003D1334" w14:paraId="54336049" w14:textId="77777777" w:rsidTr="004353C7">
        <w:tc>
          <w:tcPr>
            <w:tcW w:w="1216" w:type="dxa"/>
            <w:vMerge w:val="restart"/>
            <w:vAlign w:val="center"/>
          </w:tcPr>
          <w:p w14:paraId="400D19FE"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001</w:t>
            </w:r>
          </w:p>
        </w:tc>
        <w:tc>
          <w:tcPr>
            <w:tcW w:w="1727" w:type="dxa"/>
            <w:vMerge w:val="restart"/>
            <w:shd w:val="clear" w:color="auto" w:fill="auto"/>
            <w:vAlign w:val="center"/>
          </w:tcPr>
          <w:p w14:paraId="51AAF3B9"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Месторождение Каратаучик-2</w:t>
            </w:r>
          </w:p>
        </w:tc>
        <w:tc>
          <w:tcPr>
            <w:tcW w:w="2977" w:type="dxa"/>
            <w:shd w:val="clear" w:color="auto" w:fill="auto"/>
            <w:vAlign w:val="center"/>
          </w:tcPr>
          <w:p w14:paraId="2654E0DE"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Буровые работы</w:t>
            </w:r>
          </w:p>
        </w:tc>
        <w:tc>
          <w:tcPr>
            <w:tcW w:w="2835" w:type="dxa"/>
            <w:shd w:val="clear" w:color="auto" w:fill="auto"/>
            <w:vAlign w:val="center"/>
          </w:tcPr>
          <w:p w14:paraId="21436444"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316A4059"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6001</w:t>
            </w:r>
          </w:p>
        </w:tc>
      </w:tr>
      <w:tr w:rsidR="003D1334" w:rsidRPr="003D1334" w14:paraId="19AC7BAC" w14:textId="77777777" w:rsidTr="004353C7">
        <w:tc>
          <w:tcPr>
            <w:tcW w:w="1216" w:type="dxa"/>
            <w:vMerge/>
          </w:tcPr>
          <w:p w14:paraId="5201B513"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268C6A9A"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73E26178"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Взрывные работы</w:t>
            </w:r>
          </w:p>
        </w:tc>
        <w:tc>
          <w:tcPr>
            <w:tcW w:w="2835" w:type="dxa"/>
            <w:shd w:val="clear" w:color="auto" w:fill="auto"/>
            <w:vAlign w:val="center"/>
          </w:tcPr>
          <w:p w14:paraId="4EC23C64"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0C93B5A7"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6002</w:t>
            </w:r>
          </w:p>
        </w:tc>
      </w:tr>
      <w:tr w:rsidR="003D1334" w:rsidRPr="003D1334" w14:paraId="13C9C9D5" w14:textId="77777777" w:rsidTr="004353C7">
        <w:tc>
          <w:tcPr>
            <w:tcW w:w="1216" w:type="dxa"/>
            <w:vMerge/>
          </w:tcPr>
          <w:p w14:paraId="09112B36"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72B37328"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6955BCBD"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Экскаватор (погрузка строительного камня)</w:t>
            </w:r>
          </w:p>
        </w:tc>
        <w:tc>
          <w:tcPr>
            <w:tcW w:w="2835" w:type="dxa"/>
            <w:shd w:val="clear" w:color="auto" w:fill="auto"/>
            <w:vAlign w:val="center"/>
          </w:tcPr>
          <w:p w14:paraId="19369E91"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5F6DD679"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6003</w:t>
            </w:r>
          </w:p>
        </w:tc>
      </w:tr>
      <w:tr w:rsidR="003D1334" w:rsidRPr="003D1334" w14:paraId="7BD08E38" w14:textId="77777777" w:rsidTr="004353C7">
        <w:tc>
          <w:tcPr>
            <w:tcW w:w="1216" w:type="dxa"/>
            <w:vMerge/>
          </w:tcPr>
          <w:p w14:paraId="3F50BD1B"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17738EA7"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473447FA"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Автосамосвал (транспортировка строительного камня)</w:t>
            </w:r>
          </w:p>
        </w:tc>
        <w:tc>
          <w:tcPr>
            <w:tcW w:w="2835" w:type="dxa"/>
            <w:shd w:val="clear" w:color="auto" w:fill="auto"/>
            <w:vAlign w:val="center"/>
          </w:tcPr>
          <w:p w14:paraId="3BBA1B36"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6DB2B4D7"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6004</w:t>
            </w:r>
          </w:p>
        </w:tc>
      </w:tr>
      <w:tr w:rsidR="003D1334" w:rsidRPr="003D1334" w14:paraId="57077932" w14:textId="77777777" w:rsidTr="004353C7">
        <w:tc>
          <w:tcPr>
            <w:tcW w:w="1216" w:type="dxa"/>
            <w:vMerge/>
          </w:tcPr>
          <w:p w14:paraId="0AECECC3"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3E43B667"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46B964C9"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Автосамосвал (разгрузка камня)</w:t>
            </w:r>
          </w:p>
        </w:tc>
        <w:tc>
          <w:tcPr>
            <w:tcW w:w="2835" w:type="dxa"/>
            <w:shd w:val="clear" w:color="auto" w:fill="auto"/>
            <w:vAlign w:val="center"/>
          </w:tcPr>
          <w:p w14:paraId="515C44EA"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5BCCB34D"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6005</w:t>
            </w:r>
          </w:p>
        </w:tc>
      </w:tr>
      <w:tr w:rsidR="003D1334" w:rsidRPr="003D1334" w14:paraId="3FF59437" w14:textId="77777777" w:rsidTr="004353C7">
        <w:tc>
          <w:tcPr>
            <w:tcW w:w="1216" w:type="dxa"/>
            <w:vMerge/>
          </w:tcPr>
          <w:p w14:paraId="54C16667"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1A826532"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1770F899"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Дробильно-сортировочная установка (ДСУ)</w:t>
            </w:r>
          </w:p>
        </w:tc>
        <w:tc>
          <w:tcPr>
            <w:tcW w:w="2835" w:type="dxa"/>
            <w:shd w:val="clear" w:color="auto" w:fill="auto"/>
            <w:vAlign w:val="center"/>
          </w:tcPr>
          <w:p w14:paraId="63FDB95B"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17BCC59B"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6006</w:t>
            </w:r>
          </w:p>
        </w:tc>
      </w:tr>
      <w:tr w:rsidR="003D1334" w:rsidRPr="003D1334" w14:paraId="6D6E45EB" w14:textId="77777777" w:rsidTr="004353C7">
        <w:tc>
          <w:tcPr>
            <w:tcW w:w="1216" w:type="dxa"/>
            <w:vMerge/>
          </w:tcPr>
          <w:p w14:paraId="4B43D1B4"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03D0CA6D"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7BF25784"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Конусные склады фракционного щебня</w:t>
            </w:r>
          </w:p>
        </w:tc>
        <w:tc>
          <w:tcPr>
            <w:tcW w:w="2835" w:type="dxa"/>
            <w:shd w:val="clear" w:color="auto" w:fill="auto"/>
            <w:vAlign w:val="center"/>
          </w:tcPr>
          <w:p w14:paraId="1B144B55"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749AB067"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6007</w:t>
            </w:r>
          </w:p>
        </w:tc>
      </w:tr>
      <w:tr w:rsidR="003D1334" w:rsidRPr="003D1334" w14:paraId="6546C4F1" w14:textId="77777777" w:rsidTr="004353C7">
        <w:tc>
          <w:tcPr>
            <w:tcW w:w="1216" w:type="dxa"/>
            <w:vMerge/>
          </w:tcPr>
          <w:p w14:paraId="3A7D34CB"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705F234A"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0CD9BC08"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Автосамосвал (погрузка и транспортировка щебня)</w:t>
            </w:r>
          </w:p>
        </w:tc>
        <w:tc>
          <w:tcPr>
            <w:tcW w:w="2835" w:type="dxa"/>
            <w:shd w:val="clear" w:color="auto" w:fill="auto"/>
            <w:vAlign w:val="center"/>
          </w:tcPr>
          <w:p w14:paraId="180F32FC"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1A23AA3E"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6008</w:t>
            </w:r>
          </w:p>
        </w:tc>
      </w:tr>
      <w:tr w:rsidR="003D1334" w:rsidRPr="003D1334" w14:paraId="07155272" w14:textId="77777777" w:rsidTr="004353C7">
        <w:tc>
          <w:tcPr>
            <w:tcW w:w="1216" w:type="dxa"/>
            <w:vMerge/>
          </w:tcPr>
          <w:p w14:paraId="66FE4922"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444899A8"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303BA8FC"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Сварочный пост</w:t>
            </w:r>
          </w:p>
        </w:tc>
        <w:tc>
          <w:tcPr>
            <w:tcW w:w="2835" w:type="dxa"/>
            <w:shd w:val="clear" w:color="auto" w:fill="auto"/>
            <w:vAlign w:val="center"/>
          </w:tcPr>
          <w:p w14:paraId="7BCE950C"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3F38F4D5"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6009</w:t>
            </w:r>
          </w:p>
        </w:tc>
      </w:tr>
      <w:tr w:rsidR="003D1334" w:rsidRPr="003D1334" w14:paraId="63DB9FC2" w14:textId="77777777" w:rsidTr="004353C7">
        <w:tc>
          <w:tcPr>
            <w:tcW w:w="1216" w:type="dxa"/>
            <w:vMerge/>
          </w:tcPr>
          <w:p w14:paraId="58088254" w14:textId="77777777" w:rsidR="003D1334" w:rsidRPr="003D1334" w:rsidRDefault="003D1334" w:rsidP="003D1334">
            <w:pPr>
              <w:spacing w:after="0" w:line="240" w:lineRule="auto"/>
              <w:jc w:val="center"/>
              <w:rPr>
                <w:rFonts w:ascii="Arial" w:eastAsia="Times New Roman" w:hAnsi="Arial" w:cs="Arial"/>
                <w:bCs/>
                <w:sz w:val="20"/>
                <w:szCs w:val="20"/>
                <w:lang w:eastAsia="ru-RU"/>
              </w:rPr>
            </w:pPr>
          </w:p>
        </w:tc>
        <w:tc>
          <w:tcPr>
            <w:tcW w:w="1727" w:type="dxa"/>
            <w:vMerge/>
            <w:shd w:val="clear" w:color="auto" w:fill="auto"/>
            <w:vAlign w:val="center"/>
          </w:tcPr>
          <w:p w14:paraId="597CC314" w14:textId="77777777" w:rsidR="003D1334" w:rsidRPr="003D1334" w:rsidRDefault="003D1334" w:rsidP="003D1334">
            <w:pPr>
              <w:spacing w:after="0" w:line="240" w:lineRule="auto"/>
              <w:rPr>
                <w:rFonts w:ascii="Arial" w:eastAsia="Times New Roman" w:hAnsi="Arial" w:cs="Arial"/>
                <w:bCs/>
                <w:sz w:val="20"/>
                <w:szCs w:val="20"/>
                <w:lang w:eastAsia="ru-RU"/>
              </w:rPr>
            </w:pPr>
          </w:p>
        </w:tc>
        <w:tc>
          <w:tcPr>
            <w:tcW w:w="2977" w:type="dxa"/>
            <w:shd w:val="clear" w:color="auto" w:fill="auto"/>
            <w:vAlign w:val="center"/>
          </w:tcPr>
          <w:p w14:paraId="2254CC0E" w14:textId="77777777" w:rsidR="003D1334" w:rsidRPr="003D1334" w:rsidRDefault="003D1334" w:rsidP="003D1334">
            <w:pPr>
              <w:spacing w:after="0" w:line="240" w:lineRule="auto"/>
              <w:rPr>
                <w:rFonts w:ascii="Arial" w:eastAsia="Times New Roman" w:hAnsi="Arial" w:cs="Arial"/>
                <w:bCs/>
                <w:sz w:val="20"/>
                <w:szCs w:val="20"/>
                <w:lang w:eastAsia="ru-RU"/>
              </w:rPr>
            </w:pPr>
            <w:r w:rsidRPr="003D1334">
              <w:rPr>
                <w:rFonts w:ascii="Arial" w:eastAsia="Times New Roman" w:hAnsi="Arial" w:cs="Arial"/>
                <w:bCs/>
                <w:sz w:val="20"/>
                <w:szCs w:val="20"/>
                <w:lang w:eastAsia="ru-RU"/>
              </w:rPr>
              <w:t>Карьерная техника, работающая на дизельном топливе</w:t>
            </w:r>
          </w:p>
        </w:tc>
        <w:tc>
          <w:tcPr>
            <w:tcW w:w="2835" w:type="dxa"/>
            <w:shd w:val="clear" w:color="auto" w:fill="auto"/>
            <w:vAlign w:val="center"/>
          </w:tcPr>
          <w:p w14:paraId="2A24FD3E"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Неорганизованный выброс</w:t>
            </w:r>
          </w:p>
        </w:tc>
        <w:tc>
          <w:tcPr>
            <w:tcW w:w="1276" w:type="dxa"/>
            <w:shd w:val="clear" w:color="auto" w:fill="auto"/>
            <w:vAlign w:val="center"/>
          </w:tcPr>
          <w:p w14:paraId="68140A4A" w14:textId="77777777" w:rsidR="003D1334" w:rsidRPr="003D1334" w:rsidRDefault="003D1334" w:rsidP="003D1334">
            <w:pPr>
              <w:spacing w:after="0" w:line="240" w:lineRule="auto"/>
              <w:jc w:val="center"/>
              <w:rPr>
                <w:rFonts w:ascii="Arial" w:eastAsia="Times New Roman" w:hAnsi="Arial" w:cs="Arial"/>
                <w:bCs/>
                <w:sz w:val="20"/>
                <w:szCs w:val="20"/>
                <w:lang w:eastAsia="ru-RU"/>
              </w:rPr>
            </w:pPr>
            <w:r w:rsidRPr="003D1334">
              <w:rPr>
                <w:rFonts w:ascii="Arial" w:eastAsia="Times New Roman" w:hAnsi="Arial" w:cs="Arial"/>
                <w:bCs/>
                <w:sz w:val="20"/>
                <w:szCs w:val="20"/>
                <w:lang w:eastAsia="ru-RU"/>
              </w:rPr>
              <w:t>6010</w:t>
            </w:r>
          </w:p>
        </w:tc>
      </w:tr>
      <w:tr w:rsidR="003D1334" w:rsidRPr="003D1334" w14:paraId="2C712492" w14:textId="77777777" w:rsidTr="004353C7">
        <w:tc>
          <w:tcPr>
            <w:tcW w:w="8755" w:type="dxa"/>
            <w:gridSpan w:val="4"/>
          </w:tcPr>
          <w:p w14:paraId="7B8CBE5F"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Общее количество источников по предприятию:</w:t>
            </w:r>
          </w:p>
        </w:tc>
        <w:tc>
          <w:tcPr>
            <w:tcW w:w="1276" w:type="dxa"/>
            <w:shd w:val="clear" w:color="auto" w:fill="auto"/>
            <w:vAlign w:val="center"/>
          </w:tcPr>
          <w:p w14:paraId="61704E1A" w14:textId="77777777" w:rsidR="003D1334" w:rsidRPr="003D1334" w:rsidRDefault="003D1334" w:rsidP="003D1334">
            <w:pPr>
              <w:spacing w:after="0" w:line="240" w:lineRule="auto"/>
              <w:jc w:val="center"/>
              <w:rPr>
                <w:rFonts w:ascii="Arial" w:eastAsia="Times New Roman" w:hAnsi="Arial" w:cs="Arial"/>
                <w:b/>
                <w:bCs/>
                <w:sz w:val="20"/>
                <w:szCs w:val="20"/>
                <w:lang w:eastAsia="ru-RU"/>
              </w:rPr>
            </w:pPr>
            <w:r w:rsidRPr="003D1334">
              <w:rPr>
                <w:rFonts w:ascii="Arial" w:eastAsia="Times New Roman" w:hAnsi="Arial" w:cs="Arial"/>
                <w:b/>
                <w:bCs/>
                <w:sz w:val="20"/>
                <w:szCs w:val="20"/>
                <w:lang w:eastAsia="ru-RU"/>
              </w:rPr>
              <w:t>10 шт.</w:t>
            </w:r>
          </w:p>
        </w:tc>
      </w:tr>
    </w:tbl>
    <w:p w14:paraId="0B94C8D0"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p>
    <w:p w14:paraId="65E889E2"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 xml:space="preserve">Основными источниками выбросов загрязняющих веществ в атмосферу на месторождении Каратаучик-2 являются </w:t>
      </w:r>
      <w:proofErr w:type="gramStart"/>
      <w:r w:rsidRPr="003D1334">
        <w:rPr>
          <w:rFonts w:ascii="Arial" w:eastAsia="Times New Roman" w:hAnsi="Arial" w:cs="Arial"/>
          <w:sz w:val="20"/>
          <w:szCs w:val="20"/>
          <w:lang w:eastAsia="ru-RU"/>
        </w:rPr>
        <w:t>буро-взрывные</w:t>
      </w:r>
      <w:proofErr w:type="gramEnd"/>
      <w:r w:rsidRPr="003D1334">
        <w:rPr>
          <w:rFonts w:ascii="Arial" w:eastAsia="Times New Roman" w:hAnsi="Arial" w:cs="Arial"/>
          <w:sz w:val="20"/>
          <w:szCs w:val="20"/>
          <w:lang w:eastAsia="ru-RU"/>
        </w:rPr>
        <w:t xml:space="preserve"> работы, погрузочно-разгрузочные работы, склад хранения щебня.</w:t>
      </w:r>
    </w:p>
    <w:p w14:paraId="24FE9764"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В атмосферу выбрасываются загрязняющие вещества 13 наименований 1 – 4 класса опасности. Основным загрязняющим атмосферу веществом является пыль неорганическая</w:t>
      </w:r>
    </w:p>
    <w:p w14:paraId="7BF7CE60"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Основной проектный документ, согласно которому ведется разработка месторождения Каратаучик-2, является «Проект промышленной разработки строительного камня месторождения Каратаучик-2 в Тупкараганском районе Мангистауской области». Технологические показатели разработки месторождения Каратучик-2 на 2026-2035 года представлены в таблице 1.</w:t>
      </w:r>
    </w:p>
    <w:p w14:paraId="6CB54104" w14:textId="77777777" w:rsidR="003D1334" w:rsidRPr="003D1334" w:rsidRDefault="003D1334" w:rsidP="003D1334">
      <w:pPr>
        <w:spacing w:before="120" w:after="0" w:line="240" w:lineRule="auto"/>
        <w:jc w:val="both"/>
        <w:rPr>
          <w:rFonts w:ascii="Arial" w:eastAsia="Times New Roman" w:hAnsi="Arial" w:cs="Arial"/>
          <w:lang w:eastAsia="ru-RU"/>
        </w:rPr>
      </w:pPr>
      <w:r w:rsidRPr="003D1334">
        <w:rPr>
          <w:rFonts w:ascii="Arial" w:eastAsia="Times New Roman" w:hAnsi="Arial" w:cs="Arial"/>
          <w:b/>
          <w:sz w:val="20"/>
          <w:szCs w:val="20"/>
          <w:lang w:eastAsia="ru-RU"/>
        </w:rPr>
        <w:t>Таблица 1 – Технологические показатели разработки месторождения Каратаучик-2 на 2026-2035 гг.</w:t>
      </w:r>
    </w:p>
    <w:tbl>
      <w:tblPr>
        <w:tblW w:w="4973" w:type="pct"/>
        <w:jc w:val="center"/>
        <w:tblLook w:val="04A0" w:firstRow="1" w:lastRow="0" w:firstColumn="1" w:lastColumn="0" w:noHBand="0" w:noVBand="1"/>
      </w:tblPr>
      <w:tblGrid>
        <w:gridCol w:w="2958"/>
        <w:gridCol w:w="1215"/>
        <w:gridCol w:w="1173"/>
        <w:gridCol w:w="1362"/>
        <w:gridCol w:w="1127"/>
        <w:gridCol w:w="1460"/>
      </w:tblGrid>
      <w:tr w:rsidR="003D1334" w:rsidRPr="003D1334" w14:paraId="06EAE6BD" w14:textId="77777777" w:rsidTr="004353C7">
        <w:trPr>
          <w:trHeight w:val="288"/>
          <w:jc w:val="center"/>
        </w:trPr>
        <w:tc>
          <w:tcPr>
            <w:tcW w:w="1555" w:type="pct"/>
            <w:vMerge w:val="restart"/>
            <w:tcBorders>
              <w:top w:val="single" w:sz="4" w:space="0" w:color="auto"/>
              <w:left w:val="single" w:sz="4" w:space="0" w:color="auto"/>
              <w:right w:val="single" w:sz="4" w:space="0" w:color="auto"/>
            </w:tcBorders>
            <w:shd w:val="clear" w:color="auto" w:fill="auto"/>
            <w:noWrap/>
            <w:vAlign w:val="center"/>
          </w:tcPr>
          <w:p w14:paraId="008C384F"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Наименование процесса</w:t>
            </w:r>
          </w:p>
        </w:tc>
        <w:tc>
          <w:tcPr>
            <w:tcW w:w="672" w:type="pct"/>
            <w:vMerge w:val="restart"/>
            <w:tcBorders>
              <w:top w:val="single" w:sz="4" w:space="0" w:color="auto"/>
              <w:left w:val="nil"/>
              <w:right w:val="single" w:sz="4" w:space="0" w:color="auto"/>
            </w:tcBorders>
            <w:vAlign w:val="center"/>
          </w:tcPr>
          <w:p w14:paraId="1E58D9EF"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Ед. изм.</w:t>
            </w:r>
          </w:p>
        </w:tc>
        <w:tc>
          <w:tcPr>
            <w:tcW w:w="277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AD783F"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По годам</w:t>
            </w:r>
          </w:p>
        </w:tc>
      </w:tr>
      <w:tr w:rsidR="003D1334" w:rsidRPr="003D1334" w14:paraId="421E077F" w14:textId="77777777" w:rsidTr="004353C7">
        <w:trPr>
          <w:trHeight w:val="288"/>
          <w:jc w:val="center"/>
        </w:trPr>
        <w:tc>
          <w:tcPr>
            <w:tcW w:w="1555" w:type="pct"/>
            <w:vMerge/>
            <w:tcBorders>
              <w:left w:val="single" w:sz="4" w:space="0" w:color="auto"/>
              <w:bottom w:val="single" w:sz="4" w:space="0" w:color="auto"/>
              <w:right w:val="single" w:sz="4" w:space="0" w:color="auto"/>
            </w:tcBorders>
            <w:shd w:val="clear" w:color="auto" w:fill="auto"/>
            <w:noWrap/>
            <w:vAlign w:val="center"/>
          </w:tcPr>
          <w:p w14:paraId="7CA2945B" w14:textId="77777777" w:rsidR="003D1334" w:rsidRPr="003D1334" w:rsidRDefault="003D1334" w:rsidP="003D1334">
            <w:pPr>
              <w:spacing w:after="0" w:line="240" w:lineRule="auto"/>
              <w:jc w:val="center"/>
              <w:rPr>
                <w:rFonts w:ascii="Arial" w:eastAsia="Times New Roman" w:hAnsi="Arial" w:cs="Arial"/>
                <w:b/>
                <w:sz w:val="20"/>
                <w:szCs w:val="20"/>
                <w:lang w:eastAsia="ru-RU"/>
              </w:rPr>
            </w:pPr>
          </w:p>
        </w:tc>
        <w:tc>
          <w:tcPr>
            <w:tcW w:w="672" w:type="pct"/>
            <w:vMerge/>
            <w:tcBorders>
              <w:left w:val="nil"/>
              <w:bottom w:val="single" w:sz="4" w:space="0" w:color="auto"/>
              <w:right w:val="single" w:sz="4" w:space="0" w:color="auto"/>
            </w:tcBorders>
            <w:vAlign w:val="center"/>
          </w:tcPr>
          <w:p w14:paraId="04227401" w14:textId="77777777" w:rsidR="003D1334" w:rsidRPr="003D1334" w:rsidRDefault="003D1334" w:rsidP="003D1334">
            <w:pPr>
              <w:spacing w:after="0" w:line="240" w:lineRule="auto"/>
              <w:jc w:val="center"/>
              <w:rPr>
                <w:rFonts w:ascii="Arial" w:eastAsia="Times New Roman" w:hAnsi="Arial" w:cs="Arial"/>
                <w:b/>
                <w:sz w:val="20"/>
                <w:szCs w:val="20"/>
                <w:lang w:eastAsia="ru-R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8F11A"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2026-2027</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0FD648C4"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2028-2029</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AB24445"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2030-2031</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13F1E655" w14:textId="77777777" w:rsidR="003D1334" w:rsidRPr="003D1334" w:rsidRDefault="003D1334" w:rsidP="003D1334">
            <w:pPr>
              <w:spacing w:after="0" w:line="240" w:lineRule="auto"/>
              <w:jc w:val="center"/>
              <w:rPr>
                <w:rFonts w:ascii="Arial" w:eastAsia="Times New Roman" w:hAnsi="Arial" w:cs="Arial"/>
                <w:b/>
                <w:sz w:val="20"/>
                <w:szCs w:val="20"/>
                <w:lang w:eastAsia="ru-RU"/>
              </w:rPr>
            </w:pPr>
            <w:r w:rsidRPr="003D1334">
              <w:rPr>
                <w:rFonts w:ascii="Arial" w:eastAsia="Times New Roman" w:hAnsi="Arial" w:cs="Arial"/>
                <w:b/>
                <w:sz w:val="20"/>
                <w:szCs w:val="20"/>
                <w:lang w:eastAsia="ru-RU"/>
              </w:rPr>
              <w:t>2032-2035</w:t>
            </w:r>
          </w:p>
        </w:tc>
      </w:tr>
      <w:tr w:rsidR="003D1334" w:rsidRPr="003D1334" w14:paraId="147528E6" w14:textId="77777777" w:rsidTr="004353C7">
        <w:trPr>
          <w:trHeight w:val="288"/>
          <w:jc w:val="center"/>
        </w:trPr>
        <w:tc>
          <w:tcPr>
            <w:tcW w:w="15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126AF5" w14:textId="77777777" w:rsidR="003D1334" w:rsidRPr="003D1334" w:rsidRDefault="003D1334" w:rsidP="003D1334">
            <w:pPr>
              <w:spacing w:after="0" w:line="240" w:lineRule="auto"/>
              <w:jc w:val="center"/>
              <w:rPr>
                <w:rFonts w:ascii="Arial" w:eastAsia="Times New Roman" w:hAnsi="Arial" w:cs="Arial"/>
                <w:sz w:val="20"/>
                <w:szCs w:val="20"/>
                <w:lang w:eastAsia="ru-RU"/>
              </w:rPr>
            </w:pPr>
            <w:r w:rsidRPr="003D1334">
              <w:rPr>
                <w:rFonts w:ascii="Arial" w:eastAsia="Times New Roman" w:hAnsi="Arial" w:cs="Arial"/>
                <w:sz w:val="20"/>
                <w:szCs w:val="20"/>
                <w:lang w:eastAsia="ru-RU"/>
              </w:rPr>
              <w:t>Добыча строительного камня</w:t>
            </w:r>
          </w:p>
        </w:tc>
        <w:tc>
          <w:tcPr>
            <w:tcW w:w="672" w:type="pct"/>
            <w:tcBorders>
              <w:top w:val="single" w:sz="4" w:space="0" w:color="auto"/>
              <w:left w:val="nil"/>
              <w:bottom w:val="single" w:sz="4" w:space="0" w:color="auto"/>
              <w:right w:val="single" w:sz="4" w:space="0" w:color="auto"/>
            </w:tcBorders>
          </w:tcPr>
          <w:p w14:paraId="7E9DE7FB" w14:textId="77777777" w:rsidR="003D1334" w:rsidRPr="003D1334" w:rsidRDefault="003D1334" w:rsidP="003D1334">
            <w:pPr>
              <w:spacing w:after="0" w:line="240" w:lineRule="auto"/>
              <w:jc w:val="center"/>
              <w:rPr>
                <w:rFonts w:ascii="Arial" w:eastAsia="Times New Roman" w:hAnsi="Arial" w:cs="Arial"/>
                <w:sz w:val="20"/>
                <w:szCs w:val="20"/>
                <w:lang w:eastAsia="ru-RU"/>
              </w:rPr>
            </w:pPr>
            <w:proofErr w:type="gramStart"/>
            <w:r w:rsidRPr="003D1334">
              <w:rPr>
                <w:rFonts w:ascii="Arial" w:eastAsia="Times New Roman" w:hAnsi="Arial" w:cs="Arial"/>
                <w:sz w:val="20"/>
                <w:szCs w:val="20"/>
                <w:lang w:eastAsia="ru-RU"/>
              </w:rPr>
              <w:t>тыс.м</w:t>
            </w:r>
            <w:proofErr w:type="gramEnd"/>
            <w:r w:rsidRPr="003D1334">
              <w:rPr>
                <w:rFonts w:ascii="Arial" w:eastAsia="Times New Roman" w:hAnsi="Arial" w:cs="Arial"/>
                <w:sz w:val="20"/>
                <w:szCs w:val="20"/>
                <w:lang w:eastAsia="ru-RU"/>
              </w:rPr>
              <w:t>3</w:t>
            </w:r>
          </w:p>
        </w:tc>
        <w:tc>
          <w:tcPr>
            <w:tcW w:w="595" w:type="pct"/>
            <w:tcBorders>
              <w:top w:val="nil"/>
              <w:left w:val="single" w:sz="4" w:space="0" w:color="auto"/>
              <w:bottom w:val="single" w:sz="4" w:space="0" w:color="auto"/>
              <w:right w:val="single" w:sz="4" w:space="0" w:color="auto"/>
            </w:tcBorders>
            <w:shd w:val="clear" w:color="auto" w:fill="auto"/>
            <w:noWrap/>
            <w:vAlign w:val="center"/>
          </w:tcPr>
          <w:p w14:paraId="0AD9841E" w14:textId="77777777" w:rsidR="003D1334" w:rsidRPr="003D1334" w:rsidRDefault="003D1334" w:rsidP="003D1334">
            <w:pPr>
              <w:spacing w:after="0" w:line="240" w:lineRule="auto"/>
              <w:jc w:val="center"/>
              <w:rPr>
                <w:rFonts w:ascii="Arial" w:eastAsia="Times New Roman" w:hAnsi="Arial" w:cs="Arial"/>
                <w:sz w:val="20"/>
                <w:szCs w:val="20"/>
                <w:lang w:eastAsia="ru-RU"/>
              </w:rPr>
            </w:pPr>
            <w:r w:rsidRPr="003D1334">
              <w:rPr>
                <w:rFonts w:ascii="Arial" w:eastAsia="Times New Roman" w:hAnsi="Arial" w:cs="Arial"/>
                <w:sz w:val="20"/>
                <w:szCs w:val="20"/>
                <w:lang w:eastAsia="ru-RU"/>
              </w:rPr>
              <w:t>120,0</w:t>
            </w:r>
          </w:p>
        </w:tc>
        <w:tc>
          <w:tcPr>
            <w:tcW w:w="751" w:type="pct"/>
            <w:tcBorders>
              <w:top w:val="nil"/>
              <w:left w:val="single" w:sz="4" w:space="0" w:color="auto"/>
              <w:bottom w:val="single" w:sz="4" w:space="0" w:color="auto"/>
              <w:right w:val="single" w:sz="4" w:space="0" w:color="auto"/>
            </w:tcBorders>
            <w:shd w:val="clear" w:color="auto" w:fill="auto"/>
            <w:vAlign w:val="center"/>
          </w:tcPr>
          <w:p w14:paraId="55AE3728" w14:textId="77777777" w:rsidR="003D1334" w:rsidRPr="003D1334" w:rsidRDefault="003D1334" w:rsidP="003D1334">
            <w:pPr>
              <w:spacing w:after="0" w:line="240" w:lineRule="auto"/>
              <w:jc w:val="center"/>
              <w:rPr>
                <w:rFonts w:ascii="Arial" w:eastAsia="Times New Roman" w:hAnsi="Arial" w:cs="Arial"/>
                <w:sz w:val="20"/>
                <w:szCs w:val="20"/>
                <w:lang w:eastAsia="ru-RU"/>
              </w:rPr>
            </w:pPr>
            <w:r w:rsidRPr="003D1334">
              <w:rPr>
                <w:rFonts w:ascii="Arial" w:eastAsia="Times New Roman" w:hAnsi="Arial" w:cs="Arial"/>
                <w:sz w:val="20"/>
                <w:szCs w:val="20"/>
                <w:lang w:eastAsia="ru-RU"/>
              </w:rPr>
              <w:t>150,0</w:t>
            </w:r>
          </w:p>
        </w:tc>
        <w:tc>
          <w:tcPr>
            <w:tcW w:w="624" w:type="pct"/>
            <w:tcBorders>
              <w:top w:val="nil"/>
              <w:left w:val="single" w:sz="4" w:space="0" w:color="auto"/>
              <w:bottom w:val="single" w:sz="4" w:space="0" w:color="auto"/>
              <w:right w:val="single" w:sz="4" w:space="0" w:color="auto"/>
            </w:tcBorders>
            <w:shd w:val="clear" w:color="auto" w:fill="auto"/>
            <w:vAlign w:val="center"/>
          </w:tcPr>
          <w:p w14:paraId="1786E595" w14:textId="77777777" w:rsidR="003D1334" w:rsidRPr="003D1334" w:rsidRDefault="003D1334" w:rsidP="003D1334">
            <w:pPr>
              <w:spacing w:after="0" w:line="240" w:lineRule="auto"/>
              <w:jc w:val="center"/>
              <w:rPr>
                <w:rFonts w:ascii="Arial" w:eastAsia="Times New Roman" w:hAnsi="Arial" w:cs="Arial"/>
                <w:sz w:val="20"/>
                <w:szCs w:val="20"/>
                <w:lang w:eastAsia="ru-RU"/>
              </w:rPr>
            </w:pPr>
            <w:r w:rsidRPr="003D1334">
              <w:rPr>
                <w:rFonts w:ascii="Arial" w:eastAsia="Times New Roman" w:hAnsi="Arial" w:cs="Arial"/>
                <w:sz w:val="20"/>
                <w:szCs w:val="20"/>
                <w:lang w:eastAsia="ru-RU"/>
              </w:rPr>
              <w:t>170,0</w:t>
            </w:r>
          </w:p>
        </w:tc>
        <w:tc>
          <w:tcPr>
            <w:tcW w:w="803" w:type="pct"/>
            <w:tcBorders>
              <w:top w:val="nil"/>
              <w:left w:val="single" w:sz="4" w:space="0" w:color="auto"/>
              <w:bottom w:val="single" w:sz="4" w:space="0" w:color="auto"/>
              <w:right w:val="single" w:sz="4" w:space="0" w:color="auto"/>
            </w:tcBorders>
            <w:shd w:val="clear" w:color="auto" w:fill="auto"/>
            <w:vAlign w:val="center"/>
          </w:tcPr>
          <w:p w14:paraId="2D2235C2" w14:textId="77777777" w:rsidR="003D1334" w:rsidRPr="003D1334" w:rsidRDefault="003D1334" w:rsidP="003D1334">
            <w:pPr>
              <w:spacing w:after="0" w:line="240" w:lineRule="auto"/>
              <w:jc w:val="center"/>
              <w:rPr>
                <w:rFonts w:ascii="Arial" w:eastAsia="Times New Roman" w:hAnsi="Arial" w:cs="Arial"/>
                <w:sz w:val="20"/>
                <w:szCs w:val="20"/>
                <w:lang w:eastAsia="ru-RU"/>
              </w:rPr>
            </w:pPr>
            <w:r w:rsidRPr="003D1334">
              <w:rPr>
                <w:rFonts w:ascii="Arial" w:eastAsia="Times New Roman" w:hAnsi="Arial" w:cs="Arial"/>
                <w:sz w:val="20"/>
                <w:szCs w:val="20"/>
                <w:lang w:eastAsia="ru-RU"/>
              </w:rPr>
              <w:t>200,0</w:t>
            </w:r>
          </w:p>
        </w:tc>
      </w:tr>
    </w:tbl>
    <w:p w14:paraId="3C510DA5"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p>
    <w:p w14:paraId="7E248235"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lastRenderedPageBreak/>
        <w:t>Разработка месторождения ведется с 2012 года. В настоящее время на карьере проводятся добычные работы. На период 2026 – 2035 года добыча строительного камня и производство щебня будет продолжена в существующем режиме, только с увеличением объема добычи.</w:t>
      </w:r>
    </w:p>
    <w:p w14:paraId="39DC4D5C"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bookmarkStart w:id="0" w:name="OLE_LINK3"/>
      <w:bookmarkStart w:id="1" w:name="OLE_LINK4"/>
      <w:r w:rsidRPr="003D1334">
        <w:rPr>
          <w:rFonts w:ascii="Arial" w:eastAsia="Times New Roman" w:hAnsi="Arial" w:cs="Arial"/>
          <w:sz w:val="20"/>
          <w:szCs w:val="20"/>
          <w:lang w:eastAsia="ru-RU"/>
        </w:rPr>
        <w:t>Выбросы загрязняющих веществ, которые включены в НДВ составляют:</w:t>
      </w:r>
    </w:p>
    <w:p w14:paraId="5390A2DB"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2026 год – 18.467121 г/с, 12.23653 т/год.</w:t>
      </w:r>
    </w:p>
    <w:p w14:paraId="6EC47CA1"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2027 год – 18.467121 г/с, 12.23653 т/год.</w:t>
      </w:r>
    </w:p>
    <w:p w14:paraId="02EE1ADD"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2028 год – 19.1140413 г/с, 14.17209 т/год.</w:t>
      </w:r>
    </w:p>
    <w:p w14:paraId="038932D5"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2029 год – 19.1140413 г/с, 14.17209 т/год.</w:t>
      </w:r>
    </w:p>
    <w:p w14:paraId="416FBEBE"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2030 год – 19.5437913 г/с, 15.53597 т/год.</w:t>
      </w:r>
    </w:p>
    <w:p w14:paraId="76F553AE"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2031 год – 19.5437913 г/с, 15.53597 т/год.</w:t>
      </w:r>
    </w:p>
    <w:p w14:paraId="3C9834DE"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2032 год – 20.1315013 г/с, 16.06751 т/год.</w:t>
      </w:r>
    </w:p>
    <w:p w14:paraId="36310FD3"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2033 год – 20.1315013 г/с, 16.06751 т/год.</w:t>
      </w:r>
    </w:p>
    <w:p w14:paraId="1338F011"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2034 год – 20.1315013 г/с, 16.06751 т/год.</w:t>
      </w:r>
    </w:p>
    <w:p w14:paraId="0A5E6A8F" w14:textId="77777777" w:rsidR="003D1334" w:rsidRPr="003D1334" w:rsidRDefault="003D1334" w:rsidP="003D1334">
      <w:pPr>
        <w:numPr>
          <w:ilvl w:val="0"/>
          <w:numId w:val="3"/>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2035 год – 20.1315013 г/с, 16.06751 т/год.</w:t>
      </w:r>
    </w:p>
    <w:p w14:paraId="632AB422"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В соответствии с «Перечнем загрязняющих веществ, эмиссии которых подлежат экологическому нормированию» (Приказ №212 от 25.06.2021 г.), количество загрязняющих веществ, которые подлежат нормированию составляет 13 наименований.</w:t>
      </w:r>
    </w:p>
    <w:bookmarkEnd w:id="0"/>
    <w:bookmarkEnd w:id="1"/>
    <w:p w14:paraId="49EA33D5"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 xml:space="preserve">Месторождение Каратаучик-2 строительного камня для производства щебня находится в 3 км северо-восточнее пос. Таучик, являющегося и ближайшим к месторождению населенным пунктом, 16-18 км южнее береговой линии Мангышлакского залива. Административно оно расположено в Тупкараганском районе Мангистауской области Республики Казахстан. От районного центра г. Форт-Шевченко месторождение находится на расстоянии 90 км, от областного центра г. Актау - 100 км. От ближайшей ж/д ст. </w:t>
      </w:r>
      <w:proofErr w:type="spellStart"/>
      <w:r w:rsidRPr="003D1334">
        <w:rPr>
          <w:rFonts w:ascii="Arial" w:eastAsia="Times New Roman" w:hAnsi="Arial" w:cs="Arial"/>
          <w:sz w:val="20"/>
          <w:szCs w:val="20"/>
          <w:lang w:eastAsia="ru-RU"/>
        </w:rPr>
        <w:t>Шетпе</w:t>
      </w:r>
      <w:proofErr w:type="spellEnd"/>
      <w:r w:rsidRPr="003D1334">
        <w:rPr>
          <w:rFonts w:ascii="Arial" w:eastAsia="Times New Roman" w:hAnsi="Arial" w:cs="Arial"/>
          <w:sz w:val="20"/>
          <w:szCs w:val="20"/>
          <w:lang w:eastAsia="ru-RU"/>
        </w:rPr>
        <w:t xml:space="preserve"> оно удаленно на 80 км. В 7,5 км юго-восточнее месторождения проходит автотрасса Актау-</w:t>
      </w:r>
      <w:proofErr w:type="spellStart"/>
      <w:r w:rsidRPr="003D1334">
        <w:rPr>
          <w:rFonts w:ascii="Arial" w:eastAsia="Times New Roman" w:hAnsi="Arial" w:cs="Arial"/>
          <w:sz w:val="20"/>
          <w:szCs w:val="20"/>
          <w:lang w:eastAsia="ru-RU"/>
        </w:rPr>
        <w:t>Каламкас</w:t>
      </w:r>
      <w:proofErr w:type="spellEnd"/>
      <w:r w:rsidRPr="003D1334">
        <w:rPr>
          <w:rFonts w:ascii="Arial" w:eastAsia="Times New Roman" w:hAnsi="Arial" w:cs="Arial"/>
          <w:sz w:val="20"/>
          <w:szCs w:val="20"/>
          <w:lang w:eastAsia="ru-RU"/>
        </w:rPr>
        <w:t xml:space="preserve">. Пос. </w:t>
      </w:r>
      <w:proofErr w:type="spellStart"/>
      <w:r w:rsidRPr="003D1334">
        <w:rPr>
          <w:rFonts w:ascii="Arial" w:eastAsia="Times New Roman" w:hAnsi="Arial" w:cs="Arial"/>
          <w:sz w:val="20"/>
          <w:szCs w:val="20"/>
          <w:lang w:eastAsia="ru-RU"/>
        </w:rPr>
        <w:t>Таушик</w:t>
      </w:r>
      <w:proofErr w:type="spellEnd"/>
      <w:r w:rsidRPr="003D1334">
        <w:rPr>
          <w:rFonts w:ascii="Arial" w:eastAsia="Times New Roman" w:hAnsi="Arial" w:cs="Arial"/>
          <w:sz w:val="20"/>
          <w:szCs w:val="20"/>
          <w:lang w:eastAsia="ru-RU"/>
        </w:rPr>
        <w:t xml:space="preserve"> с районным центром связан автомобильной дорогой без покрытия, с автотрассой Актау-</w:t>
      </w:r>
      <w:proofErr w:type="spellStart"/>
      <w:r w:rsidRPr="003D1334">
        <w:rPr>
          <w:rFonts w:ascii="Arial" w:eastAsia="Times New Roman" w:hAnsi="Arial" w:cs="Arial"/>
          <w:sz w:val="20"/>
          <w:szCs w:val="20"/>
          <w:lang w:eastAsia="ru-RU"/>
        </w:rPr>
        <w:t>Каламкас</w:t>
      </w:r>
      <w:proofErr w:type="spellEnd"/>
      <w:r w:rsidRPr="003D1334">
        <w:rPr>
          <w:rFonts w:ascii="Arial" w:eastAsia="Times New Roman" w:hAnsi="Arial" w:cs="Arial"/>
          <w:sz w:val="20"/>
          <w:szCs w:val="20"/>
          <w:lang w:eastAsia="ru-RU"/>
        </w:rPr>
        <w:t xml:space="preserve"> и ж/д ст. </w:t>
      </w:r>
      <w:proofErr w:type="spellStart"/>
      <w:r w:rsidRPr="003D1334">
        <w:rPr>
          <w:rFonts w:ascii="Arial" w:eastAsia="Times New Roman" w:hAnsi="Arial" w:cs="Arial"/>
          <w:sz w:val="20"/>
          <w:szCs w:val="20"/>
          <w:lang w:eastAsia="ru-RU"/>
        </w:rPr>
        <w:t>Шетпе</w:t>
      </w:r>
      <w:proofErr w:type="spellEnd"/>
      <w:r w:rsidRPr="003D1334">
        <w:rPr>
          <w:rFonts w:ascii="Arial" w:eastAsia="Times New Roman" w:hAnsi="Arial" w:cs="Arial"/>
          <w:sz w:val="20"/>
          <w:szCs w:val="20"/>
          <w:lang w:eastAsia="ru-RU"/>
        </w:rPr>
        <w:t xml:space="preserve"> дорогой с покрытием. Автотрасса Актау-</w:t>
      </w:r>
      <w:proofErr w:type="spellStart"/>
      <w:r w:rsidRPr="003D1334">
        <w:rPr>
          <w:rFonts w:ascii="Arial" w:eastAsia="Times New Roman" w:hAnsi="Arial" w:cs="Arial"/>
          <w:sz w:val="20"/>
          <w:szCs w:val="20"/>
          <w:lang w:eastAsia="ru-RU"/>
        </w:rPr>
        <w:t>Каламкас</w:t>
      </w:r>
      <w:proofErr w:type="spellEnd"/>
      <w:r w:rsidRPr="003D1334">
        <w:rPr>
          <w:rFonts w:ascii="Arial" w:eastAsia="Times New Roman" w:hAnsi="Arial" w:cs="Arial"/>
          <w:sz w:val="20"/>
          <w:szCs w:val="20"/>
          <w:lang w:eastAsia="ru-RU"/>
        </w:rPr>
        <w:t xml:space="preserve"> является дорогой с улучшенным покрытием. Вдоль него проходят нефтепровод и две ВЛ.</w:t>
      </w:r>
    </w:p>
    <w:p w14:paraId="1B9603BC"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Срок эксплуатации месторождения 2011-2035 годы.</w:t>
      </w:r>
    </w:p>
    <w:p w14:paraId="20672B89" w14:textId="77777777" w:rsidR="003D1334" w:rsidRPr="003D1334" w:rsidRDefault="003D1334" w:rsidP="003D1334">
      <w:p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Карьер охватывает весь контур балансовых запасов. Границей служит контур Горного отвода со следующими координатами его угловых точек:</w:t>
      </w:r>
    </w:p>
    <w:p w14:paraId="30FDF957" w14:textId="77777777" w:rsidR="003D1334" w:rsidRPr="003D1334" w:rsidRDefault="003D1334" w:rsidP="003D1334">
      <w:pPr>
        <w:numPr>
          <w:ilvl w:val="0"/>
          <w:numId w:val="4"/>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44</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 xml:space="preserve">21’38.24’’ </w:t>
      </w:r>
      <w:proofErr w:type="spellStart"/>
      <w:r w:rsidRPr="003D1334">
        <w:rPr>
          <w:rFonts w:ascii="Arial" w:eastAsia="Times New Roman" w:hAnsi="Arial" w:cs="Arial"/>
          <w:sz w:val="20"/>
          <w:szCs w:val="20"/>
          <w:lang w:eastAsia="ru-RU"/>
        </w:rPr>
        <w:t>с.ш</w:t>
      </w:r>
      <w:proofErr w:type="spellEnd"/>
      <w:r w:rsidRPr="003D1334">
        <w:rPr>
          <w:rFonts w:ascii="Arial" w:eastAsia="Times New Roman" w:hAnsi="Arial" w:cs="Arial"/>
          <w:sz w:val="20"/>
          <w:szCs w:val="20"/>
          <w:lang w:eastAsia="ru-RU"/>
        </w:rPr>
        <w:t>. 51</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22’17.28’’в.д.</w:t>
      </w:r>
    </w:p>
    <w:p w14:paraId="1A535EE4" w14:textId="77777777" w:rsidR="003D1334" w:rsidRPr="003D1334" w:rsidRDefault="003D1334" w:rsidP="003D1334">
      <w:pPr>
        <w:numPr>
          <w:ilvl w:val="0"/>
          <w:numId w:val="4"/>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44</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 xml:space="preserve">21’41.84’’ </w:t>
      </w:r>
      <w:proofErr w:type="spellStart"/>
      <w:r w:rsidRPr="003D1334">
        <w:rPr>
          <w:rFonts w:ascii="Arial" w:eastAsia="Times New Roman" w:hAnsi="Arial" w:cs="Arial"/>
          <w:sz w:val="20"/>
          <w:szCs w:val="20"/>
          <w:lang w:eastAsia="ru-RU"/>
        </w:rPr>
        <w:t>с.ш</w:t>
      </w:r>
      <w:proofErr w:type="spellEnd"/>
      <w:r w:rsidRPr="003D1334">
        <w:rPr>
          <w:rFonts w:ascii="Arial" w:eastAsia="Times New Roman" w:hAnsi="Arial" w:cs="Arial"/>
          <w:sz w:val="20"/>
          <w:szCs w:val="20"/>
          <w:lang w:eastAsia="ru-RU"/>
        </w:rPr>
        <w:t>. 51</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22’21.54’’в.д.</w:t>
      </w:r>
    </w:p>
    <w:p w14:paraId="0B6C13F8" w14:textId="77777777" w:rsidR="003D1334" w:rsidRPr="003D1334" w:rsidRDefault="003D1334" w:rsidP="003D1334">
      <w:pPr>
        <w:numPr>
          <w:ilvl w:val="0"/>
          <w:numId w:val="4"/>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44</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 xml:space="preserve">21’25.40’’ </w:t>
      </w:r>
      <w:proofErr w:type="spellStart"/>
      <w:r w:rsidRPr="003D1334">
        <w:rPr>
          <w:rFonts w:ascii="Arial" w:eastAsia="Times New Roman" w:hAnsi="Arial" w:cs="Arial"/>
          <w:sz w:val="20"/>
          <w:szCs w:val="20"/>
          <w:lang w:eastAsia="ru-RU"/>
        </w:rPr>
        <w:t>с.ш</w:t>
      </w:r>
      <w:proofErr w:type="spellEnd"/>
      <w:r w:rsidRPr="003D1334">
        <w:rPr>
          <w:rFonts w:ascii="Arial" w:eastAsia="Times New Roman" w:hAnsi="Arial" w:cs="Arial"/>
          <w:sz w:val="20"/>
          <w:szCs w:val="20"/>
          <w:lang w:eastAsia="ru-RU"/>
        </w:rPr>
        <w:t>. 51</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22’45.24’’в.д.</w:t>
      </w:r>
    </w:p>
    <w:p w14:paraId="4C46BAFA" w14:textId="77777777" w:rsidR="003D1334" w:rsidRPr="003D1334" w:rsidRDefault="003D1334" w:rsidP="003D1334">
      <w:pPr>
        <w:numPr>
          <w:ilvl w:val="0"/>
          <w:numId w:val="4"/>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44</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 xml:space="preserve">21’21.26’’ </w:t>
      </w:r>
      <w:proofErr w:type="spellStart"/>
      <w:r w:rsidRPr="003D1334">
        <w:rPr>
          <w:rFonts w:ascii="Arial" w:eastAsia="Times New Roman" w:hAnsi="Arial" w:cs="Arial"/>
          <w:sz w:val="20"/>
          <w:szCs w:val="20"/>
          <w:lang w:eastAsia="ru-RU"/>
        </w:rPr>
        <w:t>с.ш</w:t>
      </w:r>
      <w:proofErr w:type="spellEnd"/>
      <w:r w:rsidRPr="003D1334">
        <w:rPr>
          <w:rFonts w:ascii="Arial" w:eastAsia="Times New Roman" w:hAnsi="Arial" w:cs="Arial"/>
          <w:sz w:val="20"/>
          <w:szCs w:val="20"/>
          <w:lang w:eastAsia="ru-RU"/>
        </w:rPr>
        <w:t>. 51</w:t>
      </w:r>
      <w:r w:rsidRPr="003D1334">
        <w:rPr>
          <w:rFonts w:ascii="Arial" w:eastAsia="Times New Roman" w:hAnsi="Arial" w:cs="Arial"/>
          <w:sz w:val="20"/>
          <w:szCs w:val="20"/>
          <w:vertAlign w:val="superscript"/>
          <w:lang w:eastAsia="ru-RU"/>
        </w:rPr>
        <w:t>о</w:t>
      </w:r>
      <w:r w:rsidRPr="003D1334">
        <w:rPr>
          <w:rFonts w:ascii="Arial" w:eastAsia="Times New Roman" w:hAnsi="Arial" w:cs="Arial"/>
          <w:sz w:val="20"/>
          <w:szCs w:val="20"/>
          <w:lang w:eastAsia="ru-RU"/>
        </w:rPr>
        <w:t>22’41.34’’в.д.</w:t>
      </w:r>
    </w:p>
    <w:p w14:paraId="4AD034D5" w14:textId="77777777" w:rsidR="003D1334" w:rsidRDefault="003D1334" w:rsidP="003D1334">
      <w:r>
        <w:t>По поверхности Горный отвод ограничен абсолютными отметками от 110,2 до 137,6 м. По глубине отработки граница Горного отвода соответствует нижнему контуру балансовых запасов и составляет до 40 м.</w:t>
      </w:r>
    </w:p>
    <w:p w14:paraId="3087B1E9" w14:textId="77777777" w:rsidR="003D1334" w:rsidRDefault="003D1334" w:rsidP="003D1334">
      <w:r>
        <w:t>Постоянные водотоки вблизи месторождения отсутствуют.</w:t>
      </w:r>
    </w:p>
    <w:p w14:paraId="60C10C03" w14:textId="77777777" w:rsidR="003D1334" w:rsidRDefault="003D1334" w:rsidP="003D1334">
      <w:r>
        <w:t xml:space="preserve">Геологические запасы месторождения утверждены протоколом № 737 в 2009 году по категории С1 в количестве 4141,610 </w:t>
      </w:r>
      <w:proofErr w:type="spellStart"/>
      <w:r>
        <w:t>тыс.куб.м</w:t>
      </w:r>
      <w:proofErr w:type="spellEnd"/>
      <w:r>
        <w:t>.</w:t>
      </w:r>
    </w:p>
    <w:p w14:paraId="4612DF46" w14:textId="018ED3E4" w:rsidR="001C520B" w:rsidRDefault="003D1334" w:rsidP="003D1334">
      <w:r>
        <w:t>Площадь горного отвода всего по месторождению 0,106 км2. Гидрогеологические, горно-геологические и горнотехнические особенности разработки месторождения благоприятные для открытой отработки местным карьером.</w:t>
      </w:r>
    </w:p>
    <w:p w14:paraId="5F6374D1" w14:textId="05856F77" w:rsidR="003D1334" w:rsidRDefault="003D1334" w:rsidP="003D1334"/>
    <w:p w14:paraId="26B0A5BB" w14:textId="77777777" w:rsidR="003D1334" w:rsidRPr="003D1334" w:rsidRDefault="003D1334" w:rsidP="003D1334">
      <w:pPr>
        <w:spacing w:before="120" w:after="0" w:line="240" w:lineRule="auto"/>
        <w:jc w:val="both"/>
        <w:rPr>
          <w:rFonts w:ascii="Arial" w:eastAsia="Times New Roman" w:hAnsi="Arial" w:cs="Arial"/>
          <w:b/>
          <w:sz w:val="20"/>
          <w:szCs w:val="20"/>
          <w:lang w:eastAsia="ru-RU"/>
        </w:rPr>
      </w:pPr>
      <w:r w:rsidRPr="003D1334">
        <w:rPr>
          <w:rFonts w:ascii="Arial" w:eastAsia="Times New Roman" w:hAnsi="Arial" w:cs="Arial"/>
          <w:b/>
          <w:sz w:val="20"/>
          <w:szCs w:val="20"/>
          <w:lang w:eastAsia="ru-RU"/>
        </w:rPr>
        <w:t>Площадка 001 – Карьер</w:t>
      </w:r>
    </w:p>
    <w:p w14:paraId="61D2B98B" w14:textId="77777777" w:rsidR="003D1334" w:rsidRPr="003D1334" w:rsidRDefault="003D1334" w:rsidP="003D1334">
      <w:pPr>
        <w:spacing w:before="120" w:after="0" w:line="240" w:lineRule="auto"/>
        <w:jc w:val="both"/>
        <w:rPr>
          <w:rFonts w:ascii="Arial" w:eastAsia="Times New Roman" w:hAnsi="Arial" w:cs="Arial"/>
          <w:i/>
          <w:sz w:val="20"/>
          <w:szCs w:val="20"/>
          <w:lang w:eastAsia="ru-RU"/>
        </w:rPr>
      </w:pPr>
      <w:r w:rsidRPr="003D1334">
        <w:rPr>
          <w:rFonts w:ascii="Arial" w:eastAsia="Times New Roman" w:hAnsi="Arial" w:cs="Arial"/>
          <w:i/>
          <w:sz w:val="20"/>
          <w:szCs w:val="20"/>
          <w:lang w:eastAsia="ru-RU"/>
        </w:rPr>
        <w:t>Неорганизованные (10 ед.):</w:t>
      </w:r>
    </w:p>
    <w:p w14:paraId="6C24F5B1"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lastRenderedPageBreak/>
        <w:t>Источник №6001 – Буровые работы.</w:t>
      </w:r>
    </w:p>
    <w:p w14:paraId="60F26C3A"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№6002 – Взрывные работы.</w:t>
      </w:r>
    </w:p>
    <w:p w14:paraId="4F2EE0AF"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№6003 – Экскаватор (погрузка строительного камня).</w:t>
      </w:r>
    </w:p>
    <w:p w14:paraId="546E7DD4"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№6004 – Автосамосвал (транспортировка строительного камня).</w:t>
      </w:r>
    </w:p>
    <w:p w14:paraId="2DDE0934"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№6005 – Автосамосвал (разгрузка строительного камня).</w:t>
      </w:r>
    </w:p>
    <w:p w14:paraId="3A13EBE7"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№6006 – Дробильно-сортировочная установка (ДСУ).</w:t>
      </w:r>
    </w:p>
    <w:p w14:paraId="294DD8DB"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№6007 – Конусные склады фракционного щебня.</w:t>
      </w:r>
    </w:p>
    <w:p w14:paraId="2A851E87"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№6008 – Автосамосвал (погрузка и транспортировка щебня).</w:t>
      </w:r>
    </w:p>
    <w:p w14:paraId="4FF0FA22"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№6009 – Сварочный пост.</w:t>
      </w:r>
    </w:p>
    <w:p w14:paraId="6AB8C310" w14:textId="77777777" w:rsidR="003D1334" w:rsidRPr="003D1334" w:rsidRDefault="003D1334" w:rsidP="003D1334">
      <w:pPr>
        <w:numPr>
          <w:ilvl w:val="0"/>
          <w:numId w:val="5"/>
        </w:numPr>
        <w:spacing w:before="120" w:after="0" w:line="240" w:lineRule="auto"/>
        <w:jc w:val="both"/>
        <w:rPr>
          <w:rFonts w:ascii="Arial" w:eastAsia="Times New Roman" w:hAnsi="Arial" w:cs="Arial"/>
          <w:sz w:val="20"/>
          <w:szCs w:val="20"/>
          <w:lang w:eastAsia="ru-RU"/>
        </w:rPr>
      </w:pPr>
      <w:r w:rsidRPr="003D1334">
        <w:rPr>
          <w:rFonts w:ascii="Arial" w:eastAsia="Times New Roman" w:hAnsi="Arial" w:cs="Arial"/>
          <w:sz w:val="20"/>
          <w:szCs w:val="20"/>
          <w:lang w:eastAsia="ru-RU"/>
        </w:rPr>
        <w:t>Источник №6010 – Карьерная техника, работающая на дизельном топливе.</w:t>
      </w:r>
    </w:p>
    <w:p w14:paraId="6B11D8A2" w14:textId="77777777" w:rsidR="003D1334" w:rsidRPr="003D1334" w:rsidRDefault="003D1334" w:rsidP="003D1334"/>
    <w:sectPr w:rsidR="003D1334" w:rsidRPr="003D1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556C"/>
    <w:multiLevelType w:val="hybridMultilevel"/>
    <w:tmpl w:val="A6581DF0"/>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 w15:restartNumberingAfterBreak="0">
    <w:nsid w:val="59D512A3"/>
    <w:multiLevelType w:val="hybridMultilevel"/>
    <w:tmpl w:val="3B92A130"/>
    <w:lvl w:ilvl="0" w:tplc="A172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EF5C03"/>
    <w:multiLevelType w:val="hybridMultilevel"/>
    <w:tmpl w:val="10420644"/>
    <w:lvl w:ilvl="0" w:tplc="04190003">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5612CE"/>
    <w:multiLevelType w:val="hybridMultilevel"/>
    <w:tmpl w:val="46A0C572"/>
    <w:lvl w:ilvl="0" w:tplc="A17214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D2F7868"/>
    <w:multiLevelType w:val="hybridMultilevel"/>
    <w:tmpl w:val="ED42A2D4"/>
    <w:lvl w:ilvl="0" w:tplc="57969A26">
      <w:start w:val="1"/>
      <w:numFmt w:val="bullet"/>
      <w:lvlText w:val=""/>
      <w:lvlJc w:val="left"/>
      <w:pPr>
        <w:tabs>
          <w:tab w:val="num" w:pos="1080"/>
        </w:tabs>
        <w:ind w:left="1080" w:hanging="360"/>
      </w:pPr>
      <w:rPr>
        <w:rFonts w:ascii="Wingdings" w:hAnsi="Wingdings" w:hint="default"/>
      </w:rPr>
    </w:lvl>
    <w:lvl w:ilvl="1" w:tplc="04190003">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364"/>
    <w:rsid w:val="001C520B"/>
    <w:rsid w:val="002A4683"/>
    <w:rsid w:val="003D1334"/>
    <w:rsid w:val="00D453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F8CC"/>
  <w15:chartTrackingRefBased/>
  <w15:docId w15:val="{191EF4C5-CAF4-4131-B383-9268DE4F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2,Основной текст Знак11,Основной текст Знак Знак1,Основной текст Знак Знак1 Знак1,Основной текст Знак1 Знак Знак Знак1,Основной текст Знак Знак Знак Знак Знак1,b Знак Зн,b Знак Знак,b"/>
    <w:basedOn w:val="a"/>
    <w:link w:val="1"/>
    <w:rsid w:val="001C520B"/>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uiPriority w:val="99"/>
    <w:semiHidden/>
    <w:rsid w:val="001C520B"/>
  </w:style>
  <w:style w:type="character" w:customStyle="1" w:styleId="1">
    <w:name w:val="Основной текст Знак1"/>
    <w:aliases w:val="Основной текст1 Знак,Основной текст Знак2 Знак,Основной текст Знак11 Знак,Основной текст Знак Знак1 Знак,Основной текст Знак Знак1 Знак1 Знак,Основной текст Знак1 Знак Знак Знак1 Знак,Основной текст Знак Знак Знак Знак Знак1 Знак"/>
    <w:link w:val="a3"/>
    <w:rsid w:val="001C520B"/>
    <w:rPr>
      <w:rFonts w:ascii="Times New Roman" w:eastAsia="Times New Roman" w:hAnsi="Times New Roman" w:cs="Times New Roman"/>
      <w:sz w:val="24"/>
      <w:szCs w:val="24"/>
      <w:lang w:eastAsia="ru-RU"/>
    </w:rPr>
  </w:style>
  <w:style w:type="table" w:styleId="a5">
    <w:name w:val="Table Grid"/>
    <w:basedOn w:val="a1"/>
    <w:rsid w:val="001C52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Alena Pushinka</cp:lastModifiedBy>
  <cp:revision>4</cp:revision>
  <dcterms:created xsi:type="dcterms:W3CDTF">2025-04-14T17:37:00Z</dcterms:created>
  <dcterms:modified xsi:type="dcterms:W3CDTF">2025-10-06T12:59:00Z</dcterms:modified>
</cp:coreProperties>
</file>