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52A" w:rsidRPr="004D739C" w:rsidRDefault="00C2152A" w:rsidP="004D739C">
      <w:pPr>
        <w:pStyle w:val="a6"/>
        <w:shd w:val="clear" w:color="auto" w:fill="FFFFFF"/>
        <w:spacing w:before="0" w:beforeAutospacing="0" w:after="360" w:afterAutospacing="0"/>
        <w:jc w:val="center"/>
        <w:textAlignment w:val="baseline"/>
        <w:rPr>
          <w:b/>
          <w:color w:val="000000"/>
          <w:spacing w:val="2"/>
          <w:sz w:val="20"/>
          <w:szCs w:val="20"/>
        </w:rPr>
      </w:pPr>
      <w:r w:rsidRPr="004D739C">
        <w:rPr>
          <w:b/>
        </w:rPr>
        <w:t>НЕТЕХНИЧЕСКОЕ РЕЗЮМЕ</w:t>
      </w:r>
    </w:p>
    <w:tbl>
      <w:tblPr>
        <w:tblStyle w:val="a7"/>
        <w:tblW w:w="0" w:type="auto"/>
        <w:tblLook w:val="04A0"/>
      </w:tblPr>
      <w:tblGrid>
        <w:gridCol w:w="3794"/>
        <w:gridCol w:w="10915"/>
      </w:tblGrid>
      <w:tr w:rsidR="00217CCC" w:rsidRPr="007D6F87" w:rsidTr="004D739C">
        <w:tc>
          <w:tcPr>
            <w:tcW w:w="3794" w:type="dxa"/>
            <w:vAlign w:val="center"/>
          </w:tcPr>
          <w:p w:rsidR="00217CCC" w:rsidRPr="007D6F87" w:rsidRDefault="00217CCC" w:rsidP="00E141EA">
            <w:pPr>
              <w:pStyle w:val="a6"/>
              <w:spacing w:before="0" w:beforeAutospacing="0" w:after="360" w:afterAutospacing="0"/>
              <w:jc w:val="center"/>
              <w:textAlignment w:val="baseline"/>
              <w:rPr>
                <w:b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color w:val="000000"/>
                <w:spacing w:val="2"/>
                <w:sz w:val="20"/>
                <w:szCs w:val="20"/>
              </w:rPr>
              <w:t xml:space="preserve">Информация подпунктов ст. </w:t>
            </w:r>
            <w:r w:rsidR="00E141EA" w:rsidRPr="007D6F87">
              <w:rPr>
                <w:b/>
                <w:color w:val="000000"/>
                <w:spacing w:val="2"/>
                <w:sz w:val="20"/>
                <w:szCs w:val="20"/>
              </w:rPr>
              <w:t>89</w:t>
            </w:r>
            <w:r w:rsidRPr="007D6F87">
              <w:rPr>
                <w:b/>
                <w:color w:val="000000"/>
                <w:spacing w:val="2"/>
                <w:sz w:val="20"/>
                <w:szCs w:val="20"/>
              </w:rPr>
              <w:t xml:space="preserve"> ЭК РК</w:t>
            </w:r>
          </w:p>
        </w:tc>
        <w:tc>
          <w:tcPr>
            <w:tcW w:w="10915" w:type="dxa"/>
            <w:vAlign w:val="center"/>
          </w:tcPr>
          <w:p w:rsidR="00217CCC" w:rsidRPr="007D6F87" w:rsidRDefault="006308E5" w:rsidP="00E141EA">
            <w:pPr>
              <w:pStyle w:val="a6"/>
              <w:spacing w:before="0" w:beforeAutospacing="0" w:after="360" w:afterAutospacing="0"/>
              <w:jc w:val="center"/>
              <w:textAlignment w:val="baseline"/>
              <w:rPr>
                <w:b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color w:val="000000"/>
                <w:spacing w:val="2"/>
                <w:sz w:val="20"/>
                <w:szCs w:val="20"/>
              </w:rPr>
              <w:t xml:space="preserve">Краткое резюме подпунктов ст. </w:t>
            </w:r>
            <w:r w:rsidR="00E141EA" w:rsidRPr="007D6F87">
              <w:rPr>
                <w:b/>
                <w:color w:val="000000"/>
                <w:spacing w:val="2"/>
                <w:sz w:val="20"/>
                <w:szCs w:val="20"/>
              </w:rPr>
              <w:t>89</w:t>
            </w:r>
            <w:r w:rsidRPr="007D6F87">
              <w:rPr>
                <w:b/>
                <w:color w:val="000000"/>
                <w:spacing w:val="2"/>
                <w:sz w:val="20"/>
                <w:szCs w:val="20"/>
              </w:rPr>
              <w:t xml:space="preserve"> ЭК РК</w:t>
            </w:r>
          </w:p>
        </w:tc>
      </w:tr>
      <w:tr w:rsidR="00217CCC" w:rsidRPr="007D6F87" w:rsidTr="00217CCC">
        <w:tc>
          <w:tcPr>
            <w:tcW w:w="3794" w:type="dxa"/>
          </w:tcPr>
          <w:p w:rsidR="00217CCC" w:rsidRPr="007D6F87" w:rsidRDefault="00217CCC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 1) описание намечаемой деятельности, в отношении которой составлен отчет, включая:</w:t>
            </w:r>
          </w:p>
          <w:p w:rsidR="00217CCC" w:rsidRPr="007D6F87" w:rsidRDefault="00217CCC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Описание предполагаемого места осуществления намечаемой деятельности, его координаты, определенные согласно </w:t>
            </w:r>
            <w:proofErr w:type="spellStart"/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геоинформационной</w:t>
            </w:r>
            <w:proofErr w:type="spellEnd"/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 системе, с векторными файлами, а также описание состояния окружающей среды в предполагаемом месте осуществления намечаемой деятельности на момент составления отчета;</w:t>
            </w:r>
          </w:p>
          <w:p w:rsidR="00217CCC" w:rsidRPr="007D6F87" w:rsidRDefault="00217CCC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10915" w:type="dxa"/>
          </w:tcPr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Проект нормативов допустимых выбросов загрязняющих веществ (НДВ), разработан для ТОО «СП «ЮГХК», рудника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, участков Ближний и Летний. 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Представленный документ содержит результаты расчета концентраций (рассеивания) загрязняющих веществ в атмосферном воздухе, создаваемых выбросами ТОО «СП «ЮГХК» рудник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>, участки Ближний и Летний и нормативы выбросов загрязняющих веществ в атмосферу для указанных объектов ТОО «СП «ЮГХК» на период 2026-2030г.г.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Основные производственные участки, в том числе являющиеся значимыми источниками воздействия на атмосферный воздух являются: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По участку Ближний: (001) Котельная ЦППР, (002) Склад аммиачной селитры, (003) ЦППР, (004) ФХЛ, (005) Узел отстоя тех. растворов, (006) Пункт дезактивации и загрузки, (007) Склад жидких реагентов (СЖР), (008) Склад нефтепродуктов. АЗС, (009) Центральная насосная станция, (010) Котельная АБК-1, (011) Котельная АБК-2, (012) Автотранспортный участок (АТУ), (013) Станция </w:t>
            </w:r>
            <w:proofErr w:type="spellStart"/>
            <w:r w:rsidRPr="007D6F87">
              <w:rPr>
                <w:sz w:val="20"/>
                <w:szCs w:val="20"/>
              </w:rPr>
              <w:t>биоочистки</w:t>
            </w:r>
            <w:proofErr w:type="spellEnd"/>
            <w:r w:rsidRPr="007D6F87">
              <w:rPr>
                <w:sz w:val="20"/>
                <w:szCs w:val="20"/>
              </w:rPr>
              <w:t>, (014) ДЭС ЦППР, (015) ГТП (геотехнологическое поле), (016) Вахтовый поселок, (017) РВР.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По участку Летний: (018) ЦППР, (019) Склад жидких реагентов (СЖР), (020) Узел отстоя тех. растворов, (021) Центральная насосная станция, (022) Механическая мастерская, (023) Передвижной сварочный пост, (024) Автостоянка.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Целью работы является корректировка проектных решений нормативов допустимых выбросов при работе рудника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>, участков Ближний и Летний.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Представленный документ содержит результаты расчета концентраций (рассеивания) загрязняющих веществ в атмосферном воздухе, создаваемых выбросами ТОО «СП «ЮГХК» рудник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>, участки Ближний и Летний и нормативы выбросов загрязняющих веществ в атмосферу для указанных объектов ТОО «СП «ЮГХК» на период 2026-2030г.г.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Основные производственные участки, в том числе являющиеся значимыми источниками воздействия на атмосферный воздух являются: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По участку Ближний: (001) Котельная ЦППР, (002) Склад аммиачной селитры, (003) ЦППР, (004) ФХЛ, (005) Узел отстоя тех. растворов, (006) Пункт дезактивации и загрузки, (007) Склад жидких реагентов (СЖР), (008) Склад нефтепродуктов. АЗС, (009) Центральная насосная станция, (010) Котельная АБК-1, (011) Котельная АБК-2, (012) Автотранспортный участок (АТУ), (013) Станция </w:t>
            </w:r>
            <w:proofErr w:type="spellStart"/>
            <w:r w:rsidRPr="007D6F87">
              <w:rPr>
                <w:sz w:val="20"/>
                <w:szCs w:val="20"/>
              </w:rPr>
              <w:t>биоочистки</w:t>
            </w:r>
            <w:proofErr w:type="spellEnd"/>
            <w:r w:rsidRPr="007D6F87">
              <w:rPr>
                <w:sz w:val="20"/>
                <w:szCs w:val="20"/>
              </w:rPr>
              <w:t>, (014) ДЭС ЦППР, (015) ГТП (геотехнологическое поле), (016) Вахтовый поселок, (017) РВР.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По участку Летний: (018) ЦППР, (019) Склад жидких реагентов (СЖР), (020) Узел отстоя тех. растворов, (021) Центральная насосная станция, (022) Механическая мастерская, (023) Передвижной сварочный пост, (024) Автостоянка.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При расчете объемов выбросов от вентиляционных </w:t>
            </w:r>
            <w:proofErr w:type="spellStart"/>
            <w:r w:rsidRPr="007D6F87">
              <w:rPr>
                <w:sz w:val="20"/>
                <w:szCs w:val="20"/>
              </w:rPr>
              <w:t>установокбыли</w:t>
            </w:r>
            <w:proofErr w:type="spellEnd"/>
            <w:r w:rsidRPr="007D6F87">
              <w:rPr>
                <w:sz w:val="20"/>
                <w:szCs w:val="20"/>
              </w:rPr>
              <w:t xml:space="preserve"> использованы результаты замеров выбросов.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Общее число источников выбросов загрязняющих веществ в атмосферу на 2026 год - 106, в том числе: организованных - 94, неорганизованных площадных - 12. Автотранспорт – 40 единиц.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Загрязнение атмосферного воздуха на существующее положение происходит ингредиентами 33-х наименований, образующих 11 групп веществ, обладающих эффектом суммации вредного воздействия.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lastRenderedPageBreak/>
              <w:t>По действующему разрешению (Экологическое разрешение на воздействие для объектов I категории №: KZ23VCZ03796460) общее число стационарных источников выбросов загрязняющих веществ в атмосферу на существующее положение для ТОО «СП «ЮГХК» - 86, в том числе: организованных 36 (248 источников выделения), неорганизованных площадных 50.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Суммарное количество выбросов загрязняющих веществ от источников ТОО «СП «ЮГХК» рудник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 на 2026 - 2030 гг., определенное по результатам инвентаризации, составляет 51.4029309188т/год (11.5460244367г/с), из них по участку Ближний 47.7121604478 т/год(11.0001353297г/сек),по участку Летний 3.690770471 т/год (0.545889107 г/сек).</w:t>
            </w: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</w:p>
          <w:p w:rsidR="00261980" w:rsidRPr="007D6F87" w:rsidRDefault="00261980" w:rsidP="00261980">
            <w:pPr>
              <w:ind w:firstLine="902"/>
              <w:jc w:val="both"/>
              <w:rPr>
                <w:sz w:val="20"/>
                <w:szCs w:val="20"/>
              </w:rPr>
            </w:pPr>
          </w:p>
          <w:p w:rsidR="00217CCC" w:rsidRPr="007D6F87" w:rsidRDefault="00217CCC" w:rsidP="004D739C">
            <w:pPr>
              <w:tabs>
                <w:tab w:val="left" w:pos="0"/>
              </w:tabs>
              <w:ind w:firstLine="567"/>
              <w:jc w:val="both"/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217CCC" w:rsidRPr="007D6F87" w:rsidTr="00217CCC">
        <w:tc>
          <w:tcPr>
            <w:tcW w:w="3794" w:type="dxa"/>
          </w:tcPr>
          <w:p w:rsidR="00217CCC" w:rsidRPr="007D6F87" w:rsidRDefault="00E82D82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lastRenderedPageBreak/>
              <w:t xml:space="preserve">Общий план месторождения </w:t>
            </w:r>
            <w:r w:rsidR="0088761D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«</w:t>
            </w:r>
            <w:proofErr w:type="spellStart"/>
            <w:r w:rsidR="00261980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Акдала</w:t>
            </w:r>
            <w:proofErr w:type="spellEnd"/>
            <w:r w:rsidR="0088761D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»</w:t>
            </w:r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.</w:t>
            </w:r>
          </w:p>
          <w:p w:rsidR="00E82D82" w:rsidRPr="007D6F87" w:rsidRDefault="00E82D82" w:rsidP="00261980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План промышленной площадки рудника </w:t>
            </w:r>
            <w:r w:rsidR="0088761D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«</w:t>
            </w:r>
            <w:proofErr w:type="spellStart"/>
            <w:r w:rsidR="00261980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Акдала</w:t>
            </w:r>
            <w:proofErr w:type="spellEnd"/>
            <w:r w:rsidR="0088761D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».</w:t>
            </w:r>
            <w:r w:rsidR="003B7355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10915" w:type="dxa"/>
          </w:tcPr>
          <w:p w:rsidR="00217CCC" w:rsidRPr="007D6F87" w:rsidRDefault="007D6F87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drawing>
                <wp:inline distT="0" distB="0" distL="0" distR="0">
                  <wp:extent cx="3857123" cy="6007396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072" cy="600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F87" w:rsidRPr="007D6F87" w:rsidRDefault="007D6F87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drawing>
                <wp:inline distT="0" distB="0" distL="0" distR="0">
                  <wp:extent cx="6012815" cy="3822065"/>
                  <wp:effectExtent l="0" t="0" r="6985" b="698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3706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815" cy="38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D82" w:rsidRPr="007D6F87" w:rsidRDefault="00E82D82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217CCC" w:rsidRPr="007D6F87" w:rsidTr="00217CCC">
        <w:tc>
          <w:tcPr>
            <w:tcW w:w="3794" w:type="dxa"/>
          </w:tcPr>
          <w:p w:rsidR="00E82D82" w:rsidRPr="007D6F87" w:rsidRDefault="00E82D82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lastRenderedPageBreak/>
              <w:t>Информация о категории земель и целях использования земель в ходе строительства и эксплуатации объектов, необходимых для осуществления намечаемой деятельности;</w:t>
            </w:r>
          </w:p>
          <w:p w:rsidR="00217CCC" w:rsidRPr="007D6F87" w:rsidRDefault="00217CCC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10915" w:type="dxa"/>
          </w:tcPr>
          <w:p w:rsidR="00217CCC" w:rsidRPr="007D6F87" w:rsidRDefault="00E82D82" w:rsidP="004D739C">
            <w:pPr>
              <w:pStyle w:val="a6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 xml:space="preserve">Согласно Актов </w:t>
            </w:r>
            <w:r w:rsidR="003B7355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землепользования, категория земель:</w:t>
            </w:r>
            <w:r w:rsidR="00FA0822"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 Земли промышленности, транспорта, связи, для нужд космической деятельности, обороны, национальной безопасности, и иного не сельскохозяйственного назначения.</w:t>
            </w:r>
          </w:p>
          <w:p w:rsidR="00FA0822" w:rsidRPr="007D6F87" w:rsidRDefault="00FA0822" w:rsidP="004D739C">
            <w:pPr>
              <w:pStyle w:val="a6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b/>
                <w:i/>
                <w:color w:val="000000"/>
                <w:spacing w:val="2"/>
                <w:sz w:val="20"/>
                <w:szCs w:val="20"/>
              </w:rPr>
              <w:t>Целевое назначение: Для добычи урана и сопутствующей инфраструктуры.</w:t>
            </w:r>
          </w:p>
          <w:p w:rsidR="00FA0822" w:rsidRPr="007D6F87" w:rsidRDefault="00FA0822" w:rsidP="004D739C">
            <w:pPr>
              <w:tabs>
                <w:tab w:val="left" w:pos="0"/>
              </w:tabs>
              <w:ind w:firstLine="720"/>
              <w:jc w:val="both"/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217CCC" w:rsidRPr="007D6F87" w:rsidTr="00217CCC">
        <w:tc>
          <w:tcPr>
            <w:tcW w:w="3794" w:type="dxa"/>
          </w:tcPr>
          <w:p w:rsidR="00217CCC" w:rsidRPr="007D6F87" w:rsidRDefault="00785813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>Информацию о показателях объектов, необходимых для осуществления намечаемой деятельности, включая их мощность, габариты (площадь занимаемых земель, высота), сведения о производственном процессе, в том числе об ожидаемой производительности предприятия, его потребности в энергии, природных ресурсах, сырье и материалах</w:t>
            </w:r>
          </w:p>
        </w:tc>
        <w:tc>
          <w:tcPr>
            <w:tcW w:w="10915" w:type="dxa"/>
          </w:tcPr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Действующий рудник «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» ТОО «СП «ЮГКХ» расположен в сельском округе Жуантобе </w:t>
            </w:r>
            <w:proofErr w:type="spellStart"/>
            <w:r w:rsidRPr="007D6F87">
              <w:rPr>
                <w:sz w:val="20"/>
                <w:szCs w:val="20"/>
              </w:rPr>
              <w:t>Сузакского</w:t>
            </w:r>
            <w:proofErr w:type="spellEnd"/>
            <w:r w:rsidRPr="007D6F87">
              <w:rPr>
                <w:sz w:val="20"/>
                <w:szCs w:val="20"/>
              </w:rPr>
              <w:t xml:space="preserve"> района Туркестанской области, в 60 км от поселка </w:t>
            </w:r>
            <w:proofErr w:type="spellStart"/>
            <w:r w:rsidRPr="007D6F87">
              <w:rPr>
                <w:sz w:val="20"/>
                <w:szCs w:val="20"/>
              </w:rPr>
              <w:t>Кыземшек</w:t>
            </w:r>
            <w:proofErr w:type="spellEnd"/>
            <w:r w:rsidRPr="007D6F87">
              <w:rPr>
                <w:sz w:val="20"/>
                <w:szCs w:val="20"/>
              </w:rPr>
              <w:t xml:space="preserve">. Вахтовый поселок рудника находится в 500 м севернее от центральной </w:t>
            </w:r>
            <w:proofErr w:type="spellStart"/>
            <w:r w:rsidRPr="007D6F87">
              <w:rPr>
                <w:sz w:val="20"/>
                <w:szCs w:val="20"/>
              </w:rPr>
              <w:t>промплощадки</w:t>
            </w:r>
            <w:proofErr w:type="spellEnd"/>
            <w:r w:rsidRPr="007D6F87">
              <w:rPr>
                <w:sz w:val="20"/>
                <w:szCs w:val="20"/>
              </w:rPr>
              <w:t xml:space="preserve"> и комплекс жилой зоны представлен в виде блокировки отдельных зданий попарно, соединенные переходом.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Площадь земельного участка центральной </w:t>
            </w:r>
            <w:proofErr w:type="spellStart"/>
            <w:r w:rsidRPr="007D6F87">
              <w:rPr>
                <w:sz w:val="20"/>
                <w:szCs w:val="20"/>
              </w:rPr>
              <w:t>промплощадки</w:t>
            </w:r>
            <w:proofErr w:type="spellEnd"/>
            <w:r w:rsidRPr="007D6F87">
              <w:rPr>
                <w:sz w:val="20"/>
                <w:szCs w:val="20"/>
              </w:rPr>
              <w:t xml:space="preserve"> составляет 378 га, старого вахтового поселка – 3,956 га. В состав рудника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 входят: участок «Ближний», участок «Летний».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Структурные подразделения участка Ближний: Котельная, Склад аммиачной селитры, Цех по производству продуктивного раствора, Физико-химическая лаборатория, Узел отстоя тех. Растворов, Пункт дезактивации и загрузки, Склад жидких реагентов, Склад нефтепродуктов. АЗС, Центральная насосная станция, Котельная АБК-1, Котельная АБК-2,  Автотранспортный участок, Станция </w:t>
            </w:r>
            <w:proofErr w:type="spellStart"/>
            <w:r w:rsidRPr="007D6F87">
              <w:rPr>
                <w:sz w:val="20"/>
                <w:szCs w:val="20"/>
              </w:rPr>
              <w:t>биоочистки</w:t>
            </w:r>
            <w:proofErr w:type="spellEnd"/>
            <w:r w:rsidRPr="007D6F87">
              <w:rPr>
                <w:sz w:val="20"/>
                <w:szCs w:val="20"/>
              </w:rPr>
              <w:t xml:space="preserve">, Дизельная </w:t>
            </w:r>
            <w:proofErr w:type="spellStart"/>
            <w:r w:rsidRPr="007D6F87">
              <w:rPr>
                <w:sz w:val="20"/>
                <w:szCs w:val="20"/>
              </w:rPr>
              <w:t>электро-станция</w:t>
            </w:r>
            <w:proofErr w:type="spellEnd"/>
            <w:r w:rsidRPr="007D6F87">
              <w:rPr>
                <w:sz w:val="20"/>
                <w:szCs w:val="20"/>
              </w:rPr>
              <w:t xml:space="preserve">, Геотехнологическое поле, Вахтовый поселок, Ремонтный участок.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Структурные подразделения участка Летний: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ЦППР , Склад жидких реагентов, Узел отстоя тех. Растворов, Центральная насосная станция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Механическая мастерская, Передвижной сварочный пост, Геотехнологическое поле, Автостоянка.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Общее количество работников на </w:t>
            </w:r>
            <w:proofErr w:type="spellStart"/>
            <w:r w:rsidRPr="007D6F87">
              <w:rPr>
                <w:sz w:val="20"/>
                <w:szCs w:val="20"/>
              </w:rPr>
              <w:t>промплощадке</w:t>
            </w:r>
            <w:proofErr w:type="spellEnd"/>
            <w:r w:rsidRPr="007D6F87">
              <w:rPr>
                <w:sz w:val="20"/>
                <w:szCs w:val="20"/>
              </w:rPr>
              <w:t xml:space="preserve"> участка «Ближний» с учетом работников участка «Летний» – 303 чел. Количество смен в сутки – 2. Количество рабочих дней в году – 365 дней.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Жилой комплекс вахтового поселка рассчитан на проживание 120 чел. Количество смен в сутки – 1, для столовой - 2. Количество дней в году – 365 дней.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Климат района резко континентальный и характеризуется значительными годовыми и суточными амплитудами колебаний температуры: суровой зимой, жарким летом, сухостью воздуха и малым количеством осадков. Безморозный период в воздухе устанавливается во второй половине апреля и длится 5-6 месяцев.</w:t>
            </w:r>
          </w:p>
          <w:p w:rsidR="00217CCC" w:rsidRPr="007D6F87" w:rsidRDefault="00217CCC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217CCC" w:rsidRPr="007D6F87" w:rsidTr="00217CCC">
        <w:tc>
          <w:tcPr>
            <w:tcW w:w="3794" w:type="dxa"/>
          </w:tcPr>
          <w:p w:rsidR="00217CCC" w:rsidRPr="007D6F87" w:rsidRDefault="000E1B32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 xml:space="preserve">Информацию о компонентах природной среды и иных объектах, которые могут быть подвержены существенным воздействиям намечаемой деятельности, включая жизнь и (или) здоровье людей, условия их проживания и деятельности, </w:t>
            </w:r>
            <w:proofErr w:type="spellStart"/>
            <w:r w:rsidRPr="007D6F87">
              <w:rPr>
                <w:color w:val="000000"/>
                <w:spacing w:val="2"/>
                <w:sz w:val="20"/>
                <w:szCs w:val="20"/>
              </w:rPr>
              <w:t>биоразнообразие</w:t>
            </w:r>
            <w:proofErr w:type="spellEnd"/>
            <w:r w:rsidRPr="007D6F87">
              <w:rPr>
                <w:color w:val="000000"/>
                <w:spacing w:val="2"/>
                <w:sz w:val="20"/>
                <w:szCs w:val="20"/>
              </w:rPr>
              <w:t xml:space="preserve"> (в том числе </w:t>
            </w:r>
            <w:r w:rsidRPr="007D6F87">
              <w:rPr>
                <w:color w:val="000000"/>
                <w:spacing w:val="2"/>
                <w:sz w:val="20"/>
                <w:szCs w:val="20"/>
              </w:rPr>
              <w:lastRenderedPageBreak/>
              <w:t xml:space="preserve">растительный и животный мир, генетические ресурсы, природные ареалы растений и диких животных, пути миграции диких животных, экосистемы), земли (в том числе изъятие земель), почвы (в том числе органический состав, эрозию, уплотнение, иные формы деградации), воды (в том числе </w:t>
            </w:r>
            <w:proofErr w:type="spellStart"/>
            <w:r w:rsidRPr="007D6F87">
              <w:rPr>
                <w:color w:val="000000"/>
                <w:spacing w:val="2"/>
                <w:sz w:val="20"/>
                <w:szCs w:val="20"/>
              </w:rPr>
              <w:t>гидроморфологические</w:t>
            </w:r>
            <w:proofErr w:type="spellEnd"/>
            <w:r w:rsidRPr="007D6F87">
              <w:rPr>
                <w:color w:val="000000"/>
                <w:spacing w:val="2"/>
                <w:sz w:val="20"/>
                <w:szCs w:val="20"/>
              </w:rPr>
              <w:t xml:space="preserve"> изменения, количество и качество вод), атмосферный воздух, сопротивляемость к изменению климата экологических и социально-экономических систем, материальные активы, объекты историко-культурного наследия (в том числе архитектурные и археологические), ландшафты, а также взаимодействие указанных объектов</w:t>
            </w:r>
          </w:p>
        </w:tc>
        <w:tc>
          <w:tcPr>
            <w:tcW w:w="10915" w:type="dxa"/>
          </w:tcPr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lastRenderedPageBreak/>
              <w:t>Животный мир.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Земноводные и пресмыкающиеся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В силу своего промежуточного  положения на границе  предгорий  и песков  рассматриваемая территория характеризуется богатой </w:t>
            </w:r>
            <w:proofErr w:type="spellStart"/>
            <w:r w:rsidRPr="007D6F87">
              <w:rPr>
                <w:sz w:val="20"/>
                <w:szCs w:val="20"/>
              </w:rPr>
              <w:t>герпетофауной</w:t>
            </w:r>
            <w:proofErr w:type="spellEnd"/>
            <w:r w:rsidRPr="007D6F87">
              <w:rPr>
                <w:sz w:val="20"/>
                <w:szCs w:val="20"/>
              </w:rPr>
              <w:t xml:space="preserve">. Известны сборы </w:t>
            </w:r>
            <w:proofErr w:type="spellStart"/>
            <w:r w:rsidRPr="007D6F87">
              <w:rPr>
                <w:sz w:val="20"/>
                <w:szCs w:val="20"/>
              </w:rPr>
              <w:t>гребнепалого</w:t>
            </w:r>
            <w:proofErr w:type="spellEnd"/>
            <w:r w:rsidRPr="007D6F87">
              <w:rPr>
                <w:sz w:val="20"/>
                <w:szCs w:val="20"/>
              </w:rPr>
              <w:t xml:space="preserve">, серого и </w:t>
            </w:r>
            <w:proofErr w:type="spellStart"/>
            <w:r w:rsidRPr="007D6F87">
              <w:rPr>
                <w:sz w:val="20"/>
                <w:szCs w:val="20"/>
              </w:rPr>
              <w:t>сцинкового</w:t>
            </w:r>
            <w:proofErr w:type="spellEnd"/>
            <w:r w:rsidRPr="007D6F87">
              <w:rPr>
                <w:sz w:val="20"/>
                <w:szCs w:val="20"/>
              </w:rPr>
              <w:t xml:space="preserve"> </w:t>
            </w:r>
            <w:proofErr w:type="spellStart"/>
            <w:r w:rsidRPr="007D6F87">
              <w:rPr>
                <w:sz w:val="20"/>
                <w:szCs w:val="20"/>
              </w:rPr>
              <w:t>гекконов</w:t>
            </w:r>
            <w:proofErr w:type="spellEnd"/>
            <w:r w:rsidRPr="007D6F87">
              <w:rPr>
                <w:sz w:val="20"/>
                <w:szCs w:val="20"/>
              </w:rPr>
              <w:t xml:space="preserve">, средней, полосатой и быстрой ящурок, а также пустынного гологлаза. Согласно литературным источникам видовой состав насчитывает два вида амфибий и 21 вид рептилий,  разноцветного полоза и обыкновенного щитомордника. Представляют опасность для человека насекомые - скорпионы, каракурты, фаланги, тарантулы и иксодовые клещи, а также ядовитые змеи - стрела-змея и </w:t>
            </w:r>
            <w:r w:rsidRPr="007D6F87">
              <w:rPr>
                <w:sz w:val="20"/>
                <w:szCs w:val="20"/>
              </w:rPr>
              <w:lastRenderedPageBreak/>
              <w:t>щитомордник.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Птицы и млекопитающие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Птицы и млекопитающие являются одними из самыми заметных и показательных элементов фауны на территориях месторождения </w:t>
            </w:r>
            <w:proofErr w:type="spellStart"/>
            <w:r w:rsidR="00261980"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>. Видовое разнообразие и характер пребывания этих позвоночных на участках разработки месторождений в определенной мере связано с техногенными последствиями.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Отмечено обитание нескольких видов </w:t>
            </w:r>
            <w:proofErr w:type="spellStart"/>
            <w:r w:rsidRPr="007D6F87">
              <w:rPr>
                <w:sz w:val="20"/>
                <w:szCs w:val="20"/>
              </w:rPr>
              <w:t>краснокнижных</w:t>
            </w:r>
            <w:proofErr w:type="spellEnd"/>
            <w:r w:rsidRPr="007D6F87">
              <w:rPr>
                <w:sz w:val="20"/>
                <w:szCs w:val="20"/>
              </w:rPr>
              <w:t xml:space="preserve"> животных. Среди них два вида рябков (чернобрюхий и белобрюхий), саджа - </w:t>
            </w:r>
            <w:proofErr w:type="spellStart"/>
            <w:r w:rsidRPr="007D6F87">
              <w:rPr>
                <w:sz w:val="20"/>
                <w:szCs w:val="20"/>
              </w:rPr>
              <w:t>копытка</w:t>
            </w:r>
            <w:proofErr w:type="spellEnd"/>
            <w:r w:rsidRPr="007D6F87">
              <w:rPr>
                <w:sz w:val="20"/>
                <w:szCs w:val="20"/>
              </w:rPr>
              <w:t xml:space="preserve"> и др. Список </w:t>
            </w:r>
            <w:proofErr w:type="spellStart"/>
            <w:r w:rsidRPr="007D6F87">
              <w:rPr>
                <w:sz w:val="20"/>
                <w:szCs w:val="20"/>
              </w:rPr>
              <w:t>краснокнижных</w:t>
            </w:r>
            <w:proofErr w:type="spellEnd"/>
            <w:r w:rsidRPr="007D6F87">
              <w:rPr>
                <w:sz w:val="20"/>
                <w:szCs w:val="20"/>
              </w:rPr>
              <w:t xml:space="preserve"> птиц, встречающихся в районе, может быть достаточно большим. Так, во время весенних, осенних миграций, да и во время выводка молодняка возможны встречи большого числа редких хищных птиц, привлекаемых концентрацией многочисленных грызунов и синантропных птиц, круглый год обитающих на рассматриваемых территориях. Насчитывается около 20 видов дневных хищных птиц, 10 из которых занесены в Красные книги - Казахстана и СНГ. На обводненных и увлаженных участках, находящихся на пути </w:t>
            </w:r>
            <w:proofErr w:type="spellStart"/>
            <w:r w:rsidRPr="007D6F87">
              <w:rPr>
                <w:sz w:val="20"/>
                <w:szCs w:val="20"/>
              </w:rPr>
              <w:t>весене-осенних</w:t>
            </w:r>
            <w:proofErr w:type="spellEnd"/>
            <w:r w:rsidRPr="007D6F87">
              <w:rPr>
                <w:sz w:val="20"/>
                <w:szCs w:val="20"/>
              </w:rPr>
              <w:t xml:space="preserve"> миграций видов водно-болотного комплекса можно отметить целый список редких охраняемых видов птиц: веслоногих - два вида пеликанов, </w:t>
            </w:r>
            <w:proofErr w:type="spellStart"/>
            <w:r w:rsidRPr="007D6F87">
              <w:rPr>
                <w:sz w:val="20"/>
                <w:szCs w:val="20"/>
              </w:rPr>
              <w:t>аистообразных</w:t>
            </w:r>
            <w:proofErr w:type="spellEnd"/>
            <w:r w:rsidRPr="007D6F87">
              <w:rPr>
                <w:sz w:val="20"/>
                <w:szCs w:val="20"/>
              </w:rPr>
              <w:t xml:space="preserve"> - три вида, </w:t>
            </w:r>
            <w:proofErr w:type="spellStart"/>
            <w:r w:rsidRPr="007D6F87">
              <w:rPr>
                <w:sz w:val="20"/>
                <w:szCs w:val="20"/>
              </w:rPr>
              <w:t>гусеобразных</w:t>
            </w:r>
            <w:proofErr w:type="spellEnd"/>
            <w:r w:rsidRPr="007D6F87">
              <w:rPr>
                <w:sz w:val="20"/>
                <w:szCs w:val="20"/>
              </w:rPr>
              <w:t xml:space="preserve"> - пять, </w:t>
            </w:r>
            <w:proofErr w:type="spellStart"/>
            <w:r w:rsidRPr="007D6F87">
              <w:rPr>
                <w:sz w:val="20"/>
                <w:szCs w:val="20"/>
              </w:rPr>
              <w:t>соколообразных</w:t>
            </w:r>
            <w:proofErr w:type="spellEnd"/>
            <w:r w:rsidRPr="007D6F87">
              <w:rPr>
                <w:sz w:val="20"/>
                <w:szCs w:val="20"/>
              </w:rPr>
              <w:t xml:space="preserve"> - десять, журавлиных - пять, </w:t>
            </w:r>
            <w:proofErr w:type="spellStart"/>
            <w:r w:rsidRPr="007D6F87">
              <w:rPr>
                <w:sz w:val="20"/>
                <w:szCs w:val="20"/>
              </w:rPr>
              <w:t>ржанкообразных</w:t>
            </w:r>
            <w:proofErr w:type="spellEnd"/>
            <w:r w:rsidRPr="007D6F87">
              <w:rPr>
                <w:sz w:val="20"/>
                <w:szCs w:val="20"/>
              </w:rPr>
              <w:t xml:space="preserve"> -два, голубеобразных - три. Такое качественное и количественное богатство орнитофауны всецело обусловлено географическим расположением района на путях ежегодных миграций птиц. Птицы - самые многочисленные, подвижные и заметные позвоночные на территории. Здесь они наблюдаются в любое время года. Определен достаточно большой комплекс синантропных видов. Для данного комплекса характерны горлицы (малая и кольчатая), сизый голубь, черный стриж, сизоворонка, золотистый и зеленый щурки, удод, ласточки (городская, деревенская, береговушка), хохлатый жаворонок, трясогузки, туркестанский жулан, длиннохвостый сорокопут, майна, грач, сорока, ворона, а также воробьи испанский и домовый.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Промышленное освоение исследуемых территорий, сельскохозяйственная деятельность людей привели к преобразованию существовавших биогеоценозов и  поспособствовали появлению в довольно больших количествах домашних животных и диких синантропных видов.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В связи с тем, что территории месторождения и пос. </w:t>
            </w:r>
            <w:proofErr w:type="spellStart"/>
            <w:r w:rsidRPr="007D6F87">
              <w:rPr>
                <w:sz w:val="20"/>
                <w:szCs w:val="20"/>
              </w:rPr>
              <w:t>Кыземшек</w:t>
            </w:r>
            <w:proofErr w:type="spellEnd"/>
            <w:r w:rsidRPr="007D6F87">
              <w:rPr>
                <w:sz w:val="20"/>
                <w:szCs w:val="20"/>
              </w:rPr>
              <w:t xml:space="preserve"> принадлежат по географическим условиям к пустынной зоне юго-западной </w:t>
            </w:r>
            <w:proofErr w:type="spellStart"/>
            <w:r w:rsidRPr="007D6F87">
              <w:rPr>
                <w:sz w:val="20"/>
                <w:szCs w:val="20"/>
              </w:rPr>
              <w:t>Бетпак-Далы</w:t>
            </w:r>
            <w:proofErr w:type="spellEnd"/>
            <w:r w:rsidRPr="007D6F87">
              <w:rPr>
                <w:sz w:val="20"/>
                <w:szCs w:val="20"/>
              </w:rPr>
              <w:t xml:space="preserve">, то и видовой состав млекопитающих имеет ярко выраженный пустынный характер. Из грызунов это - желтый суслик, малый и большой тушканчики, большая песчанка, и заяц-то лай. Большая песчанка, пожалуй, является самым главным и основным по биомассе на территориях промыслов и соседних землях. Наибольшим видовым разнообразием на исследуемых территориях обладает группа грызунов (9 грызунов). Далее следуют хищные - 7 видов (псовые -3 вида: волк, лисица, корсак; два вида куньих - степной хорек, хорь-перевязка; два вида кошачьих - степная кошка и манул. Насекомоядные и рукокрылые представлены бедно, по два вида: это - ушастый еж, малая бурозубка и усатая ночница с нетопырем - карликом. Дикие копытные также представлены двумя видами: антилопой - сайгаком и газелью -джейраном. 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Вследствие  присутствия  человека, заметной трансформации почвенного и растительного покрова, а также повышенной </w:t>
            </w:r>
            <w:proofErr w:type="spellStart"/>
            <w:r w:rsidRPr="007D6F87">
              <w:rPr>
                <w:sz w:val="20"/>
                <w:szCs w:val="20"/>
              </w:rPr>
              <w:t>обводненности</w:t>
            </w:r>
            <w:proofErr w:type="spellEnd"/>
            <w:r w:rsidRPr="007D6F87">
              <w:rPr>
                <w:sz w:val="20"/>
                <w:szCs w:val="20"/>
              </w:rPr>
              <w:t xml:space="preserve"> часто встречаются не совсем типичные для пустынь представители мышевидных грызунов: мыши, лесная и ломовая. На увлажненных участках – полевки. 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На территории предприятия нет зданий и сооружений повышенной этажности, нет искусственных сооружений водоемов вне территории, что мешало бы перелету и гнездованию птиц. Для защиты птиц от поражения электрическим током на высоковольтных линиях (ВЛ) с металлическими опорами, проходящими в населенной мест</w:t>
            </w:r>
            <w:r w:rsidRPr="007D6F87">
              <w:rPr>
                <w:sz w:val="20"/>
                <w:szCs w:val="20"/>
              </w:rPr>
              <w:softHyphen/>
              <w:t>ности, устанавливаются защитные устройства, а опоры заземляются.</w:t>
            </w:r>
          </w:p>
          <w:p w:rsidR="004D739C" w:rsidRPr="007D6F87" w:rsidRDefault="004D739C" w:rsidP="004D739C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Работы по ликвидации  месторождения не должна повредить популяциям редких и </w:t>
            </w:r>
            <w:proofErr w:type="spellStart"/>
            <w:r w:rsidRPr="007D6F87">
              <w:rPr>
                <w:sz w:val="20"/>
                <w:szCs w:val="20"/>
              </w:rPr>
              <w:t>эндемичных</w:t>
            </w:r>
            <w:proofErr w:type="spellEnd"/>
            <w:r w:rsidRPr="007D6F87">
              <w:rPr>
                <w:sz w:val="20"/>
                <w:szCs w:val="20"/>
              </w:rPr>
              <w:t xml:space="preserve"> видов, так как выше </w:t>
            </w:r>
            <w:r w:rsidRPr="007D6F87">
              <w:rPr>
                <w:sz w:val="20"/>
                <w:szCs w:val="20"/>
              </w:rPr>
              <w:lastRenderedPageBreak/>
              <w:t>упомянутые растения повсеместно встречаются на пространствах, которые не будут затронуты производственным процессом, поэтому специальные мероприятия по уменьшению воздействия предприятия на растительный и животный мир не предусматриваются.</w:t>
            </w:r>
          </w:p>
          <w:p w:rsidR="00217CCC" w:rsidRPr="007D6F87" w:rsidRDefault="00217CCC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217CCC" w:rsidRPr="007D6F87" w:rsidTr="00217CCC">
        <w:tc>
          <w:tcPr>
            <w:tcW w:w="3794" w:type="dxa"/>
          </w:tcPr>
          <w:p w:rsidR="00217CCC" w:rsidRPr="007D6F87" w:rsidRDefault="00114AD5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i/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lastRenderedPageBreak/>
              <w:t>Обоснование предельных количественных и качественных показателей эмиссий, физических воздействий на окружающую среду</w:t>
            </w:r>
          </w:p>
        </w:tc>
        <w:tc>
          <w:tcPr>
            <w:tcW w:w="10915" w:type="dxa"/>
          </w:tcPr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Основанием для корректировки проекта нормативов НДВ на 2026-2030гг. для ТОО «СП «ЮГХК» рудник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, участки Ближний и Летний являются результаты внеочередной проведенной инвентаризации источников выбросов на объектах ТОО «СП «ЮГХК». В процессе инвентаризации уточнялись параметры выбросов и их физические характеристики.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При расчете объемов выбросов от вентиляционных установок были использованы результаты замеров выбросов.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Общее число источников выбросов загрязняющих веществ в атмосферу на 2026 год - 106, в том числе: организованных - 94, неорганизованных площадных - 12. Автотранспорт – 40 единиц.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Загрязнение атмосферного воздуха на существующее положение происходит ингредиентами 33-х наименований, образующих 11 групп веществ, обладающих эффектом суммации вредного воздействия.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Суммарное количество выбросов загрязняющих веществ от источников ТОО «СП «ЮГХК» рудник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 на 2026 - 2030 гг., определенное по результатам инвентаризации, составляет 51.4029309188 т/год (11.5460244367 г/с), из них по участку Ближний 47.7121604478 т/год (11.0001353297 г/сек), по участку Летний 3.690770471 т/год (0.545889107 г/сек).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расчетами рассеивания загрязняющих веществ для ТОО «СП «ЮГХК» рудник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 на 2026-2030 гг., не выявлено превышения значений ПДК ни для одного из загрязняющих веществ и ни для одной из групп суммации на границе СЗЗ, предприятие является действующим, с ранее установленной санитарно-защитной зоной, данный проект не предусматривает пересмотра СЗЗ. Санитарно-защитная зона установлена на расстоянии 500 м.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В ближайшей жилой зоне (п. </w:t>
            </w:r>
            <w:proofErr w:type="spellStart"/>
            <w:r w:rsidRPr="007D6F87">
              <w:rPr>
                <w:sz w:val="20"/>
                <w:szCs w:val="20"/>
              </w:rPr>
              <w:t>Кыземшек</w:t>
            </w:r>
            <w:proofErr w:type="spellEnd"/>
            <w:r w:rsidRPr="007D6F87">
              <w:rPr>
                <w:sz w:val="20"/>
                <w:szCs w:val="20"/>
              </w:rPr>
              <w:t xml:space="preserve">) превышения ЭНК исключены.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По результатам расчетов рассеивания максимальные приземные концентрации загрязняющих веществ на границе нормативной СЗЗ не превышают критериев качества атмосферного воздуха для населенных мест. </w:t>
            </w:r>
          </w:p>
          <w:p w:rsidR="00217CCC" w:rsidRPr="007D6F87" w:rsidRDefault="00217CCC" w:rsidP="007D6F87">
            <w:pPr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114AD5" w:rsidRPr="007D6F87" w:rsidTr="00217CCC">
        <w:tc>
          <w:tcPr>
            <w:tcW w:w="3794" w:type="dxa"/>
          </w:tcPr>
          <w:p w:rsidR="00114AD5" w:rsidRPr="007D6F87" w:rsidRDefault="00114AD5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lastRenderedPageBreak/>
              <w:t>Обоснование предельного количества накопления отходов по их видам</w:t>
            </w:r>
          </w:p>
        </w:tc>
        <w:tc>
          <w:tcPr>
            <w:tcW w:w="10915" w:type="dxa"/>
          </w:tcPr>
          <w:p w:rsidR="00114AD5" w:rsidRPr="007D6F87" w:rsidRDefault="00114AD5" w:rsidP="004D739C">
            <w:pPr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114AD5" w:rsidRPr="007D6F87" w:rsidTr="00217CCC">
        <w:tc>
          <w:tcPr>
            <w:tcW w:w="3794" w:type="dxa"/>
          </w:tcPr>
          <w:p w:rsidR="00114AD5" w:rsidRPr="007D6F87" w:rsidRDefault="00114AD5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>Обоснование предельных объемов захоронения отходов по их видам, если такое захоронение предусмотрено в рамках намечаемой деятельности</w:t>
            </w:r>
          </w:p>
        </w:tc>
        <w:tc>
          <w:tcPr>
            <w:tcW w:w="10915" w:type="dxa"/>
          </w:tcPr>
          <w:p w:rsidR="00114AD5" w:rsidRPr="007D6F87" w:rsidRDefault="007D6F87" w:rsidP="007D6F87">
            <w:pPr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>Захоронений отходов не предусмотрено. Все отходы передаются по договорам.</w:t>
            </w:r>
          </w:p>
        </w:tc>
      </w:tr>
      <w:tr w:rsidR="00114AD5" w:rsidRPr="007D6F87" w:rsidTr="00217CCC">
        <w:tc>
          <w:tcPr>
            <w:tcW w:w="3794" w:type="dxa"/>
          </w:tcPr>
          <w:p w:rsidR="00114AD5" w:rsidRPr="007D6F87" w:rsidRDefault="00114AD5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>Информацию об определении вероятности возникновения аварий и опасных природных явлений, характерных соответственно для намечаемой деятельности и предполагаемого места ее осуществления, в рамках осуществления намечаемой деятельности, описание возможных существенных негативных воздействий на окружающую среду, связанных с рисками возникновения аварий и опасных природных явлений, с учетом возможности проведения мероприятий по их предотвращению и ликвидации</w:t>
            </w:r>
          </w:p>
        </w:tc>
        <w:tc>
          <w:tcPr>
            <w:tcW w:w="10915" w:type="dxa"/>
          </w:tcPr>
          <w:p w:rsidR="00114AD5" w:rsidRPr="007D6F87" w:rsidRDefault="007D6F87" w:rsidP="007D6F87">
            <w:pPr>
              <w:tabs>
                <w:tab w:val="num" w:pos="360"/>
              </w:tabs>
              <w:jc w:val="both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 xml:space="preserve">На предприятии действуют регламенты по техники безопасности. Все специалисты компании вовлечены в процесс совершенствования системы охраны труда и техники безопасности. Вероятность возникновения аварийной ситуации крайне мала. В случае возникновения аварийной ситуации, существуют регламенты по оперативному восстановлению работоспособности предприятия и уменьшение негативного влияния на окружающую среду. </w:t>
            </w:r>
          </w:p>
        </w:tc>
      </w:tr>
      <w:tr w:rsidR="00114AD5" w:rsidRPr="007D6F87" w:rsidTr="00217CCC">
        <w:tc>
          <w:tcPr>
            <w:tcW w:w="3794" w:type="dxa"/>
          </w:tcPr>
          <w:p w:rsidR="00114AD5" w:rsidRPr="007D6F87" w:rsidRDefault="00114AD5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>Способы и меры восстановления окружающей среды на случаи прекращения намечаемой деятельности, определенные на начальной стадии ее осуществления</w:t>
            </w:r>
          </w:p>
        </w:tc>
        <w:tc>
          <w:tcPr>
            <w:tcW w:w="10915" w:type="dxa"/>
          </w:tcPr>
          <w:p w:rsidR="00114AD5" w:rsidRPr="007D6F87" w:rsidRDefault="007D6F87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 xml:space="preserve">Разработан проект ликвидации последствий деятельности рудника </w:t>
            </w:r>
            <w:proofErr w:type="spellStart"/>
            <w:r w:rsidRPr="007D6F87">
              <w:rPr>
                <w:color w:val="000000"/>
                <w:spacing w:val="2"/>
                <w:sz w:val="20"/>
                <w:szCs w:val="20"/>
              </w:rPr>
              <w:t>Акдала</w:t>
            </w:r>
            <w:proofErr w:type="spellEnd"/>
          </w:p>
        </w:tc>
      </w:tr>
      <w:tr w:rsidR="00114AD5" w:rsidRPr="007D6F87" w:rsidTr="00217CCC">
        <w:tc>
          <w:tcPr>
            <w:tcW w:w="3794" w:type="dxa"/>
          </w:tcPr>
          <w:p w:rsidR="00114AD5" w:rsidRPr="007D6F87" w:rsidRDefault="00114AD5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t>Описание мер, направленных на обеспечение соблюдения иных требований, указанных в заключении об определении сферы охвата оценки воздействия на окружающую среду</w:t>
            </w:r>
          </w:p>
        </w:tc>
        <w:tc>
          <w:tcPr>
            <w:tcW w:w="10915" w:type="dxa"/>
          </w:tcPr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Программа управления отходами рудника «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» ТОО «СП «ЮГХК» разработана во исполнение требований законодательства Республики Казахстан для </w:t>
            </w:r>
            <w:proofErr w:type="spellStart"/>
            <w:r w:rsidRPr="007D6F87">
              <w:rPr>
                <w:sz w:val="20"/>
                <w:szCs w:val="20"/>
              </w:rPr>
              <w:t>природопользователя</w:t>
            </w:r>
            <w:proofErr w:type="spellEnd"/>
            <w:r w:rsidRPr="007D6F87">
              <w:rPr>
                <w:sz w:val="20"/>
                <w:szCs w:val="20"/>
              </w:rPr>
              <w:t xml:space="preserve"> и является неотъемлемой частью экологического разрешения.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1. На участках добычи и переработки продуктивных растворов рудника 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>, отсутствует пылеобразование.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lastRenderedPageBreak/>
              <w:t xml:space="preserve">2. Существенно сокращаются объемы перерабатывающего производства за счет исключения из технологической схемы операций </w:t>
            </w:r>
            <w:proofErr w:type="spellStart"/>
            <w:r w:rsidRPr="007D6F87">
              <w:rPr>
                <w:sz w:val="20"/>
                <w:szCs w:val="20"/>
              </w:rPr>
              <w:t>рудоприемки</w:t>
            </w:r>
            <w:proofErr w:type="spellEnd"/>
            <w:r w:rsidRPr="007D6F87">
              <w:rPr>
                <w:sz w:val="20"/>
                <w:szCs w:val="20"/>
              </w:rPr>
              <w:t xml:space="preserve"> и </w:t>
            </w:r>
            <w:proofErr w:type="spellStart"/>
            <w:r w:rsidRPr="007D6F87">
              <w:rPr>
                <w:sz w:val="20"/>
                <w:szCs w:val="20"/>
              </w:rPr>
              <w:t>рудоподготовки</w:t>
            </w:r>
            <w:proofErr w:type="spellEnd"/>
            <w:r w:rsidRPr="007D6F87">
              <w:rPr>
                <w:sz w:val="20"/>
                <w:szCs w:val="20"/>
              </w:rPr>
              <w:t>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3. Технологический процесс переработки продуктивных растворов является замкнутым циклом переработки и не имеет сбросных (хвостовых) растворов, поэтому нет необходимости в строительстве экологически опасных </w:t>
            </w:r>
            <w:proofErr w:type="spellStart"/>
            <w:r w:rsidRPr="007D6F87">
              <w:rPr>
                <w:sz w:val="20"/>
                <w:szCs w:val="20"/>
              </w:rPr>
              <w:t>хвостохранилищ</w:t>
            </w:r>
            <w:proofErr w:type="spellEnd"/>
            <w:r w:rsidRPr="007D6F87">
              <w:rPr>
                <w:sz w:val="20"/>
                <w:szCs w:val="20"/>
              </w:rPr>
              <w:t>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4. Признан комплексный подход к управлению в сфере обращения с отходами.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5. Определены факторы, определяющие долгосрочное развитие сферы обращения с отходами.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6. Отходы производства и потребления передаются на вывоз специализированными организациями.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7. Отсутствует собственный полигон ТБО, как источник загрязнения окружающей среды.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8. Все отходы передаются по договору со специализированными организациями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Порядок сбора, сортировки, хранения, утилизации, нейтрализации, размещения отходов и транспортировки производится в соответствии с требованиями к обращению с отходами.  Обращение с отходами, производится исходя из их уровня опасности (статья 338 ЭК, п. 4) в соответствие с классификатором отходы относят к опасным и неопасным.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Часть отходов хранится в открытых производственных и складских помещениях: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В вахтовом посёлке имеется площадка временного хранения отходов ТБО и пластиковых отходов, а именно: контейнер №1 – для ТБО, контейнер №2 – для ТБО, контейнер №3 – пластиковые отходы.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площадка рудника «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».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На данном участка имеется 4 площадки временного хранения отходов ТБО, макулатуры, медицинских отходов и пластиковых отходов. Для хранения </w:t>
            </w:r>
            <w:proofErr w:type="spellStart"/>
            <w:r w:rsidRPr="007D6F87">
              <w:rPr>
                <w:sz w:val="20"/>
                <w:szCs w:val="20"/>
              </w:rPr>
              <w:t>мешкотары</w:t>
            </w:r>
            <w:proofErr w:type="spellEnd"/>
            <w:r w:rsidRPr="007D6F87">
              <w:rPr>
                <w:sz w:val="20"/>
                <w:szCs w:val="20"/>
              </w:rPr>
              <w:t xml:space="preserve"> от селитры предусмотрен контейнер временного хранения.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Также на данном участке имеется загороженная открытая площадка для хранения других видов отходов (стружка, лом черных, цветных металлов, ветошь и т.д.), образующихся на руднике «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» ТОО «СП «ЮГХК». Отходы </w:t>
            </w:r>
            <w:proofErr w:type="spellStart"/>
            <w:r w:rsidRPr="007D6F87">
              <w:rPr>
                <w:sz w:val="20"/>
                <w:szCs w:val="20"/>
              </w:rPr>
              <w:t>низкорадиоактивные</w:t>
            </w:r>
            <w:proofErr w:type="spellEnd"/>
            <w:r w:rsidRPr="007D6F87">
              <w:rPr>
                <w:sz w:val="20"/>
                <w:szCs w:val="20"/>
              </w:rPr>
              <w:t xml:space="preserve"> </w:t>
            </w:r>
            <w:r w:rsidRPr="007D6F87">
              <w:rPr>
                <w:sz w:val="20"/>
                <w:szCs w:val="20"/>
              </w:rPr>
              <w:lastRenderedPageBreak/>
              <w:t>передаются на долговременное хранение на ПЗРО.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При соблюдении требований Программы, на руднике «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» ТОО «СП «ЮГХК», определяется 100% выполнение мероприятий, направленных на снижение влияния образующихся отходов, на состояние окружающей среды, на 2026-2030гг. </w:t>
            </w:r>
          </w:p>
          <w:p w:rsidR="00114AD5" w:rsidRPr="007D6F87" w:rsidRDefault="00114AD5" w:rsidP="004D739C">
            <w:pPr>
              <w:pStyle w:val="a6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</w:p>
        </w:tc>
      </w:tr>
      <w:tr w:rsidR="007D6F87" w:rsidRPr="007D6F87" w:rsidTr="00217CCC">
        <w:tc>
          <w:tcPr>
            <w:tcW w:w="3794" w:type="dxa"/>
          </w:tcPr>
          <w:p w:rsidR="007D6F87" w:rsidRPr="007D6F87" w:rsidRDefault="007D6F87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lastRenderedPageBreak/>
              <w:t>Сведения по сброса сточных вод</w:t>
            </w:r>
          </w:p>
        </w:tc>
        <w:tc>
          <w:tcPr>
            <w:tcW w:w="10915" w:type="dxa"/>
          </w:tcPr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Общее количество работников на </w:t>
            </w:r>
            <w:proofErr w:type="spellStart"/>
            <w:r w:rsidRPr="007D6F87">
              <w:rPr>
                <w:sz w:val="20"/>
                <w:szCs w:val="20"/>
              </w:rPr>
              <w:t>промплощадке</w:t>
            </w:r>
            <w:proofErr w:type="spellEnd"/>
            <w:r w:rsidRPr="007D6F87">
              <w:rPr>
                <w:sz w:val="20"/>
                <w:szCs w:val="20"/>
              </w:rPr>
              <w:t xml:space="preserve"> участка «Ближний» с учетом работников участка «Летний» – 303 чел. Количество смен в сутки – 2. Количество рабочих дней в году – 365 дней.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ab/>
              <w:t xml:space="preserve">Жилой комплекс вахтового поселка рассчитан на проживание 120 чел. Количество смен в сутки – 1, для столовой - 2. Количество дней в году – 365 дней.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Для очистки </w:t>
            </w:r>
            <w:proofErr w:type="spellStart"/>
            <w:r w:rsidRPr="007D6F87">
              <w:rPr>
                <w:sz w:val="20"/>
                <w:szCs w:val="20"/>
              </w:rPr>
              <w:t>хоз-бытовых</w:t>
            </w:r>
            <w:proofErr w:type="spellEnd"/>
            <w:r w:rsidRPr="007D6F87">
              <w:rPr>
                <w:sz w:val="20"/>
                <w:szCs w:val="20"/>
              </w:rPr>
              <w:t xml:space="preserve"> сточных вод, образующихся на центральной </w:t>
            </w:r>
            <w:proofErr w:type="spellStart"/>
            <w:r w:rsidRPr="007D6F87">
              <w:rPr>
                <w:sz w:val="20"/>
                <w:szCs w:val="20"/>
              </w:rPr>
              <w:t>промплощадке</w:t>
            </w:r>
            <w:proofErr w:type="spellEnd"/>
            <w:r w:rsidRPr="007D6F87">
              <w:rPr>
                <w:sz w:val="20"/>
                <w:szCs w:val="20"/>
              </w:rPr>
              <w:t xml:space="preserve"> участка «Ближний», предусмотрена станция биологической очистки сточных вод модели «</w:t>
            </w:r>
            <w:proofErr w:type="spellStart"/>
            <w:r w:rsidRPr="007D6F87">
              <w:rPr>
                <w:sz w:val="20"/>
                <w:szCs w:val="20"/>
              </w:rPr>
              <w:t>Био-Эйкос</w:t>
            </w:r>
            <w:proofErr w:type="spellEnd"/>
            <w:r w:rsidRPr="007D6F87">
              <w:rPr>
                <w:sz w:val="20"/>
                <w:szCs w:val="20"/>
              </w:rPr>
              <w:t>» производительностью 120 м3/сутки. Основными преимуществами блочно-модульных очистных сооружений являются: - высокая степень очистки (по БПК до 99%); эксплуатация в автономном режиме; не требуется возведение капитальных строений;  вводится в эксплуатацию в кратчайшие сроки; упрощенный монтаж на месте эксплуатации;  удобный ремонт и проведение профилактических работ; удобство транспортировки как автомобильным, так и железнодорожным транспортом; установки могут использоваться при температурном режиме внешней среды от – 55 до + 55 °C;  возможность передислокации станции.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С 2026 года на руднике «</w:t>
            </w:r>
            <w:proofErr w:type="spellStart"/>
            <w:r w:rsidRPr="007D6F87">
              <w:rPr>
                <w:sz w:val="20"/>
                <w:szCs w:val="20"/>
              </w:rPr>
              <w:t>Акдала</w:t>
            </w:r>
            <w:proofErr w:type="spellEnd"/>
            <w:r w:rsidRPr="007D6F87">
              <w:rPr>
                <w:sz w:val="20"/>
                <w:szCs w:val="20"/>
              </w:rPr>
              <w:t xml:space="preserve">» предусматривается со всех площадок </w:t>
            </w:r>
            <w:proofErr w:type="spellStart"/>
            <w:r w:rsidRPr="007D6F87">
              <w:rPr>
                <w:sz w:val="20"/>
                <w:szCs w:val="20"/>
              </w:rPr>
              <w:t>хозбытовые</w:t>
            </w:r>
            <w:proofErr w:type="spellEnd"/>
            <w:r w:rsidRPr="007D6F87">
              <w:rPr>
                <w:sz w:val="20"/>
                <w:szCs w:val="20"/>
              </w:rPr>
              <w:t xml:space="preserve"> сточные воды сбрасывать после очистки в </w:t>
            </w:r>
            <w:proofErr w:type="spellStart"/>
            <w:r w:rsidRPr="007D6F87">
              <w:rPr>
                <w:sz w:val="20"/>
                <w:szCs w:val="20"/>
              </w:rPr>
              <w:t>гидроизолированный</w:t>
            </w:r>
            <w:proofErr w:type="spellEnd"/>
            <w:r w:rsidRPr="007D6F87">
              <w:rPr>
                <w:sz w:val="20"/>
                <w:szCs w:val="20"/>
              </w:rPr>
              <w:t xml:space="preserve">  пруд-накопитель, таким образом в настоящем проекте рассматривается только </w:t>
            </w:r>
            <w:proofErr w:type="spellStart"/>
            <w:r w:rsidRPr="007D6F87">
              <w:rPr>
                <w:sz w:val="20"/>
                <w:szCs w:val="20"/>
              </w:rPr>
              <w:t>водовыпуск</w:t>
            </w:r>
            <w:proofErr w:type="spellEnd"/>
            <w:r w:rsidRPr="007D6F87">
              <w:rPr>
                <w:sz w:val="20"/>
                <w:szCs w:val="20"/>
              </w:rPr>
              <w:t xml:space="preserve"> №1. Сброс на поля фильтрации исключается.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Пруд-накопитель для сбора, накопления очищенных сточных вод от АБК и вахтового поселка участка № 3 территориально расположен на участке № 3 рудника «</w:t>
            </w:r>
            <w:proofErr w:type="spellStart"/>
            <w:r w:rsidRPr="007D6F87">
              <w:rPr>
                <w:sz w:val="20"/>
                <w:szCs w:val="20"/>
              </w:rPr>
              <w:t>Куланды</w:t>
            </w:r>
            <w:proofErr w:type="spellEnd"/>
            <w:r w:rsidRPr="007D6F87">
              <w:rPr>
                <w:sz w:val="20"/>
                <w:szCs w:val="20"/>
              </w:rPr>
              <w:t>», объем пруда - 30 504 м3.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Очищенные сточные воды, могут использоваться на полив, только при соблюдении </w:t>
            </w:r>
            <w:r w:rsidRPr="007D6F87">
              <w:rPr>
                <w:sz w:val="20"/>
                <w:szCs w:val="20"/>
              </w:rPr>
              <w:lastRenderedPageBreak/>
              <w:t>нормативов ПДК.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Сточные воды контролируются аккредитованной лабораторией, 1 раз в квартал.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 В случае превышения значений загрязняющих веществ, незамедлительно сообщается на рудник, и производится  ремонт очистного оборудования.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</w:p>
        </w:tc>
      </w:tr>
      <w:tr w:rsidR="007D6F87" w:rsidRPr="007D6F87" w:rsidTr="00217CCC">
        <w:tc>
          <w:tcPr>
            <w:tcW w:w="3794" w:type="dxa"/>
          </w:tcPr>
          <w:p w:rsidR="007D6F87" w:rsidRPr="007D6F87" w:rsidRDefault="007D6F87" w:rsidP="004D739C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  <w:rPr>
                <w:color w:val="000000"/>
                <w:spacing w:val="2"/>
                <w:sz w:val="20"/>
                <w:szCs w:val="20"/>
              </w:rPr>
            </w:pPr>
            <w:r w:rsidRPr="007D6F87">
              <w:rPr>
                <w:color w:val="000000"/>
                <w:spacing w:val="2"/>
                <w:sz w:val="20"/>
                <w:szCs w:val="20"/>
              </w:rPr>
              <w:lastRenderedPageBreak/>
              <w:t>Сведения по природоохранным мероприятиям</w:t>
            </w:r>
          </w:p>
        </w:tc>
        <w:tc>
          <w:tcPr>
            <w:tcW w:w="10915" w:type="dxa"/>
          </w:tcPr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Обязательными мероприятиями являются: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плановых ремонтных работ технологического оборудования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производственного экологического контроля (мониторинг атмосферного воздуха) (промышленные и СЗЗ)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работ по обеспечению контроля за качеством сбрасываемых сточных вод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работ по предотвращению загрязнения территории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рекультивации земель в следствии аварийных ситуаций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производственного экологического контроля (мониторинг водных объектов)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Радиологические и химические анализы проб подземных вод из наблюдательных скважин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Проведение работ по </w:t>
            </w:r>
            <w:proofErr w:type="spellStart"/>
            <w:r w:rsidRPr="007D6F87">
              <w:rPr>
                <w:sz w:val="20"/>
                <w:szCs w:val="20"/>
              </w:rPr>
              <w:t>озелению</w:t>
            </w:r>
            <w:proofErr w:type="spellEnd"/>
            <w:r w:rsidRPr="007D6F87">
              <w:rPr>
                <w:sz w:val="20"/>
                <w:szCs w:val="20"/>
              </w:rPr>
              <w:t xml:space="preserve"> территории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>Проведение работ по раздельному сбору  и передачи отходов для утилизации и/или вторичного использования на договорной основе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Проведение работ по </w:t>
            </w:r>
            <w:proofErr w:type="spellStart"/>
            <w:r w:rsidRPr="007D6F87">
              <w:rPr>
                <w:sz w:val="20"/>
                <w:szCs w:val="20"/>
              </w:rPr>
              <w:t>гамма-съемке</w:t>
            </w:r>
            <w:proofErr w:type="spellEnd"/>
            <w:r w:rsidRPr="007D6F87">
              <w:rPr>
                <w:sz w:val="20"/>
                <w:szCs w:val="20"/>
              </w:rPr>
              <w:t xml:space="preserve"> с целью выявления радиоактивного загрязнения объектов, дезактивации и ликвидации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Проведение работ по сохранению </w:t>
            </w:r>
            <w:proofErr w:type="spellStart"/>
            <w:r w:rsidRPr="007D6F87">
              <w:rPr>
                <w:sz w:val="20"/>
                <w:szCs w:val="20"/>
              </w:rPr>
              <w:t>биоразнообразия</w:t>
            </w:r>
            <w:proofErr w:type="spellEnd"/>
            <w:r w:rsidRPr="007D6F87">
              <w:rPr>
                <w:sz w:val="20"/>
                <w:szCs w:val="20"/>
              </w:rPr>
              <w:t xml:space="preserve">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  <w:r w:rsidRPr="007D6F87">
              <w:rPr>
                <w:sz w:val="20"/>
                <w:szCs w:val="20"/>
              </w:rPr>
              <w:t xml:space="preserve">Проведение инвентаризации источников выбросов парниковых газов </w:t>
            </w:r>
          </w:p>
          <w:p w:rsidR="007D6F87" w:rsidRPr="007D6F87" w:rsidRDefault="007D6F87" w:rsidP="007D6F87">
            <w:pPr>
              <w:rPr>
                <w:sz w:val="20"/>
                <w:szCs w:val="20"/>
              </w:rPr>
            </w:pPr>
          </w:p>
        </w:tc>
      </w:tr>
    </w:tbl>
    <w:p w:rsidR="00C2152A" w:rsidRPr="004D739C" w:rsidRDefault="00C2152A" w:rsidP="004D739C">
      <w:pPr>
        <w:pStyle w:val="a6"/>
        <w:shd w:val="clear" w:color="auto" w:fill="FFFFFF"/>
        <w:spacing w:before="0" w:beforeAutospacing="0" w:after="360" w:afterAutospacing="0"/>
        <w:textAlignment w:val="baseline"/>
        <w:rPr>
          <w:color w:val="000000"/>
          <w:spacing w:val="2"/>
          <w:sz w:val="20"/>
          <w:szCs w:val="20"/>
        </w:rPr>
      </w:pPr>
    </w:p>
    <w:sectPr w:rsidR="00C2152A" w:rsidRPr="004D739C" w:rsidSect="00217C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EBC8202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1838F2"/>
    <w:multiLevelType w:val="hybridMultilevel"/>
    <w:tmpl w:val="D0C0FA30"/>
    <w:lvl w:ilvl="0" w:tplc="04190001">
      <w:start w:val="1"/>
      <w:numFmt w:val="bullet"/>
      <w:lvlText w:val=""/>
      <w:lvlJc w:val="left"/>
      <w:pPr>
        <w:tabs>
          <w:tab w:val="num" w:pos="1435"/>
        </w:tabs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5"/>
        </w:tabs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5"/>
        </w:tabs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5"/>
        </w:tabs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5"/>
        </w:tabs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5"/>
        </w:tabs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5"/>
        </w:tabs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5"/>
        </w:tabs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5"/>
        </w:tabs>
        <w:ind w:left="7195" w:hanging="360"/>
      </w:pPr>
      <w:rPr>
        <w:rFonts w:ascii="Wingdings" w:hAnsi="Wingdings" w:hint="default"/>
      </w:rPr>
    </w:lvl>
  </w:abstractNum>
  <w:abstractNum w:abstractNumId="2">
    <w:nsid w:val="30160589"/>
    <w:multiLevelType w:val="hybridMultilevel"/>
    <w:tmpl w:val="29C82CF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A784F99"/>
    <w:multiLevelType w:val="multilevel"/>
    <w:tmpl w:val="B2702A8A"/>
    <w:lvl w:ilvl="0">
      <w:start w:val="1"/>
      <w:numFmt w:val="decimal"/>
      <w:lvlText w:val="%1."/>
      <w:legacy w:legacy="1" w:legacySpace="0" w:legacyIndent="4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20"/>
  <w:displayHorizontalDrawingGridEvery w:val="2"/>
  <w:characterSpacingControl w:val="doNotCompress"/>
  <w:compat/>
  <w:rsids>
    <w:rsidRoot w:val="00D62B54"/>
    <w:rsid w:val="000E1B32"/>
    <w:rsid w:val="00114AD5"/>
    <w:rsid w:val="00217CCC"/>
    <w:rsid w:val="00261980"/>
    <w:rsid w:val="002F10A3"/>
    <w:rsid w:val="003B7355"/>
    <w:rsid w:val="0043285D"/>
    <w:rsid w:val="0047370A"/>
    <w:rsid w:val="00484C7D"/>
    <w:rsid w:val="004D739C"/>
    <w:rsid w:val="005E414E"/>
    <w:rsid w:val="006308E5"/>
    <w:rsid w:val="00670571"/>
    <w:rsid w:val="0072302D"/>
    <w:rsid w:val="007805D4"/>
    <w:rsid w:val="00785813"/>
    <w:rsid w:val="007D6F87"/>
    <w:rsid w:val="00867879"/>
    <w:rsid w:val="0088761D"/>
    <w:rsid w:val="00A23BDF"/>
    <w:rsid w:val="00C2152A"/>
    <w:rsid w:val="00D174B6"/>
    <w:rsid w:val="00D46FC0"/>
    <w:rsid w:val="00D62B54"/>
    <w:rsid w:val="00E03123"/>
    <w:rsid w:val="00E141EA"/>
    <w:rsid w:val="00E82D82"/>
    <w:rsid w:val="00F20AE4"/>
    <w:rsid w:val="00FA0822"/>
    <w:rsid w:val="00FD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Текст Знак Знак Знак,Текст Знак Знак,Oaeno Ciae Знак Знак"/>
    <w:basedOn w:val="a"/>
    <w:link w:val="a4"/>
    <w:uiPriority w:val="99"/>
    <w:rsid w:val="0072302D"/>
    <w:rPr>
      <w:sz w:val="20"/>
      <w:szCs w:val="20"/>
    </w:rPr>
  </w:style>
  <w:style w:type="character" w:customStyle="1" w:styleId="a4">
    <w:name w:val="Текст Знак"/>
    <w:aliases w:val="Текст Знак Знак Знак Знак,Текст Знак Знак Знак1,Oaeno Ciae Знак Знак Знак"/>
    <w:basedOn w:val="a0"/>
    <w:link w:val="a3"/>
    <w:uiPriority w:val="99"/>
    <w:rsid w:val="007230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7370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2152A"/>
    <w:pPr>
      <w:spacing w:before="100" w:beforeAutospacing="1" w:after="100" w:afterAutospacing="1"/>
    </w:pPr>
  </w:style>
  <w:style w:type="table" w:styleId="a7">
    <w:name w:val="Table Grid"/>
    <w:basedOn w:val="a1"/>
    <w:uiPriority w:val="39"/>
    <w:rsid w:val="00217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82D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2D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uiPriority w:val="99"/>
    <w:rsid w:val="0043285D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E1B32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3137</Words>
  <Characters>17886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 31</dc:creator>
  <cp:lastModifiedBy>AktinoSKB</cp:lastModifiedBy>
  <cp:revision>17</cp:revision>
  <dcterms:created xsi:type="dcterms:W3CDTF">2023-12-15T11:58:00Z</dcterms:created>
  <dcterms:modified xsi:type="dcterms:W3CDTF">2025-11-20T04:08:00Z</dcterms:modified>
</cp:coreProperties>
</file>