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FF" w:rsidRPr="006E530A" w:rsidRDefault="00F74F4B" w:rsidP="000202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530A">
        <w:rPr>
          <w:rFonts w:ascii="Times New Roman" w:hAnsi="Times New Roman" w:cs="Times New Roman"/>
          <w:b/>
          <w:sz w:val="36"/>
          <w:szCs w:val="36"/>
        </w:rPr>
        <w:t>ДОКЛАД</w:t>
      </w:r>
    </w:p>
    <w:p w:rsidR="006E530A" w:rsidRDefault="00D07C23" w:rsidP="006A3BB0">
      <w:pPr>
        <w:rPr>
          <w:rFonts w:ascii="Times New Roman" w:hAnsi="Times New Roman" w:cs="Times New Roman"/>
          <w:b/>
          <w:sz w:val="36"/>
          <w:szCs w:val="36"/>
        </w:rPr>
      </w:pPr>
      <w:r w:rsidRPr="006E530A">
        <w:rPr>
          <w:rFonts w:ascii="Times New Roman" w:hAnsi="Times New Roman" w:cs="Times New Roman"/>
          <w:b/>
          <w:sz w:val="36"/>
          <w:szCs w:val="36"/>
        </w:rPr>
        <w:t xml:space="preserve">Слайд  </w:t>
      </w:r>
      <w:r w:rsidR="002863F6" w:rsidRPr="006E530A">
        <w:rPr>
          <w:rFonts w:ascii="Times New Roman" w:hAnsi="Times New Roman" w:cs="Times New Roman"/>
          <w:b/>
          <w:sz w:val="36"/>
          <w:szCs w:val="36"/>
        </w:rPr>
        <w:t>1</w:t>
      </w:r>
    </w:p>
    <w:p w:rsidR="006A3BB0" w:rsidRPr="006E530A" w:rsidRDefault="002863F6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E530A" w:rsidRPr="006E530A">
        <w:rPr>
          <w:rFonts w:ascii="Times New Roman" w:hAnsi="Times New Roman" w:cs="Times New Roman"/>
          <w:b/>
          <w:sz w:val="28"/>
          <w:szCs w:val="28"/>
        </w:rPr>
        <w:t>“ОҢТҮ</w:t>
      </w:r>
      <w:proofErr w:type="gramStart"/>
      <w:r w:rsidR="006E530A" w:rsidRPr="006E530A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="006E530A" w:rsidRPr="006E530A">
        <w:rPr>
          <w:rFonts w:ascii="Times New Roman" w:hAnsi="Times New Roman" w:cs="Times New Roman"/>
          <w:b/>
          <w:sz w:val="28"/>
          <w:szCs w:val="28"/>
        </w:rPr>
        <w:t xml:space="preserve">ІК ІНКАЙ” КЕНІШІНІҢ 2026-2030 ЖЫЛДАР АРАЛЫҒЫНДА ЖҰМЫС ІСТЕУІНЕ РҰҚСАТ АЛУ </w:t>
      </w:r>
    </w:p>
    <w:p w:rsidR="006A3BB0" w:rsidRPr="006E530A" w:rsidRDefault="006E530A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«ПОЛУЧЕНИЕ РАЗРЕШЕНИЕ НА РАБОТУ 2026-2030 ГОДА РУДНИКА  «</w:t>
      </w:r>
      <w:proofErr w:type="gramStart"/>
      <w:r w:rsidRPr="006E530A">
        <w:rPr>
          <w:rFonts w:ascii="Times New Roman" w:hAnsi="Times New Roman" w:cs="Times New Roman"/>
          <w:b/>
          <w:sz w:val="28"/>
          <w:szCs w:val="28"/>
        </w:rPr>
        <w:t>ЮЖНЫЙ</w:t>
      </w:r>
      <w:proofErr w:type="gramEnd"/>
      <w:r w:rsidRPr="006E530A">
        <w:rPr>
          <w:rFonts w:ascii="Times New Roman" w:hAnsi="Times New Roman" w:cs="Times New Roman"/>
          <w:b/>
          <w:sz w:val="28"/>
          <w:szCs w:val="28"/>
        </w:rPr>
        <w:t xml:space="preserve"> ИНКАЙ» </w:t>
      </w:r>
    </w:p>
    <w:p w:rsidR="006A3BB0" w:rsidRPr="006E530A" w:rsidRDefault="006A3BB0" w:rsidP="006A3BB0">
      <w:pPr>
        <w:rPr>
          <w:b/>
          <w:sz w:val="36"/>
          <w:szCs w:val="36"/>
        </w:rPr>
      </w:pPr>
    </w:p>
    <w:p w:rsidR="00644DF8" w:rsidRPr="006E530A" w:rsidRDefault="00644DF8" w:rsidP="006A3B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597" w:rsidRPr="006E530A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 w:rsidRPr="006E530A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2863F6" w:rsidRPr="006E530A">
        <w:rPr>
          <w:rFonts w:ascii="Times New Roman" w:hAnsi="Times New Roman" w:cs="Times New Roman"/>
          <w:b/>
          <w:sz w:val="32"/>
          <w:szCs w:val="32"/>
        </w:rPr>
        <w:t>2</w:t>
      </w:r>
      <w:r w:rsidR="00EF2C4C" w:rsidRPr="006E53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4DF8" w:rsidRPr="006E530A">
        <w:rPr>
          <w:rFonts w:ascii="Times New Roman" w:hAnsi="Times New Roman" w:cs="Times New Roman"/>
          <w:b/>
          <w:sz w:val="32"/>
          <w:szCs w:val="32"/>
        </w:rPr>
        <w:t>Общие сведения/</w:t>
      </w:r>
      <w:proofErr w:type="spellStart"/>
      <w:r w:rsidR="00644DF8" w:rsidRPr="006E530A">
        <w:rPr>
          <w:rFonts w:ascii="Times New Roman" w:hAnsi="Times New Roman" w:cs="Times New Roman"/>
          <w:b/>
          <w:sz w:val="32"/>
          <w:szCs w:val="32"/>
        </w:rPr>
        <w:t>Жалпы</w:t>
      </w:r>
      <w:proofErr w:type="spellEnd"/>
      <w:r w:rsidR="00644DF8" w:rsidRPr="006E530A">
        <w:rPr>
          <w:rFonts w:ascii="Times New Roman" w:hAnsi="Times New Roman" w:cs="Times New Roman"/>
          <w:b/>
          <w:sz w:val="32"/>
          <w:szCs w:val="32"/>
        </w:rPr>
        <w:t xml:space="preserve"> мәліметтер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Слушания проводятся к Проектам нормативов допустимых выбросов, нормативов допустимых сбросов, программы управления отходами рудника «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Южный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».</w:t>
      </w:r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Инициатор: ТОО СП «ЮГХК»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Разработчик: ТОО «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Актино-СКБ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».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В административном отношении действующий рудник «Южный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» ТОО «СП «ЮГКХ» расположен в сельском округе Жуантобе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Сузакского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района Туркестанской области, в 5 км от поселка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Тайконыр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На руднике согласно графику производится радиационный контроль, по результатам которого видно, что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нет превышения фоновых значений и свидетельствует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о благополучной обстановке.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Месторождение отрабатывается методом подземного скважинного выщелачивания (ПСВ</w:t>
      </w:r>
      <w:r w:rsidRPr="006E530A">
        <w:rPr>
          <w:rFonts w:ascii="Times New Roman" w:hAnsi="Times New Roman" w:cs="Times New Roman"/>
          <w:sz w:val="28"/>
          <w:szCs w:val="28"/>
        </w:rPr>
        <w:t>).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Отработка балансовых запасов урана  месторождения планируется до 2030 года.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Тыңдаулар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шығарындылар нормативтерінің,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төгінділер нормативтерінің, "</w:t>
      </w:r>
      <w:r w:rsidRPr="006E530A">
        <w:rPr>
          <w:rFonts w:ascii="Times New Roman" w:hAnsi="Times New Roman" w:cs="Times New Roman"/>
          <w:sz w:val="28"/>
          <w:szCs w:val="28"/>
          <w:lang w:val="kk-KZ"/>
        </w:rPr>
        <w:t>Оңтү</w:t>
      </w:r>
      <w:proofErr w:type="gramStart"/>
      <w:r w:rsidRPr="006E530A"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 w:rsidRPr="006E530A">
        <w:rPr>
          <w:rFonts w:ascii="Times New Roman" w:hAnsi="Times New Roman" w:cs="Times New Roman"/>
          <w:sz w:val="28"/>
          <w:szCs w:val="28"/>
          <w:lang w:val="kk-KZ"/>
        </w:rPr>
        <w:t xml:space="preserve">ік </w:t>
      </w:r>
      <w:r w:rsidRPr="006E530A">
        <w:rPr>
          <w:rFonts w:ascii="Times New Roman" w:hAnsi="Times New Roman" w:cs="Times New Roman"/>
          <w:sz w:val="28"/>
          <w:szCs w:val="28"/>
        </w:rPr>
        <w:t>І</w:t>
      </w:r>
      <w:r w:rsidRPr="006E530A">
        <w:rPr>
          <w:rFonts w:ascii="Times New Roman" w:hAnsi="Times New Roman" w:cs="Times New Roman"/>
          <w:sz w:val="28"/>
          <w:szCs w:val="28"/>
          <w:lang w:val="kk-KZ"/>
        </w:rPr>
        <w:t>нкай</w:t>
      </w:r>
      <w:r w:rsidRPr="006E530A">
        <w:rPr>
          <w:rFonts w:ascii="Times New Roman" w:hAnsi="Times New Roman" w:cs="Times New Roman"/>
          <w:sz w:val="28"/>
          <w:szCs w:val="28"/>
        </w:rPr>
        <w:t xml:space="preserve">"кенішінің қалдықтарын басқару бағдарламасының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жобаларына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өткізіледі. 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Бастамашысы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: "ЮГХК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"Б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>К ЖШС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Әзі</w:t>
      </w:r>
      <w:r w:rsidRPr="006E530A">
        <w:rPr>
          <w:rFonts w:ascii="Times New Roman" w:hAnsi="Times New Roman" w:cs="Times New Roman"/>
          <w:sz w:val="28"/>
          <w:szCs w:val="28"/>
        </w:rPr>
        <w:t>рлеуші: "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Актино-СКБ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" ЖШС.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Әкімшілік</w:t>
      </w:r>
      <w:r w:rsidRPr="006E530A">
        <w:rPr>
          <w:rFonts w:ascii="Times New Roman" w:hAnsi="Times New Roman" w:cs="Times New Roman"/>
          <w:sz w:val="28"/>
          <w:szCs w:val="28"/>
        </w:rPr>
        <w:t xml:space="preserve"> тұ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>ғыдан "</w:t>
      </w:r>
      <w:r w:rsidRPr="006E530A">
        <w:rPr>
          <w:rFonts w:ascii="Times New Roman" w:hAnsi="Times New Roman" w:cs="Times New Roman"/>
          <w:sz w:val="28"/>
          <w:szCs w:val="28"/>
          <w:lang w:val="kk-KZ"/>
        </w:rPr>
        <w:t xml:space="preserve"> Оңтүстік </w:t>
      </w:r>
      <w:r w:rsidRPr="006E530A">
        <w:rPr>
          <w:rFonts w:ascii="Times New Roman" w:hAnsi="Times New Roman" w:cs="Times New Roman"/>
          <w:sz w:val="28"/>
          <w:szCs w:val="28"/>
        </w:rPr>
        <w:t>І</w:t>
      </w:r>
      <w:r w:rsidRPr="006E530A">
        <w:rPr>
          <w:rFonts w:ascii="Times New Roman" w:hAnsi="Times New Roman" w:cs="Times New Roman"/>
          <w:sz w:val="28"/>
          <w:szCs w:val="28"/>
          <w:lang w:val="kk-KZ"/>
        </w:rPr>
        <w:t xml:space="preserve">нкай </w:t>
      </w:r>
      <w:r w:rsidRPr="006E530A">
        <w:rPr>
          <w:rFonts w:ascii="Times New Roman" w:hAnsi="Times New Roman" w:cs="Times New Roman"/>
          <w:sz w:val="28"/>
          <w:szCs w:val="28"/>
        </w:rPr>
        <w:t xml:space="preserve">" жұмыс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тұрған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кеніші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"ЮГКХ "БК" ЖШС Түркістан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Созақ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Тайконыр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кентінен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5 км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орналасқан.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30A">
        <w:rPr>
          <w:rFonts w:ascii="Times New Roman" w:hAnsi="Times New Roman" w:cs="Times New Roman"/>
          <w:sz w:val="28"/>
          <w:szCs w:val="28"/>
        </w:rPr>
        <w:lastRenderedPageBreak/>
        <w:t>Кестеге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кеніште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радиациялық бақылау </w:t>
      </w:r>
      <w:r w:rsidRPr="006E530A">
        <w:rPr>
          <w:rFonts w:ascii="Times New Roman" w:hAnsi="Times New Roman" w:cs="Times New Roman"/>
          <w:sz w:val="28"/>
          <w:szCs w:val="28"/>
        </w:rPr>
        <w:t xml:space="preserve">жүргізіледі, оның нәтижелері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фондық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әндерден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кетпейтіні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қолайлы жағдай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куәландырады. 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Кен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жерасты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ұңғымалық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шаймалау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(ЖСҚ) әдісімен пысықталады. </w:t>
      </w:r>
    </w:p>
    <w:p w:rsidR="00000000" w:rsidRPr="006E530A" w:rsidRDefault="006E530A" w:rsidP="006E53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Кен орнының уранның баланстық қорларын пысықтау 2030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жоспарланып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02DF" w:rsidRPr="006E530A" w:rsidRDefault="000202DF" w:rsidP="00126F7F">
      <w:pPr>
        <w:rPr>
          <w:rFonts w:ascii="Times New Roman" w:hAnsi="Times New Roman" w:cs="Times New Roman"/>
          <w:b/>
          <w:sz w:val="28"/>
          <w:szCs w:val="28"/>
        </w:rPr>
      </w:pPr>
    </w:p>
    <w:p w:rsidR="00975597" w:rsidRPr="006E530A" w:rsidRDefault="00D07C23" w:rsidP="00126F7F">
      <w:pPr>
        <w:rPr>
          <w:rFonts w:ascii="Times New Roman" w:hAnsi="Times New Roman" w:cs="Times New Roman"/>
          <w:b/>
          <w:sz w:val="32"/>
          <w:szCs w:val="32"/>
        </w:rPr>
      </w:pPr>
      <w:r w:rsidRPr="006E530A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2863F6" w:rsidRPr="006E530A">
        <w:rPr>
          <w:rFonts w:ascii="Times New Roman" w:hAnsi="Times New Roman" w:cs="Times New Roman"/>
          <w:b/>
          <w:sz w:val="32"/>
          <w:szCs w:val="32"/>
        </w:rPr>
        <w:t>3</w:t>
      </w:r>
      <w:r w:rsidR="00EF2C4C" w:rsidRPr="006E53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4DF8" w:rsidRPr="006E530A">
        <w:rPr>
          <w:rFonts w:ascii="Times New Roman" w:hAnsi="Times New Roman" w:cs="Times New Roman"/>
          <w:b/>
          <w:sz w:val="32"/>
          <w:szCs w:val="32"/>
        </w:rPr>
        <w:t>Общие сведения/</w:t>
      </w:r>
      <w:proofErr w:type="spellStart"/>
      <w:r w:rsidR="00644DF8" w:rsidRPr="006E530A">
        <w:rPr>
          <w:rFonts w:ascii="Times New Roman" w:hAnsi="Times New Roman" w:cs="Times New Roman"/>
          <w:b/>
          <w:sz w:val="32"/>
          <w:szCs w:val="32"/>
        </w:rPr>
        <w:t>Жалпы</w:t>
      </w:r>
      <w:proofErr w:type="spellEnd"/>
      <w:r w:rsidR="00644DF8" w:rsidRPr="006E530A">
        <w:rPr>
          <w:rFonts w:ascii="Times New Roman" w:hAnsi="Times New Roman" w:cs="Times New Roman"/>
          <w:b/>
          <w:sz w:val="32"/>
          <w:szCs w:val="32"/>
        </w:rPr>
        <w:t xml:space="preserve"> мәліметтер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На месторождении применяется система отработки способом ПСВ с   бурением   технологических   скважин   с   дневной поверхности. Вскрытие продуктивного горизонта производится бурением и сооружением технологических скважин с поверхности земли с обсадкой их полиэтиленовыми трубами с установкой фильтров в интервале продуктивного горизонта. После прокачки скважин и достижения ими проектных параметров эксплуатации, скважины обвязываются трубопроводами для подачи в продуктивный пласт выщелачивающих растворов и отбора из пласта продуктивных растворов. Подачу выщелачивающих растворов в недра осуществляют их под давлением через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закачные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скважины с концентрацией серной кислоты от 5 до 25 г / л, в зависимости от степени отработки технологического блока. Различают три режима подачи серной кислоты: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закисление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- средняя концентрация 25 г/л, активное выщелачивание – 8-12 г/л и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довыщелачивание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- 5-6 г/л. Расход серной кислоты определяется в основном свойствами минералов выщелачиваемых пород.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Продуктивные растворы по напорным коллекторам поступают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промежуточные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пескоотстойники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, откуда насосами по магистральным трубопроводам перекачиваются в на переработку в ЦППР.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Сорбция урана ведется на ионообменную смолу, заполненную в колонны сорбции (СНК - ЗМ) с последующей её регенерацией. Способ регенерации - нитратная десорбция. На месторождении 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работает цех по производству химического концентрата природного урана (ХКПУ) с выпуском готовой продукции в виде закиси-окиси урана. 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После переработки продуктивных растворов маточные растворы, проходя через карту В</w:t>
      </w:r>
      <w:proofErr w:type="gramStart"/>
      <w:r w:rsidRPr="006E530A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, насосами по магистральным трубопроводам и рядным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закачным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коллекторам после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доукрепления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серной кислотой подаются в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закачные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скважины, обеспечивая таким образом замкнутый технологический цикл.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lastRenderedPageBreak/>
        <w:t>На всех месторождениях в соответствии с проектами на их эксплуатацию выполняется ряд ресурсосберегающих и экологических мероприятий в рамках программ производственного мониторинга окружающей среды.</w:t>
      </w:r>
    </w:p>
    <w:p w:rsidR="006E530A" w:rsidRDefault="006E53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47555" w:rsidRPr="006E530A" w:rsidRDefault="006A3BB0" w:rsidP="00126F7F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lastRenderedPageBreak/>
        <w:t>СЛАЙД 4</w:t>
      </w:r>
    </w:p>
    <w:p w:rsidR="006A3BB0" w:rsidRPr="006E530A" w:rsidRDefault="006A3BB0" w:rsidP="00126F7F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СХЕМА ПСВ</w:t>
      </w:r>
    </w:p>
    <w:p w:rsidR="006A3BB0" w:rsidRPr="006E530A" w:rsidRDefault="006A3BB0" w:rsidP="00126F7F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 w:rsidP="00126F7F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Кен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орнында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күндізгі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бетінен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технологиялық Ұңғымаларды бұ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ғылай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ПСВ әдісімен өңдеу жүйесі қолданылады. Өнімді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горизонтты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бетінен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технологиялық Ұңғымаларды бұрғылау және салу,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өнімді Горизонт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интервалында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сүзгілерді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орната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полиэтилен құбырлармен қаптау арқылы жүргізіледі. Ұңғымаларды айдағаннан және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пайдаланудың жобалық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параметрлеріне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қол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жеткізгеннен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ұңғымалар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шаймалау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өнімді қабатқа беру және өнімді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ерітінділер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қабатынан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>іктеу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үшін құбырлармен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байланады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Сілтілеу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ерітінділерін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қойнауына беру технологиялық блоктың пысықталу дәрежесіне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кү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ірт қышқылының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5-тен 25 г /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л-ге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айдау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ұңғымалары арқылы қысыммен жүзеге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Күкірт қышқылын берудің үш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бар: қышқылдану-орташа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концентрациясы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25 г/л,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шаймалау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- 8-12 г/л және шаймалау-5-6 г/л.кү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ірт қышқылының шығыны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шаймаланатын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жыныстарының минералдарының қасиеттерімен анықталады. Қысымды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коллекторлар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өнімді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ерітінділер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аралық құм тұндырғыштарға түседі,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жерден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магистральдық құбырлар арқылы сорғылар процессорға өңдеуге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Уранның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сорбциясы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регенерациясымен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сорбция бағандарына (</w:t>
      </w:r>
      <w:r w:rsidRPr="006E530A">
        <w:rPr>
          <w:rFonts w:ascii="Times New Roman" w:hAnsi="Times New Roman" w:cs="Times New Roman"/>
          <w:sz w:val="28"/>
          <w:szCs w:val="28"/>
          <w:lang w:val="en-US"/>
        </w:rPr>
        <w:t>SNK</w:t>
      </w:r>
      <w:r w:rsidRPr="006E530A">
        <w:rPr>
          <w:rFonts w:ascii="Times New Roman" w:hAnsi="Times New Roman" w:cs="Times New Roman"/>
          <w:sz w:val="28"/>
          <w:szCs w:val="28"/>
        </w:rPr>
        <w:t xml:space="preserve"> - </w:t>
      </w:r>
      <w:r w:rsidRPr="006E530A">
        <w:rPr>
          <w:rFonts w:ascii="Times New Roman" w:hAnsi="Times New Roman" w:cs="Times New Roman"/>
          <w:sz w:val="28"/>
          <w:szCs w:val="28"/>
          <w:lang w:val="en-US"/>
        </w:rPr>
        <w:t>ZM</w:t>
      </w:r>
      <w:r w:rsidRPr="006E530A">
        <w:rPr>
          <w:rFonts w:ascii="Times New Roman" w:hAnsi="Times New Roman" w:cs="Times New Roman"/>
          <w:sz w:val="28"/>
          <w:szCs w:val="28"/>
        </w:rPr>
        <w:t xml:space="preserve">) толтырылған ион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шайырына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жүргізіледі. Регенерация әдіс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нитратты десорбция. Оңтүстік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орнында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уран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оксиді-оксиді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түрінде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өнім шығаратын табиғи уранның химиялық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концентратын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(ХКПУ) өндіру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цехы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Өнімді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ерітінділерді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өңдегеннен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ВР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арқылы өтетін аналық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ерітінділер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магистральдық құбырлар арқылы сорғылармен және кү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ірт қышқылымен нығайтылғаннан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қатарлы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айдау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коллекторларымен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айдау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ұңғымаларына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тұйық технологиялық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циклды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Барлық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пайдалануға арналған жобаларға сәйкес қоршаған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өнді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істік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мониторингтеу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бағдарламалары шеңберінде бірқатар ресурс үнемдеу және экологиялық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BB0" w:rsidRPr="006E530A" w:rsidRDefault="006A3BB0" w:rsidP="00126F7F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A3BB0" w:rsidRPr="006E530A" w:rsidRDefault="006A3BB0" w:rsidP="00126F7F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lastRenderedPageBreak/>
        <w:t>СЛАЙД 6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В административном отношении действующий рудник «Южный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» ТОО «СП «ЮГКХ» расположен в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Каратауском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сельском округе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Сузакского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района Туркестанской области, в 5 км юго-восточнее от поселка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Тайконур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Вахтовый поселок рудника находится в 500 м северо-западнее от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центральной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и состоит из 2-х жилых комплексов (старый и новый вахтовые поселки). Транспортная связь между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промплощадкой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и  вахтовым поселком осуществляется посредством автодорог. 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Площадь земельного участка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центральной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составляет 24,54 га, старого вахтового поселка – 30 га, нового вахтового поселка – 8 га. 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В соответствии с Рабочим проектом «Промышленная отработка месторождения урана «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Южный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»  на участке №4 расположены промышленные площадки, объединенные между собой единым технологическим процессом: 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Площадка №1 - 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добычной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комплекс; 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Площадка №2 -  (Центральная) 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Площадка №3 - Вахтовый поселок.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ГТП СЖР №4, СЖР №2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Вахтовый поселок. Вахтовый жилой комплекс № 1 состоит из 5 блоков: 1 блок – административно-хозяйственный, блоки 2-5 жилые проектной вместимостью 232 чел. 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Вахтовый жилой комплекс № 2 состоит из 4-х жилых блоков (Г1-Г-4), соединенных с административно-хозяйственным блоком.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Проектная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вместимостью жилых блоков 120 чел.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В вахтовых поселках имеется сауна, бассейн, спортивный зал, прачечная. Сброс стоков осуществляется самотеком в существующие сети 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Климат района резко континентальный и характеризуется значительными годовыми и суточными амплитудами колебаний температуры: суровой зимой, жарким летом, сухостью воздуха и малым количеством осадков. Безморозный период в воздухе устанавливается во второй половине апреля и длится 5-6 месяцев.</w:t>
      </w:r>
    </w:p>
    <w:p w:rsidR="006A3BB0" w:rsidRPr="006E530A" w:rsidRDefault="006A3BB0" w:rsidP="00126F7F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 w:rsidP="00126F7F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6A3BB0" w:rsidRPr="006E530A" w:rsidRDefault="006A3BB0" w:rsidP="006E530A">
      <w:pPr>
        <w:jc w:val="both"/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Әкімшілік жағынан қолданыстағы "Оңтү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кеніші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"ЮГКХ "БК" ЖШС Түркістан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Созақ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Қаратау ауылдық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округінде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Тайконур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кентінен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оңтүстік-шығысқа қарай 5 км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орналасқан. Кені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ің </w:t>
      </w:r>
      <w:r w:rsidRPr="006E530A">
        <w:rPr>
          <w:rFonts w:ascii="Times New Roman" w:hAnsi="Times New Roman" w:cs="Times New Roman"/>
          <w:sz w:val="28"/>
          <w:szCs w:val="28"/>
        </w:rPr>
        <w:lastRenderedPageBreak/>
        <w:t xml:space="preserve">вахталық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кенті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Орталық өнеркәсіп алаңынан солтүстік-батысқа қарай 500 м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орналасқан және 2 тұрғын үй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кешенінен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тұрады (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жаңа вахталық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кенттер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). Өнеркәсіптік алаң мен вахталық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кент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арасындағы көлік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автожолдар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арқылы жүзеге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. Орталық өнеркәсі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алаңының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учаскесінің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24,54 га,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вахталық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кент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– 30 га, жаңа вахталық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кент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– 8 га құрайды. "Южный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" уран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өнеркәсі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ік өңдеу " жұмыс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жобасына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сәйкес №4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учаскеде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бірыңғай технологиялық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процеспен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біріктірілген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өнеркәсіптік алаңдар орналасқан: №1 алаң-өндіру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; №2 Алаң - (Орталық) № 3 ала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вахталық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кент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№ 4 СЖР ЖТҚ, №2 СЖР Вахталық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кент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№ 1 вахталық тұрғын үй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блоктан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тұрады: 1 блок-әкімшілік-шаруашылық, 2-5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блоктар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жобалық сыйымдылығы 232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№ 2 вахталық тұрғын үй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әкімшілік-шаруашылық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блогымен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қосылған 4 тұрғын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блоктан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(Г1-Г-4) тұрады. Тұ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ғын үй блоктарының жобалық сыйымдылығы 120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Вахталық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кенттерде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сауна, бассейн, спорт залы,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жуатын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бар. Ағынды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суларды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ағызу қолданыстағы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желілерге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ауырлық күшімен жүзеге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Ауданның климаты күрт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континенталды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температураның ауытқуының айтарлықтай жылдық және тә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іктік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амплитудасымен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: қатал қыс, ыстық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құрғақ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аз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жауын-шашын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Ауадағы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аязсыз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кезең сәуірдің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жартысында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белгіленеді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5-6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созылады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BB0" w:rsidRPr="006E530A" w:rsidRDefault="006A3BB0" w:rsidP="00126F7F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 w:rsidP="00126F7F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6A3BB0" w:rsidRPr="006E530A" w:rsidRDefault="006A3BB0" w:rsidP="00126F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530A">
        <w:rPr>
          <w:rFonts w:ascii="Times New Roman" w:hAnsi="Times New Roman" w:cs="Times New Roman"/>
          <w:b/>
          <w:bCs/>
          <w:sz w:val="28"/>
          <w:szCs w:val="28"/>
        </w:rPr>
        <w:t>Сведения по выбросам загрязняющих веществ/</w:t>
      </w:r>
      <w:r w:rsidRPr="006E53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b/>
          <w:bCs/>
          <w:sz w:val="28"/>
          <w:szCs w:val="28"/>
        </w:rPr>
        <w:t>Ластаушы</w:t>
      </w:r>
      <w:proofErr w:type="spellEnd"/>
      <w:r w:rsidRPr="006E530A">
        <w:rPr>
          <w:rFonts w:ascii="Times New Roman" w:hAnsi="Times New Roman" w:cs="Times New Roman"/>
          <w:b/>
          <w:bCs/>
          <w:sz w:val="28"/>
          <w:szCs w:val="28"/>
        </w:rPr>
        <w:t xml:space="preserve"> заттардың шығарындылары </w:t>
      </w:r>
      <w:proofErr w:type="spellStart"/>
      <w:r w:rsidRPr="006E530A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6E530A">
        <w:rPr>
          <w:rFonts w:ascii="Times New Roman" w:hAnsi="Times New Roman" w:cs="Times New Roman"/>
          <w:b/>
          <w:bCs/>
          <w:sz w:val="28"/>
          <w:szCs w:val="28"/>
        </w:rPr>
        <w:t xml:space="preserve"> мәліметтер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Проект нормативов допустимых выбросов загрязняющих веществ (НДВ), разработан для ТОО «СП «ЮГХК», рудника 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участка №4.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Основание для исполнения проектных решений является Договор №152-25 от 15.04.2025 г, между ТОО «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Актино-СКБ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» и ТОО «СП «ЮГХК».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Целью работы является корректировка проектных решений нормативов допустимых выбросов при работе рудника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Южный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,   №4.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Представленный документ содержит результаты расчета концентраций (рассеивания) загрязняющих веществ в атмосферном воздухе, создаваемых выбросами ТОО «СП «ЮГХК» рудник 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  №4 и нормативы выбросов загрязняющих веществ в атмосферу для указанного объекта ТОО «СП «ЮГХК» на период 2026-2030г.г.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В соответствии с Рабочим проектом «Промышленная отработка месторождения урана «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Южный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»  на участке №4 расположены промышленные площадки, объединенные между собой единым </w:t>
      </w:r>
      <w:r w:rsidRPr="006E530A">
        <w:rPr>
          <w:rFonts w:ascii="Times New Roman" w:hAnsi="Times New Roman" w:cs="Times New Roman"/>
          <w:sz w:val="28"/>
          <w:szCs w:val="28"/>
        </w:rPr>
        <w:lastRenderedPageBreak/>
        <w:t>технологическим процессом:  Площадка №1 -  добычной комплекс;  Площадка №2 -  (Центральная)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Площадка №3 - Вахтовый поселок; ГТП СЖР №4; СЖР №2.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bCs/>
          <w:sz w:val="28"/>
          <w:szCs w:val="28"/>
        </w:rPr>
        <w:t xml:space="preserve">Основанием для корректировки проекта нормативов НДВ на 2026-2030гг. для ТОО «СП «ЮГХК» рудник Южный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   №4 являются результаты внеочередной проведенной инвентаризации источников выбросов на объектах ТОО «СП «ЮГХК». В процессе инвентаризации уточнялись параметры выбросов и их физические характеристики.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Общее число источников выбросов загрязняющих веществ в атмосферу на 2026 год - 108, в том числе: организованных – 95, неорганизованных площадных – 13. Автотранспорт – 44 единиц.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Суммарное количество выбросов загрязняющих веществ от источников ТОО «СП «ЮГХК» рудник 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  №4 на 2026 - 2030 гг., определенное по результатам инвентаризации, составляет 255.152660121 т/год (32.5015440512 г/с). В ближайшей жилой зоне (п.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Тайконыр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) превышения ЭНК исключены.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 xml:space="preserve">ПЛОЩАДКА </w:t>
      </w:r>
      <w:proofErr w:type="gramStart"/>
      <w:r w:rsidRPr="006E530A">
        <w:rPr>
          <w:rFonts w:ascii="Times New Roman" w:hAnsi="Times New Roman" w:cs="Times New Roman"/>
          <w:b/>
          <w:sz w:val="28"/>
          <w:szCs w:val="28"/>
        </w:rPr>
        <w:t>ЮЖНЫЙ</w:t>
      </w:r>
      <w:proofErr w:type="gramEnd"/>
      <w:r w:rsidRPr="006E530A">
        <w:rPr>
          <w:rFonts w:ascii="Times New Roman" w:hAnsi="Times New Roman" w:cs="Times New Roman"/>
          <w:b/>
          <w:sz w:val="28"/>
          <w:szCs w:val="28"/>
        </w:rPr>
        <w:t xml:space="preserve"> ИНКАЙ,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Вахтовый поселок 1, 2 ВИП.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Проект нормативов допустимых выбросов загрязняющих веществ (НДВ), разработан для ТОО «СП «ЮГХК», рудника 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участка №4.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Основание для исполнения проектных решений является Договор №152-25 от 15.04.2025 г, между ТОО «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Актино-СКБ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» и ТОО «СП «ЮГХК».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Целью работы является корректировка проектных решений нормативов допустимых выбросов при работе рудника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Южный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,   №4.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Представленный документ содержит результаты расчета концентраций (рассеивания) загрязняющих веществ в атмосферном воздухе, создаваемых выбросами ТОО «СП «ЮГХК» рудник 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  №4 и нормативы выбросов загрязняющих веществ в атмосферу для указанного объекта ТОО «СП «ЮГХК» на период 2026-2030г.г.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В соответствии с Рабочим проектом «Промышленная отработка месторождения урана «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Южный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»  на участке №4 расположены </w:t>
      </w:r>
      <w:r w:rsidRPr="006E530A">
        <w:rPr>
          <w:rFonts w:ascii="Times New Roman" w:hAnsi="Times New Roman" w:cs="Times New Roman"/>
          <w:sz w:val="28"/>
          <w:szCs w:val="28"/>
        </w:rPr>
        <w:lastRenderedPageBreak/>
        <w:t>промышленные площадки, объединенные между собой единым технологическим процессом:  Площадка №1 -  добычной комплекс;  Площадка №2 -  (Центральная)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Площадка №3 - Вахтовый поселок; ГТП СЖР №4; СЖР №2.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bCs/>
          <w:sz w:val="28"/>
          <w:szCs w:val="28"/>
        </w:rPr>
        <w:t xml:space="preserve">Основанием для корректировки проекта нормативов НДВ на 2026-2030гг. для ТОО «СП «ЮГХК» рудник Южный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   №4 являются результаты внеочередной проведенной инвентаризации источников выбросов на объектах ТОО «СП «ЮГХК». В процессе инвентаризации уточнялись параметры выбросов и их физические характеристики.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Общее число источников выбросов загрязняющих веществ в атмосферу на 2026 год - 108, в том числе: организованных – 95, неорганизованных площадных – 13. Автотранспорт – 44 единиц.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Суммарное количество выбросов загрязняющих веществ от источников ТОО «СП «ЮГХК» рудник 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  №4 на 2026 - 2030 гг., определенное по результатам инвентаризации, составляет 255.152660121 т/год (32.5015440512 г/с). В ближайшей жилой зоне (п.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Тайконыр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) превышения ЭНК исключены.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530A">
        <w:rPr>
          <w:rFonts w:ascii="Times New Roman" w:hAnsi="Times New Roman" w:cs="Times New Roman"/>
          <w:b/>
          <w:bCs/>
          <w:sz w:val="28"/>
          <w:szCs w:val="28"/>
        </w:rPr>
        <w:t>Сведения по образованию отходов/</w:t>
      </w:r>
      <w:r w:rsidRPr="006E530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Қалдықтардың </w:t>
      </w:r>
      <w:proofErr w:type="spellStart"/>
      <w:r w:rsidRPr="006E530A">
        <w:rPr>
          <w:rFonts w:ascii="Times New Roman" w:hAnsi="Times New Roman" w:cs="Times New Roman"/>
          <w:b/>
          <w:bCs/>
          <w:sz w:val="28"/>
          <w:szCs w:val="28"/>
        </w:rPr>
        <w:t>пайда</w:t>
      </w:r>
      <w:proofErr w:type="spellEnd"/>
      <w:r w:rsidRPr="006E53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b/>
          <w:bCs/>
          <w:sz w:val="28"/>
          <w:szCs w:val="28"/>
        </w:rPr>
        <w:t>болуы</w:t>
      </w:r>
      <w:proofErr w:type="spellEnd"/>
      <w:r w:rsidRPr="006E530A">
        <w:rPr>
          <w:rFonts w:ascii="Times New Roman" w:hAnsi="Times New Roman" w:cs="Times New Roman"/>
          <w:b/>
          <w:bCs/>
          <w:sz w:val="28"/>
          <w:szCs w:val="28"/>
        </w:rPr>
        <w:t xml:space="preserve"> жөніндегі мәліметтер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Программа управления отходами рудника «Южный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» ТОО «СП «ЮГХК» разработана во исполнение требований законодательства Республики Казахстан для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природопользователя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и является неотъемлемой частью экологического разрешения.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В целях предотвращения загрязнения компонентов природной среды накопление и удаление отходов производится в соответствии с международными стандартами и действующими нормативами Республики Казахстан, а также с действующей Программой управления отходами.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В настоящее время на Центральной площадке рудника 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применяется проект НРО, в которой определена необходимость планирования сбора, хранения, переработки, размещения и утилизации отходов, план управления отходами на всех этапах проведения работ. Согласно этим документам производится регулярная инвентаризация, учет и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временным хранением и перемещением всех образующихся видов отходов производства и потребления.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lastRenderedPageBreak/>
        <w:t>Принципы существующей системы управления отходами заключаются в следующем:</w:t>
      </w:r>
    </w:p>
    <w:p w:rsidR="00000000" w:rsidRPr="006E530A" w:rsidRDefault="006E530A" w:rsidP="006E530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определение степени и уровня опасности отходов с целью оп</w:t>
      </w:r>
      <w:r w:rsidRPr="006E530A">
        <w:rPr>
          <w:rFonts w:ascii="Times New Roman" w:hAnsi="Times New Roman" w:cs="Times New Roman"/>
          <w:sz w:val="28"/>
          <w:szCs w:val="28"/>
        </w:rPr>
        <w:t>тимизации дальнейших способов их удаления;</w:t>
      </w:r>
    </w:p>
    <w:p w:rsidR="00000000" w:rsidRPr="006E530A" w:rsidRDefault="006E530A" w:rsidP="006E530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идентификация образующихся отходов на месте их сбора;</w:t>
      </w:r>
    </w:p>
    <w:p w:rsidR="00000000" w:rsidRPr="006E530A" w:rsidRDefault="006E530A" w:rsidP="006E530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хранение отходов в емкостях (контейнерах, бочках, ящиках) или навалом в соответствии с требуемыми условиями для данного вида отходов. Все емкости для хранени</w:t>
      </w:r>
      <w:r w:rsidRPr="006E530A">
        <w:rPr>
          <w:rFonts w:ascii="Times New Roman" w:hAnsi="Times New Roman" w:cs="Times New Roman"/>
          <w:sz w:val="28"/>
          <w:szCs w:val="28"/>
        </w:rPr>
        <w:t>я отходов маркируются по степени и уровню опасности отходов;</w:t>
      </w:r>
    </w:p>
    <w:p w:rsidR="00000000" w:rsidRPr="006E530A" w:rsidRDefault="006E530A" w:rsidP="006E530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сбор и временное хранение организуются в специально оборудованных местах (площадках) временного хранения со сроком до 6-ти месяцев;</w:t>
      </w:r>
    </w:p>
    <w:p w:rsidR="00000000" w:rsidRPr="006E530A" w:rsidRDefault="006E530A" w:rsidP="006E530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6E530A">
        <w:rPr>
          <w:rFonts w:ascii="Times New Roman" w:hAnsi="Times New Roman" w:cs="Times New Roman"/>
          <w:sz w:val="28"/>
          <w:szCs w:val="28"/>
        </w:rPr>
        <w:t>первичного учёта движения отходов, периодическая отчетность в уполномоченные органы, осуществление платежей за эмиссии в окружающую среду.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В целях оптимизации управления отходами на предприятии организовано заблаговременное заключение договоров со специализированными предприятиями для вывоза и дальнейшего размещения/утилизации отходов производства и потребления, буровых шламов и низко-радиоактивных отходов.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При соблюдении требований Программы, на руднике «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Южный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» ТОО «СП «ЮГХК», определяется 100% выполнение мероприятий, направленных на снижение влияния образующихся отходов, на состояние окружающей среды, на 2026-2030гг. 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Контейнеры для сортировки отходов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"ЮГХК "БК "ЖШС" Оңтү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" кенішінің қалдықтарын басқару бағдарламасы табиғат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үшін Қазақстан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заңнамасының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үшін әзірленген және экологиялық рұқсаттың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бөлігі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Табиғи орта компоненттерінің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ластануын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мақсатында қалдықтарды жинақтау және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Қазақстан Республикасының халықаралық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стандарттары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мен қолданыстағы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нормативтеріне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, сондай-ақ қалдықтарды басқарудың қолданыстағы бағдарламасына сәйкес жүргізіледі.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lastRenderedPageBreak/>
        <w:t xml:space="preserve"> Қазіргі уақытта Оңтү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кенішінің Орталық алаңында қалдықтарды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жинауды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сақтауды, қайта өңдеуді,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орналастыруды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кәдеге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жаратуды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қажеттілігі, жұмыстың барлық кезеңдерінде қалдықтарды басқару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анықталған НРО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қолданылады.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Осы құжаттарға сәйкес өнді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іс және тұтыну қалдықтарының барлық түзілетін түрлерінің уақытша сақталуын және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ауыстыруын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тұрақты түгендеу,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бақылау жүргізіледі. Қалдықтарды басқарудың қолданыстағы жүйесінің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: қалдықтарды жоюдың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әрі тәсілдерін оңтайландыру мақсатында олардың қауі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ілік дәрежесі мен деңгейін анықтау;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орнында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болған қалдықтарды сәйкестендіру; қалдықтарды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ыдыстарда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контейнерлерде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бөшкелерде, жәшіктерде)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қалдықтардың осы тү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 үшін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етілетін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шарттарға сәйкес үймеде сақтау. Қалдықтарды сақтауға арналған барлық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қалдықтардың қауіптілік дәрежесі мен деңгейі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таңбаланады;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уақытша сақтау 6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мерзіммен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жабдықталған уақытша сақтау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(алаңдарында) ұйымдастырылады; қалдықтар қ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ғалысының бастапқы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есебін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жүргізу, уәкілетті органдарға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қоршаған ортаға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эмиссиялар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үшін төлемдерді жүзеге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Қалдықтарды басқаруды оңтайландыру мақсатында кәсіпорында өндіріс және тұтыну қалдықтарын, бұрғылау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шламдарын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төмен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радиоактивті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қалдықтарды шығару және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 орналастыру/кәдеге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жарату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үшін мамандандырылған кәсіпорындармен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жасасу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ұйымдастырылды. Бағдарлама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сақтай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, "ЮГХК" БК "ЖШС "Оңтү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кенішінде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түзілетін қалдықтардың қоршаған ортаның жай-күйіне әсерін төмендетуге бағытталған іс-шаралардың 2026-2030 жылдарға 100%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айқындалады. 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Водоснабжение рудника «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Южный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» предусмотрено водой с собственных скважин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непитьевого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назначения. Общий объем водопотребления на хозяйственно бытовые нужды, составляет </w:t>
      </w:r>
      <w:r w:rsidRPr="006E530A">
        <w:rPr>
          <w:rFonts w:ascii="Times New Roman" w:hAnsi="Times New Roman" w:cs="Times New Roman"/>
          <w:bCs/>
          <w:sz w:val="28"/>
          <w:szCs w:val="28"/>
        </w:rPr>
        <w:t xml:space="preserve">140638,6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м</w:t>
      </w:r>
      <w:r w:rsidRPr="006E530A">
        <w:rPr>
          <w:rFonts w:ascii="Times New Roman" w:hAnsi="Times New Roman" w:cs="Times New Roman"/>
          <w:bCs/>
          <w:sz w:val="28"/>
          <w:szCs w:val="28"/>
          <w:vertAlign w:val="superscript"/>
        </w:rPr>
        <w:t>З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/год </w:t>
      </w:r>
      <w:r w:rsidRPr="006E530A">
        <w:rPr>
          <w:rFonts w:ascii="Times New Roman" w:hAnsi="Times New Roman" w:cs="Times New Roman"/>
          <w:sz w:val="28"/>
          <w:szCs w:val="28"/>
        </w:rPr>
        <w:t xml:space="preserve">(15,123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</w:t>
      </w:r>
      <w:r w:rsidRPr="006E530A">
        <w:rPr>
          <w:rFonts w:ascii="Times New Roman" w:hAnsi="Times New Roman" w:cs="Times New Roman"/>
          <w:sz w:val="28"/>
          <w:szCs w:val="28"/>
          <w:vertAlign w:val="superscript"/>
        </w:rPr>
        <w:t>З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/час, 362,953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</w:t>
      </w:r>
      <w:r w:rsidRPr="006E530A">
        <w:rPr>
          <w:rFonts w:ascii="Times New Roman" w:hAnsi="Times New Roman" w:cs="Times New Roman"/>
          <w:sz w:val="28"/>
          <w:szCs w:val="28"/>
          <w:vertAlign w:val="superscript"/>
        </w:rPr>
        <w:t>З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/сутки)</w:t>
      </w:r>
      <w:r w:rsidRPr="006E530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E530A">
        <w:rPr>
          <w:rFonts w:ascii="Times New Roman" w:hAnsi="Times New Roman" w:cs="Times New Roman"/>
          <w:sz w:val="28"/>
          <w:szCs w:val="28"/>
        </w:rPr>
        <w:t>Подача воды в сеть питьевого водопровода предусматривается от существующей водозаборной скважины. Система внутреннего горячего водоснабжения предусмотрена от существующих котельных установок. Сброс стоков осуществляется самотеком в существующие сети.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E530A">
        <w:rPr>
          <w:rFonts w:ascii="Times New Roman" w:hAnsi="Times New Roman" w:cs="Times New Roman"/>
          <w:sz w:val="28"/>
          <w:szCs w:val="28"/>
        </w:rPr>
        <w:t xml:space="preserve">Перечень нормируемых ингредиентов включает: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, ПАВ, азот аммонийный, фосфаты, нитраты, ХПК, взвешенные вещества, сульфаты, хлориды, нитриты, БПК, нефтепродукты.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Определены нормативы эмиссий допустимых </w:t>
      </w:r>
      <w:r w:rsidRPr="006E530A">
        <w:rPr>
          <w:rFonts w:ascii="Times New Roman" w:hAnsi="Times New Roman" w:cs="Times New Roman"/>
          <w:sz w:val="28"/>
          <w:szCs w:val="28"/>
        </w:rPr>
        <w:lastRenderedPageBreak/>
        <w:t>сбросов (НДС) загрязняющих веще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я выпуска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хозбытовых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вод в пруд-накопитель, являющийся конечным приемником сточных вод.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Объем водоотведения в пруд-накопитель составляет </w:t>
      </w:r>
      <w:r w:rsidRPr="006E530A">
        <w:rPr>
          <w:rFonts w:ascii="Times New Roman" w:hAnsi="Times New Roman" w:cs="Times New Roman"/>
          <w:bCs/>
          <w:sz w:val="28"/>
          <w:szCs w:val="28"/>
        </w:rPr>
        <w:t xml:space="preserve">9,29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м</w:t>
      </w:r>
      <w:r w:rsidRPr="006E530A">
        <w:rPr>
          <w:rFonts w:ascii="Times New Roman" w:hAnsi="Times New Roman" w:cs="Times New Roman"/>
          <w:bCs/>
          <w:sz w:val="28"/>
          <w:szCs w:val="28"/>
          <w:vertAlign w:val="superscript"/>
        </w:rPr>
        <w:t>З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/час, 222,953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м</w:t>
      </w:r>
      <w:r w:rsidRPr="006E530A">
        <w:rPr>
          <w:rFonts w:ascii="Times New Roman" w:hAnsi="Times New Roman" w:cs="Times New Roman"/>
          <w:bCs/>
          <w:sz w:val="28"/>
          <w:szCs w:val="28"/>
          <w:vertAlign w:val="superscript"/>
        </w:rPr>
        <w:t>З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/сутки  или 90838,65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м</w:t>
      </w:r>
      <w:r w:rsidRPr="006E530A">
        <w:rPr>
          <w:rFonts w:ascii="Times New Roman" w:hAnsi="Times New Roman" w:cs="Times New Roman"/>
          <w:bCs/>
          <w:sz w:val="28"/>
          <w:szCs w:val="28"/>
          <w:vertAlign w:val="superscript"/>
        </w:rPr>
        <w:t>З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>/год.</w:t>
      </w:r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Согласно действующему экологическому разрешению НДС для рудника «Южный </w:t>
      </w:r>
      <w:proofErr w:type="spellStart"/>
      <w:r w:rsidRPr="006E530A">
        <w:rPr>
          <w:rFonts w:ascii="Times New Roman" w:hAnsi="Times New Roman" w:cs="Times New Roman"/>
          <w:bCs/>
          <w:i/>
          <w:iCs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» установлен 103,617 тонн/год.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На период 2026-2030гг. норматив </w:t>
      </w:r>
      <w:proofErr w:type="gramStart"/>
      <w:r w:rsidRPr="006E530A">
        <w:rPr>
          <w:rFonts w:ascii="Times New Roman" w:hAnsi="Times New Roman" w:cs="Times New Roman"/>
          <w:bCs/>
          <w:i/>
          <w:iCs/>
          <w:sz w:val="28"/>
          <w:szCs w:val="28"/>
        </w:rPr>
        <w:t>НДС</w:t>
      </w:r>
      <w:proofErr w:type="gramEnd"/>
      <w:r w:rsidRPr="006E530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рассчитанный в настоящем проекте составит 102,08 тонн/год.</w:t>
      </w:r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Расчеты НДС показали, сброс нормативно-очищенных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хозбытовых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сточных вод в пруд-испаритель осуществляется в пределах допустимых концентраций. Дополнительных очистных сооружений в настоящее время при данном количестве сбросов не требуется. Нормы НДС разработаны сроком на пять лет и по истечении этого срока подлежат корректировке с учетом изменившихся условий водохозяйственной деятельности предприятия и экологической ситуации в районе его расположения.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bCs/>
          <w:sz w:val="28"/>
          <w:szCs w:val="28"/>
        </w:rPr>
        <w:t> </w:t>
      </w:r>
    </w:p>
    <w:p w:rsidR="006A3BB0" w:rsidRPr="006E530A" w:rsidRDefault="006A3BB0" w:rsidP="006A3BB0">
      <w:pPr>
        <w:rPr>
          <w:rFonts w:ascii="Times New Roman" w:hAnsi="Times New Roman" w:cs="Times New Roman"/>
          <w:bCs/>
          <w:sz w:val="28"/>
          <w:szCs w:val="28"/>
        </w:rPr>
      </w:pPr>
      <w:r w:rsidRPr="006E530A">
        <w:rPr>
          <w:rFonts w:ascii="Times New Roman" w:hAnsi="Times New Roman" w:cs="Times New Roman"/>
          <w:bCs/>
          <w:sz w:val="28"/>
          <w:szCs w:val="28"/>
        </w:rPr>
        <w:t>Забор воды на полив зеленых насаждений, из пруда накопителя, возможен только при соблюдении нормативов ПДК, загрязняющих веществ.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3BB0" w:rsidRPr="006E530A" w:rsidRDefault="006A3BB0" w:rsidP="006A3B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530A">
        <w:rPr>
          <w:rFonts w:ascii="Times New Roman" w:hAnsi="Times New Roman" w:cs="Times New Roman"/>
          <w:b/>
          <w:bCs/>
          <w:sz w:val="28"/>
          <w:szCs w:val="28"/>
        </w:rPr>
        <w:t>СЛАЙД 15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530A">
        <w:rPr>
          <w:rFonts w:ascii="Times New Roman" w:hAnsi="Times New Roman" w:cs="Times New Roman"/>
          <w:b/>
          <w:bCs/>
          <w:sz w:val="28"/>
          <w:szCs w:val="28"/>
        </w:rPr>
        <w:t>Схема очистной установки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A3BB0" w:rsidRPr="006E530A" w:rsidRDefault="006A3BB0" w:rsidP="006A3B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530A">
        <w:rPr>
          <w:rFonts w:ascii="Times New Roman" w:hAnsi="Times New Roman" w:cs="Times New Roman"/>
          <w:b/>
          <w:bCs/>
          <w:sz w:val="28"/>
          <w:szCs w:val="28"/>
        </w:rPr>
        <w:t>СЛАЙД 16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"Оңтү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кенішін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жабдықтау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ауызсу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мақсатындағы өз ұңғымаларынан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Шаруашылық тұрмыстық қажеттіліктерге су тұтынудың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көлемі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140638,6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мЗ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құрайды (15,123 МЗ/сағ, 362,953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мЗ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/ тә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ік).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су құбыры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желісіне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су беру қолданыстағы су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ұңғымасынан көзделеді.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ыстық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сумен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жабдықтау жүйесі қолданыстағы қазандық қондырғыларынан қарастырылған. Ағынды </w:t>
      </w:r>
      <w:proofErr w:type="spellStart"/>
      <w:proofErr w:type="gramStart"/>
      <w:r w:rsidRPr="006E530A">
        <w:rPr>
          <w:rFonts w:ascii="Times New Roman" w:hAnsi="Times New Roman" w:cs="Times New Roman"/>
          <w:sz w:val="28"/>
          <w:szCs w:val="28"/>
        </w:rPr>
        <w:t>суларды</w:t>
      </w:r>
      <w:proofErr w:type="spellEnd"/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ағызу қолданыстағы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желілерге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ауырлық күшімен жүзеге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Нормаланатын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ингредиенттердің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тізіміне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беттік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аммоний азоты,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фосфаттар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нитраттар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ҚКП, тоқтатылған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сульфаттар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хлоридтер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нитриттер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ҚКП, мұнай өнімдері.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lastRenderedPageBreak/>
        <w:t xml:space="preserve"> Ағынды сулардың соңғы қабылдағышы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жинақтаушы тоғанға шаруашылық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суларды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шығару үшін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ластаушы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заттардың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ұқсат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төгінділерінің (ҚҚС) эмиссияларының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нормативтері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айқындалды.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Жинақтаушы тоғанға су бұру көлемі сағатына 9,29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мЗ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тәулігіне 222,953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мЗ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90838,65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мЗ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құрайды. Қолданыстағы экологиялық рұқсатқа сәйкес "Оңтүстік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кеніші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103,617 тонна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 xml:space="preserve"> ҚҚС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белгіленді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2026-2030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кезеңінде осы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жобада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есептелген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ҚҚС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нормативі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102,08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тоннаны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құрайды.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 ҚҚС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есептеулері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көрсеткендей,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тазартылған шаруашылық Ағынды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суларды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буландырғыш тоғанға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ғызу рұқсат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концентрация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жүзеге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E530A">
        <w:rPr>
          <w:rFonts w:ascii="Times New Roman" w:hAnsi="Times New Roman" w:cs="Times New Roman"/>
          <w:sz w:val="28"/>
          <w:szCs w:val="28"/>
        </w:rPr>
        <w:t xml:space="preserve">Қазіргі уақытта төгінділердің осы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санымен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қосымша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тазарту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құрылыстары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ҚҚС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мерзімге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әзірленді және осы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мерзім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өткеннен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кәсіпорынның су шаруашылығы қызметінің өзгерген жағдайларын және оның орналасқан ауданындағы экологиялық жағдайды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түзетуге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  </w:t>
      </w:r>
      <w:proofErr w:type="gramEnd"/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Жасыл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екпелерді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 суаруға, жинақтаушы тоғаннан су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алу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 ШРК,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ластаушы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заттар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нормативтері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 сақталған жағдайда ғана мүмкін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болады</w:t>
      </w:r>
      <w:proofErr w:type="spellEnd"/>
      <w:r w:rsidRPr="006E530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bCs/>
          <w:sz w:val="28"/>
          <w:szCs w:val="28"/>
        </w:rPr>
        <w:t xml:space="preserve">Природоохранные мероприятия/ Табиғатты қорғау </w:t>
      </w:r>
      <w:proofErr w:type="spellStart"/>
      <w:r w:rsidRPr="006E530A">
        <w:rPr>
          <w:rFonts w:ascii="Times New Roman" w:hAnsi="Times New Roman" w:cs="Times New Roman"/>
          <w:bCs/>
          <w:sz w:val="28"/>
          <w:szCs w:val="28"/>
        </w:rPr>
        <w:t>шаралары</w:t>
      </w:r>
      <w:proofErr w:type="spellEnd"/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bCs/>
          <w:sz w:val="28"/>
          <w:szCs w:val="28"/>
        </w:rPr>
        <w:t>Обязательными мероприятиями являются: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Проведение плановых ремонтных работ технологического оборудования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Проведение производственного экологического контроля (мониторинг атмосферного воздуха) (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промышленные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и СЗЗ)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Проведение работ по обеспечению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качеством сбрасываемых сточных вод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Проведение работ по предотвращению загрязнения территории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Проведение рекультивации земель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аварийных ситуаций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Проведение производственного экологического контроля (мониторинг водных объектов)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Радиологические и химические анализы проб подземных вод из наблюдательных скважин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Проведение работ по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озелению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территории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lastRenderedPageBreak/>
        <w:t>Проведение работ по раздельному сбору  и передачи отходов для утилизации и/или вторичного использования на договорной основе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Проведение работ по </w:t>
      </w:r>
      <w:proofErr w:type="spellStart"/>
      <w:proofErr w:type="gramStart"/>
      <w:r w:rsidRPr="006E530A">
        <w:rPr>
          <w:rFonts w:ascii="Times New Roman" w:hAnsi="Times New Roman" w:cs="Times New Roman"/>
          <w:sz w:val="28"/>
          <w:szCs w:val="28"/>
        </w:rPr>
        <w:t>гамма-съемке</w:t>
      </w:r>
      <w:proofErr w:type="spellEnd"/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с целью выявления радиоактивного загрязнения объектов, дезактивации и ликвидации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Проведение работ по сохранению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Проведение инвентаризации источников выбросов парниковых газов 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Технологиялық жабдықтарды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жөндеу жұмыстарын жүргізу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Өндірістік экологиялық бақылауды жүргізу (атмосфералық ауаның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мониторингі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) (Өнеркәсіптік және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>ҚА)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 Ағызылатын сарқынды сулардың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бақылауды қамтамасыз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жөніндегі жұмыстарды жүргізу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 Аумақтың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ластануын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жұмыстар жүргізу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 Авариялық жағдайлар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рекультивациялауды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жүргізу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 Өнді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істік экологиялық бақылау жүргізу (су объектілерінің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мониторингі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)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 Бақылау ұңғымаларынан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суларының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сынамаларын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радиологиялық және химиялық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Аумақты көгалдандыру жұмыстарын жүргізу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Шарттық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кәдеге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жарату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/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қайталама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үшін қалдықтарды бөлек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беру жөніндегі жұмыстарды жүргізу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Объектілердің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радиоактивті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ластануын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анықтау,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залалсыздандыру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мақсатында гамма-тү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сіру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жұмыстарын жүргізу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Биоалуантүрлілікті сақтау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жұмыстар жүргізу </w:t>
      </w:r>
    </w:p>
    <w:p w:rsidR="006A3BB0" w:rsidRPr="006E530A" w:rsidRDefault="006A3BB0" w:rsidP="006A3BB0">
      <w:p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шығарындыларының көздеріне түгендеу жүргізу 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  <w:r w:rsidRPr="006E530A">
        <w:rPr>
          <w:rFonts w:ascii="Times New Roman" w:hAnsi="Times New Roman" w:cs="Times New Roman"/>
          <w:b/>
          <w:sz w:val="28"/>
          <w:szCs w:val="28"/>
        </w:rPr>
        <w:t>СЛАЙД 19</w:t>
      </w:r>
    </w:p>
    <w:p w:rsidR="00000000" w:rsidRPr="006E530A" w:rsidRDefault="006E530A" w:rsidP="006E530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E530A">
        <w:rPr>
          <w:rFonts w:ascii="Times New Roman" w:hAnsi="Times New Roman" w:cs="Times New Roman"/>
          <w:sz w:val="28"/>
          <w:szCs w:val="28"/>
        </w:rPr>
        <w:t>Нормативы, установленные по рудн</w:t>
      </w:r>
      <w:r w:rsidRPr="006E530A">
        <w:rPr>
          <w:rFonts w:ascii="Times New Roman" w:hAnsi="Times New Roman" w:cs="Times New Roman"/>
          <w:sz w:val="28"/>
          <w:szCs w:val="28"/>
        </w:rPr>
        <w:t xml:space="preserve">ику «Южный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>», разработаны с учетом действующих, в Республике Казахстан, норм и правил, направленные на максимальное сохранение окружающей среды.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 При соблюдении установленных нормативов и принятых природоохранных мероприятий, минимизируется возникновен</w:t>
      </w:r>
      <w:r w:rsidRPr="006E530A">
        <w:rPr>
          <w:rFonts w:ascii="Times New Roman" w:hAnsi="Times New Roman" w:cs="Times New Roman"/>
          <w:sz w:val="28"/>
          <w:szCs w:val="28"/>
        </w:rPr>
        <w:t xml:space="preserve">ие аварийных ситуаций и </w:t>
      </w:r>
      <w:r w:rsidRPr="006E530A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 снизится воздействие на окружающую среду флору и фауну. </w:t>
      </w:r>
    </w:p>
    <w:p w:rsidR="00000000" w:rsidRPr="006E530A" w:rsidRDefault="006E530A" w:rsidP="006E530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530A">
        <w:rPr>
          <w:rFonts w:ascii="Times New Roman" w:hAnsi="Times New Roman" w:cs="Times New Roman"/>
          <w:sz w:val="28"/>
          <w:szCs w:val="28"/>
        </w:rPr>
        <w:t>"Оңтү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кеніші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нормативтер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қоршаған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сақтауға бағытталған Қазақстан Республикасындағы қолданыстағы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ережеле</w:t>
      </w:r>
      <w:r w:rsidRPr="006E530A">
        <w:rPr>
          <w:rFonts w:ascii="Times New Roman" w:hAnsi="Times New Roman" w:cs="Times New Roman"/>
          <w:sz w:val="28"/>
          <w:szCs w:val="28"/>
        </w:rPr>
        <w:t>рді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әзірленді.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нормативтер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мен қабылданған табиғатты қорғау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сақтай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, авариялық жағдайлардың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туындауы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азайтылады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және қоршаған ортаға флора мен </w:t>
      </w:r>
      <w:proofErr w:type="gramStart"/>
      <w:r w:rsidRPr="006E530A">
        <w:rPr>
          <w:rFonts w:ascii="Times New Roman" w:hAnsi="Times New Roman" w:cs="Times New Roman"/>
          <w:sz w:val="28"/>
          <w:szCs w:val="28"/>
        </w:rPr>
        <w:t>фауна</w:t>
      </w:r>
      <w:proofErr w:type="gramEnd"/>
      <w:r w:rsidRPr="006E530A">
        <w:rPr>
          <w:rFonts w:ascii="Times New Roman" w:hAnsi="Times New Roman" w:cs="Times New Roman"/>
          <w:sz w:val="28"/>
          <w:szCs w:val="28"/>
        </w:rPr>
        <w:t xml:space="preserve">ға әсері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0A">
        <w:rPr>
          <w:rFonts w:ascii="Times New Roman" w:hAnsi="Times New Roman" w:cs="Times New Roman"/>
          <w:sz w:val="28"/>
          <w:szCs w:val="28"/>
        </w:rPr>
        <w:t>азаяды</w:t>
      </w:r>
      <w:proofErr w:type="spellEnd"/>
      <w:r w:rsidRPr="006E5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BB0" w:rsidRPr="006E530A" w:rsidRDefault="006A3BB0" w:rsidP="006A3BB0">
      <w:pPr>
        <w:rPr>
          <w:rFonts w:ascii="Times New Roman" w:hAnsi="Times New Roman" w:cs="Times New Roman"/>
          <w:b/>
          <w:sz w:val="28"/>
          <w:szCs w:val="28"/>
        </w:rPr>
      </w:pPr>
    </w:p>
    <w:sectPr w:rsidR="006A3BB0" w:rsidRPr="006E530A" w:rsidSect="003051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07931"/>
    <w:multiLevelType w:val="hybridMultilevel"/>
    <w:tmpl w:val="5AF27302"/>
    <w:lvl w:ilvl="0" w:tplc="A7F26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05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2E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D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C2A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C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2B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DE3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86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4000E5"/>
    <w:multiLevelType w:val="hybridMultilevel"/>
    <w:tmpl w:val="FB8243E8"/>
    <w:lvl w:ilvl="0" w:tplc="6D0E4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A8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8D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AE5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2C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E0D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A8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A0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4E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5B001F7"/>
    <w:multiLevelType w:val="hybridMultilevel"/>
    <w:tmpl w:val="3E12C6E0"/>
    <w:lvl w:ilvl="0" w:tplc="20829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66E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EA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A4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ED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6F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8C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01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60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4F4B"/>
    <w:rsid w:val="000202DF"/>
    <w:rsid w:val="00075E42"/>
    <w:rsid w:val="00086BD8"/>
    <w:rsid w:val="00091F2C"/>
    <w:rsid w:val="00126F7F"/>
    <w:rsid w:val="001473BD"/>
    <w:rsid w:val="00176EFE"/>
    <w:rsid w:val="001A0EE5"/>
    <w:rsid w:val="001D4329"/>
    <w:rsid w:val="00270109"/>
    <w:rsid w:val="002863F6"/>
    <w:rsid w:val="00305103"/>
    <w:rsid w:val="00313A9E"/>
    <w:rsid w:val="00375A63"/>
    <w:rsid w:val="0037773A"/>
    <w:rsid w:val="00385ACA"/>
    <w:rsid w:val="00433189"/>
    <w:rsid w:val="004727DA"/>
    <w:rsid w:val="005267AA"/>
    <w:rsid w:val="005E414E"/>
    <w:rsid w:val="005F0A8F"/>
    <w:rsid w:val="00644DF8"/>
    <w:rsid w:val="006A3BB0"/>
    <w:rsid w:val="006E530A"/>
    <w:rsid w:val="007361F5"/>
    <w:rsid w:val="007416D3"/>
    <w:rsid w:val="00747555"/>
    <w:rsid w:val="007A5458"/>
    <w:rsid w:val="008334A0"/>
    <w:rsid w:val="008C38BE"/>
    <w:rsid w:val="008E1F3F"/>
    <w:rsid w:val="00931D11"/>
    <w:rsid w:val="00975597"/>
    <w:rsid w:val="00AC3B72"/>
    <w:rsid w:val="00B76FCA"/>
    <w:rsid w:val="00C20BFE"/>
    <w:rsid w:val="00C3753A"/>
    <w:rsid w:val="00C462ED"/>
    <w:rsid w:val="00C7433E"/>
    <w:rsid w:val="00CD2CAF"/>
    <w:rsid w:val="00D07C23"/>
    <w:rsid w:val="00D46FC0"/>
    <w:rsid w:val="00D91DDA"/>
    <w:rsid w:val="00DE7E1F"/>
    <w:rsid w:val="00E01BBD"/>
    <w:rsid w:val="00E235CD"/>
    <w:rsid w:val="00EB6BE5"/>
    <w:rsid w:val="00EF2C4C"/>
    <w:rsid w:val="00F2583F"/>
    <w:rsid w:val="00F74F4B"/>
    <w:rsid w:val="00F82C26"/>
    <w:rsid w:val="00FB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D432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23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235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E23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2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7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47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2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5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8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53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65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5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1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7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902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7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61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66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59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97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99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4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9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2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70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6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9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03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4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7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5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8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4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5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84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31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4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23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9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96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83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236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5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00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57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5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4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0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0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2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2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8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4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50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7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0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40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6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5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8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8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A7080-08F5-40A6-BDD8-95837ED7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3473</Words>
  <Characters>19800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31</dc:creator>
  <cp:lastModifiedBy>AktinoSKB</cp:lastModifiedBy>
  <cp:revision>5</cp:revision>
  <cp:lastPrinted>2024-02-01T14:00:00Z</cp:lastPrinted>
  <dcterms:created xsi:type="dcterms:W3CDTF">2025-12-11T13:24:00Z</dcterms:created>
  <dcterms:modified xsi:type="dcterms:W3CDTF">2025-12-11T13:34:00Z</dcterms:modified>
</cp:coreProperties>
</file>