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CDDA" w14:textId="77777777" w:rsidR="00F325A8" w:rsidRPr="00E94241" w:rsidRDefault="00F325A8" w:rsidP="00283917">
      <w:pPr>
        <w:tabs>
          <w:tab w:val="left" w:pos="993"/>
        </w:tabs>
        <w:ind w:firstLine="435"/>
        <w:jc w:val="both"/>
        <w:rPr>
          <w:b/>
          <w:color w:val="000000"/>
          <w:spacing w:val="2"/>
          <w:sz w:val="22"/>
          <w:szCs w:val="22"/>
        </w:rPr>
      </w:pPr>
      <w:r w:rsidRPr="00E94241">
        <w:rPr>
          <w:b/>
          <w:color w:val="000000"/>
          <w:spacing w:val="2"/>
          <w:sz w:val="22"/>
          <w:szCs w:val="2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02CF22E7" w14:textId="77777777" w:rsidR="00F325A8" w:rsidRPr="00E94241" w:rsidRDefault="00F325A8" w:rsidP="00283917">
      <w:pPr>
        <w:pStyle w:val="ad"/>
        <w:spacing w:after="0"/>
        <w:ind w:left="0" w:firstLine="709"/>
        <w:jc w:val="both"/>
        <w:rPr>
          <w:rFonts w:eastAsia="Interface User"/>
          <w:sz w:val="22"/>
          <w:szCs w:val="22"/>
        </w:rPr>
      </w:pPr>
    </w:p>
    <w:p w14:paraId="5BD219AE" w14:textId="0EE0D4B1" w:rsidR="00434D9F" w:rsidRPr="00E94241" w:rsidRDefault="00434D9F" w:rsidP="00434D9F">
      <w:pPr>
        <w:ind w:firstLine="708"/>
        <w:jc w:val="both"/>
        <w:rPr>
          <w:b/>
          <w:bCs/>
          <w:sz w:val="22"/>
          <w:szCs w:val="22"/>
        </w:rPr>
      </w:pPr>
      <w:r w:rsidRPr="00E94241">
        <w:rPr>
          <w:b/>
          <w:bCs/>
          <w:sz w:val="22"/>
          <w:szCs w:val="22"/>
        </w:rPr>
        <w:t>Общие сведения</w:t>
      </w:r>
    </w:p>
    <w:p w14:paraId="1E2FBC83" w14:textId="2DB6E092" w:rsidR="00434D9F" w:rsidRPr="00E94241" w:rsidRDefault="00434D9F" w:rsidP="00434D9F">
      <w:pPr>
        <w:ind w:firstLine="708"/>
        <w:jc w:val="both"/>
        <w:rPr>
          <w:sz w:val="22"/>
          <w:szCs w:val="22"/>
        </w:rPr>
      </w:pPr>
      <w:r w:rsidRPr="00E94241">
        <w:rPr>
          <w:sz w:val="22"/>
          <w:szCs w:val="22"/>
        </w:rPr>
        <w:t xml:space="preserve">В административном отношении район изыскание расположен в Кызылординской области, Сырдарьинском район, в 160 км северо-восточнее от железнодорожной станции </w:t>
      </w:r>
      <w:proofErr w:type="spellStart"/>
      <w:r w:rsidRPr="00E94241">
        <w:rPr>
          <w:sz w:val="22"/>
          <w:szCs w:val="22"/>
        </w:rPr>
        <w:t>Жосалы</w:t>
      </w:r>
      <w:proofErr w:type="spellEnd"/>
      <w:r w:rsidRPr="00E94241">
        <w:rPr>
          <w:sz w:val="22"/>
          <w:szCs w:val="22"/>
        </w:rPr>
        <w:t>. Расстояние до областного центра, г. Кызылорда, составляет 120 км.</w:t>
      </w:r>
    </w:p>
    <w:p w14:paraId="285FA8B6" w14:textId="77777777" w:rsidR="00434D9F" w:rsidRPr="00E94241" w:rsidRDefault="00434D9F" w:rsidP="00434D9F">
      <w:pPr>
        <w:ind w:firstLine="708"/>
        <w:jc w:val="both"/>
        <w:rPr>
          <w:sz w:val="22"/>
          <w:szCs w:val="22"/>
        </w:rPr>
      </w:pPr>
      <w:r w:rsidRPr="00E94241">
        <w:rPr>
          <w:sz w:val="22"/>
          <w:szCs w:val="22"/>
        </w:rPr>
        <w:t>По западной границе месторождения «</w:t>
      </w:r>
      <w:proofErr w:type="spellStart"/>
      <w:r w:rsidRPr="00E94241">
        <w:rPr>
          <w:sz w:val="22"/>
          <w:szCs w:val="22"/>
        </w:rPr>
        <w:t>Акшабулак</w:t>
      </w:r>
      <w:proofErr w:type="spellEnd"/>
      <w:r w:rsidRPr="00E94241">
        <w:rPr>
          <w:sz w:val="22"/>
          <w:szCs w:val="22"/>
        </w:rPr>
        <w:t xml:space="preserve">» направлением юг-север проходит автомобильная дорога сообщением Кызылорда – Кумколь, асфальтированное покрытие имеется до 192 км м/р Кумколь. Направлением на восток отходит дорога с таким же покрытием на месторождение </w:t>
      </w:r>
      <w:proofErr w:type="spellStart"/>
      <w:r w:rsidRPr="00E94241">
        <w:rPr>
          <w:sz w:val="22"/>
          <w:szCs w:val="22"/>
        </w:rPr>
        <w:t>Акшабулак</w:t>
      </w:r>
      <w:proofErr w:type="spellEnd"/>
      <w:r w:rsidRPr="00E94241">
        <w:rPr>
          <w:sz w:val="22"/>
          <w:szCs w:val="22"/>
        </w:rPr>
        <w:t xml:space="preserve"> (до м/р Акшабулак15 км). </w:t>
      </w:r>
      <w:proofErr w:type="gramStart"/>
      <w:r w:rsidRPr="00E94241">
        <w:rPr>
          <w:sz w:val="22"/>
          <w:szCs w:val="22"/>
        </w:rPr>
        <w:t>На остальной территории,</w:t>
      </w:r>
      <w:proofErr w:type="gramEnd"/>
      <w:r w:rsidRPr="00E94241">
        <w:rPr>
          <w:sz w:val="22"/>
          <w:szCs w:val="22"/>
        </w:rPr>
        <w:t xml:space="preserve"> движение всех видов транспорта осуществляется по слабо развитой сети грунтовых проселочных и полевых дорог.</w:t>
      </w:r>
    </w:p>
    <w:p w14:paraId="22E7DF77" w14:textId="77777777" w:rsidR="00434D9F" w:rsidRPr="00E94241" w:rsidRDefault="00434D9F" w:rsidP="00434D9F">
      <w:pPr>
        <w:ind w:firstLine="709"/>
        <w:jc w:val="both"/>
        <w:rPr>
          <w:sz w:val="22"/>
          <w:szCs w:val="22"/>
          <w:lang w:eastAsia="en-US"/>
        </w:rPr>
      </w:pPr>
      <w:r w:rsidRPr="00E94241">
        <w:rPr>
          <w:sz w:val="22"/>
          <w:szCs w:val="22"/>
          <w:lang w:eastAsia="en-US"/>
        </w:rPr>
        <w:t xml:space="preserve">В настоящее время откачка газожидкостной среды (ГЖС) из существующих </w:t>
      </w:r>
      <w:proofErr w:type="spellStart"/>
      <w:r w:rsidRPr="00E94241">
        <w:rPr>
          <w:sz w:val="22"/>
          <w:szCs w:val="22"/>
          <w:lang w:eastAsia="en-US"/>
        </w:rPr>
        <w:t>конденсатосборников</w:t>
      </w:r>
      <w:proofErr w:type="spellEnd"/>
      <w:r w:rsidRPr="00E94241">
        <w:rPr>
          <w:sz w:val="22"/>
          <w:szCs w:val="22"/>
          <w:lang w:eastAsia="en-US"/>
        </w:rPr>
        <w:t xml:space="preserve"> (ЕП-9, ЕП-10, ЕП-15, ЕП-22) осуществляется с помощью гибких наливных рукавов с быстроразъемными соединениями (БРС) напрямую в автоцистерну без эстакады и без организованного отвода паров.</w:t>
      </w:r>
    </w:p>
    <w:p w14:paraId="7A480092" w14:textId="1C8D78CE" w:rsidR="00434D9F" w:rsidRPr="00E94241" w:rsidRDefault="00434D9F" w:rsidP="00434D9F">
      <w:pPr>
        <w:ind w:firstLine="709"/>
        <w:jc w:val="both"/>
        <w:rPr>
          <w:b/>
          <w:bCs/>
          <w:sz w:val="22"/>
          <w:szCs w:val="22"/>
          <w:lang w:eastAsia="en-US"/>
        </w:rPr>
      </w:pPr>
      <w:r w:rsidRPr="00E94241">
        <w:rPr>
          <w:b/>
          <w:bCs/>
          <w:sz w:val="22"/>
          <w:szCs w:val="22"/>
          <w:lang w:eastAsia="en-US"/>
        </w:rPr>
        <w:t>Описание технологической схемы</w:t>
      </w:r>
    </w:p>
    <w:p w14:paraId="374AEA89" w14:textId="77777777" w:rsidR="00434D9F" w:rsidRPr="00E94241" w:rsidRDefault="00434D9F" w:rsidP="00434D9F">
      <w:pPr>
        <w:ind w:firstLine="709"/>
        <w:jc w:val="both"/>
        <w:rPr>
          <w:sz w:val="22"/>
          <w:szCs w:val="22"/>
          <w:lang w:eastAsia="en-US"/>
        </w:rPr>
      </w:pPr>
      <w:r w:rsidRPr="00E94241">
        <w:rPr>
          <w:sz w:val="22"/>
          <w:szCs w:val="22"/>
          <w:lang w:eastAsia="en-US"/>
        </w:rPr>
        <w:t>В рамках настоящего проекта предусмотрена установка автомобильных наливных стояков АСН 80-02 для герметичного верхнего налива ГЖС в автоцистерны. В состав проекта включена эстакада для обеспечения безопасного обслуживания и размещения наливных рукавов.</w:t>
      </w:r>
    </w:p>
    <w:p w14:paraId="5014493C" w14:textId="77777777" w:rsidR="00434D9F" w:rsidRPr="00E94241" w:rsidRDefault="00434D9F" w:rsidP="00434D9F">
      <w:pPr>
        <w:ind w:firstLine="709"/>
        <w:jc w:val="both"/>
        <w:rPr>
          <w:sz w:val="22"/>
          <w:szCs w:val="22"/>
          <w:lang w:eastAsia="en-US"/>
        </w:rPr>
      </w:pPr>
      <w:r w:rsidRPr="00E94241">
        <w:rPr>
          <w:sz w:val="22"/>
          <w:szCs w:val="22"/>
          <w:lang w:eastAsia="en-US"/>
        </w:rPr>
        <w:t>Предусмотрен отвод паров из зоны налива в сторону продувочной свечи через трубопровод диаметром 57х4 мм.</w:t>
      </w:r>
    </w:p>
    <w:p w14:paraId="354A56DE" w14:textId="77777777" w:rsidR="00434D9F" w:rsidRPr="00E94241" w:rsidRDefault="00434D9F" w:rsidP="00434D9F">
      <w:pPr>
        <w:ind w:firstLine="709"/>
        <w:jc w:val="both"/>
        <w:rPr>
          <w:sz w:val="22"/>
          <w:szCs w:val="22"/>
          <w:lang w:eastAsia="en-US"/>
        </w:rPr>
      </w:pPr>
      <w:r w:rsidRPr="00E94241">
        <w:rPr>
          <w:sz w:val="22"/>
          <w:szCs w:val="22"/>
          <w:lang w:eastAsia="en-US"/>
        </w:rPr>
        <w:t>Также предусматривается демонтаж существующей продувочной свечи и её перенос на безопасное расстояние в соответствии с нормативами. Паровая линия проложена подземным способом.</w:t>
      </w:r>
    </w:p>
    <w:p w14:paraId="7FF354D7" w14:textId="77777777" w:rsidR="00434D9F" w:rsidRPr="00E94241" w:rsidRDefault="00434D9F" w:rsidP="00434D9F">
      <w:pPr>
        <w:ind w:firstLine="709"/>
        <w:jc w:val="both"/>
        <w:rPr>
          <w:sz w:val="22"/>
          <w:szCs w:val="22"/>
          <w:lang w:eastAsia="en-US"/>
        </w:rPr>
      </w:pPr>
      <w:r w:rsidRPr="00E94241">
        <w:rPr>
          <w:sz w:val="22"/>
          <w:szCs w:val="22"/>
          <w:lang w:eastAsia="en-US"/>
        </w:rPr>
        <w:t>Демонтаж и перенос существующей свечи рассеивания выполнен в соответствии с требованиями ВСН 51-3-85 «Проектирование промысловых стальных трубопроводов», не менее 30 м от других технологических оборудований, так как в существующем положений нормативное расстояние не выдерживались.</w:t>
      </w:r>
    </w:p>
    <w:p w14:paraId="350AC646" w14:textId="77777777" w:rsidR="00434D9F" w:rsidRPr="00E94241" w:rsidRDefault="00434D9F" w:rsidP="00434D9F">
      <w:pPr>
        <w:ind w:firstLine="709"/>
        <w:jc w:val="both"/>
        <w:rPr>
          <w:sz w:val="22"/>
          <w:szCs w:val="22"/>
          <w:lang w:eastAsia="en-US"/>
        </w:rPr>
      </w:pPr>
      <w:r w:rsidRPr="00E94241">
        <w:rPr>
          <w:sz w:val="22"/>
          <w:szCs w:val="22"/>
          <w:lang w:eastAsia="en-US"/>
        </w:rPr>
        <w:t xml:space="preserve">Для выполнения безопасного соединения в точке подключения №2 (ТП-2) нового трубопровода с существующим трубопроводом в свечу рассеивания, связанным с действующим </w:t>
      </w:r>
      <w:proofErr w:type="spellStart"/>
      <w:r w:rsidRPr="00E94241">
        <w:rPr>
          <w:sz w:val="22"/>
          <w:szCs w:val="22"/>
          <w:lang w:eastAsia="en-US"/>
        </w:rPr>
        <w:t>конденсатосборником</w:t>
      </w:r>
      <w:proofErr w:type="spellEnd"/>
      <w:r w:rsidRPr="00E94241">
        <w:rPr>
          <w:sz w:val="22"/>
          <w:szCs w:val="22"/>
          <w:lang w:eastAsia="en-US"/>
        </w:rPr>
        <w:t xml:space="preserve">, </w:t>
      </w:r>
      <w:proofErr w:type="gramStart"/>
      <w:r w:rsidRPr="00E94241">
        <w:rPr>
          <w:sz w:val="22"/>
          <w:szCs w:val="22"/>
          <w:lang w:eastAsia="en-US"/>
        </w:rPr>
        <w:t>который возможно</w:t>
      </w:r>
      <w:proofErr w:type="gramEnd"/>
      <w:r w:rsidRPr="00E94241">
        <w:rPr>
          <w:sz w:val="22"/>
          <w:szCs w:val="22"/>
          <w:lang w:eastAsia="en-US"/>
        </w:rPr>
        <w:t xml:space="preserve"> содержит газовый конденсат, необходимо соблюсти ряд обязательных технических и организационных мероприятий, чтобы исключить риск пожара, взрыва и отравления персонала.</w:t>
      </w:r>
    </w:p>
    <w:p w14:paraId="355076CB" w14:textId="51418ECA" w:rsidR="007D6CA0" w:rsidRPr="00E94241" w:rsidRDefault="007D6CA0" w:rsidP="007D6CA0">
      <w:pPr>
        <w:autoSpaceDE w:val="0"/>
        <w:autoSpaceDN w:val="0"/>
        <w:adjustRightInd w:val="0"/>
        <w:ind w:firstLine="709"/>
        <w:jc w:val="both"/>
        <w:rPr>
          <w:color w:val="000000"/>
          <w:sz w:val="22"/>
          <w:szCs w:val="22"/>
        </w:rPr>
      </w:pPr>
      <w:r w:rsidRPr="00E94241">
        <w:rPr>
          <w:color w:val="000000"/>
          <w:sz w:val="22"/>
          <w:szCs w:val="22"/>
        </w:rPr>
        <w:t xml:space="preserve">Срок проведения строительных работ составляет </w:t>
      </w:r>
      <w:r w:rsidR="000940BA" w:rsidRPr="00E94241">
        <w:rPr>
          <w:color w:val="000000"/>
          <w:sz w:val="22"/>
          <w:szCs w:val="22"/>
        </w:rPr>
        <w:t>4</w:t>
      </w:r>
      <w:r w:rsidRPr="00E94241">
        <w:rPr>
          <w:color w:val="000000"/>
          <w:sz w:val="22"/>
          <w:szCs w:val="22"/>
        </w:rPr>
        <w:t xml:space="preserve"> месяц</w:t>
      </w:r>
      <w:r w:rsidR="000940BA" w:rsidRPr="00E94241">
        <w:rPr>
          <w:color w:val="000000"/>
          <w:sz w:val="22"/>
          <w:szCs w:val="22"/>
        </w:rPr>
        <w:t>а</w:t>
      </w:r>
      <w:r w:rsidRPr="00E94241">
        <w:rPr>
          <w:color w:val="000000"/>
          <w:sz w:val="22"/>
          <w:szCs w:val="22"/>
        </w:rPr>
        <w:t xml:space="preserve"> в 2026 году.</w:t>
      </w:r>
    </w:p>
    <w:p w14:paraId="21EDACD6" w14:textId="77777777" w:rsidR="00434D9F" w:rsidRPr="00E94241" w:rsidRDefault="00434D9F" w:rsidP="00283917">
      <w:pPr>
        <w:pStyle w:val="1136"/>
        <w:spacing w:before="0"/>
        <w:ind w:firstLine="567"/>
        <w:rPr>
          <w:rFonts w:ascii="Times New Roman" w:hAnsi="Times New Roman"/>
          <w:b/>
          <w:color w:val="auto"/>
          <w:sz w:val="22"/>
          <w:szCs w:val="22"/>
          <w:u w:val="single"/>
        </w:rPr>
      </w:pPr>
    </w:p>
    <w:p w14:paraId="3A1FA601" w14:textId="4B437655" w:rsidR="00F325A8" w:rsidRPr="00E94241" w:rsidRDefault="00F325A8" w:rsidP="00283917">
      <w:pPr>
        <w:pStyle w:val="1136"/>
        <w:spacing w:before="0"/>
        <w:ind w:firstLine="709"/>
        <w:rPr>
          <w:rFonts w:ascii="Times New Roman" w:hAnsi="Times New Roman"/>
          <w:b/>
          <w:color w:val="auto"/>
          <w:sz w:val="22"/>
          <w:szCs w:val="22"/>
          <w:u w:val="single"/>
        </w:rPr>
      </w:pPr>
      <w:r w:rsidRPr="00E94241">
        <w:rPr>
          <w:rFonts w:ascii="Times New Roman" w:hAnsi="Times New Roman"/>
          <w:b/>
          <w:color w:val="auto"/>
          <w:sz w:val="22"/>
          <w:szCs w:val="22"/>
          <w:u w:val="single"/>
        </w:rPr>
        <w:t>Атмосферный воздух</w:t>
      </w:r>
    </w:p>
    <w:p w14:paraId="7E96F5A6" w14:textId="77777777" w:rsidR="000940BA" w:rsidRPr="00E94241" w:rsidRDefault="000940BA" w:rsidP="000940BA">
      <w:pPr>
        <w:pStyle w:val="11"/>
        <w:ind w:firstLine="709"/>
        <w:jc w:val="both"/>
        <w:rPr>
          <w:rFonts w:ascii="Times New Roman" w:hAnsi="Times New Roman"/>
        </w:rPr>
      </w:pPr>
      <w:r w:rsidRPr="00E94241">
        <w:rPr>
          <w:rFonts w:ascii="Times New Roman" w:hAnsi="Times New Roman"/>
        </w:rPr>
        <w:t>На основании проведенных расчетов выбросов загрязняющих веществ были выявлены основные источники выбросов загрязняющих веществ:</w:t>
      </w:r>
    </w:p>
    <w:p w14:paraId="005ADBBE" w14:textId="52BA6090" w:rsidR="000940BA" w:rsidRPr="00E94241" w:rsidRDefault="000940BA" w:rsidP="000940BA">
      <w:pPr>
        <w:pStyle w:val="11"/>
        <w:ind w:firstLine="709"/>
        <w:jc w:val="both"/>
        <w:rPr>
          <w:rFonts w:ascii="Times New Roman" w:hAnsi="Times New Roman"/>
        </w:rPr>
      </w:pPr>
      <w:r w:rsidRPr="00E94241">
        <w:rPr>
          <w:rFonts w:ascii="Times New Roman" w:hAnsi="Times New Roman"/>
        </w:rPr>
        <w:t xml:space="preserve">18 источников выбросов - из них: 4 организованных, 14 </w:t>
      </w:r>
      <w:proofErr w:type="gramStart"/>
      <w:r w:rsidRPr="00E94241">
        <w:rPr>
          <w:rFonts w:ascii="Times New Roman" w:hAnsi="Times New Roman"/>
        </w:rPr>
        <w:t>неорганизованных  источников</w:t>
      </w:r>
      <w:proofErr w:type="gramEnd"/>
      <w:r w:rsidRPr="00E94241">
        <w:rPr>
          <w:rFonts w:ascii="Times New Roman" w:hAnsi="Times New Roman"/>
        </w:rPr>
        <w:t xml:space="preserve"> выбросов, включая выбросы загрязняющих веществ от двигателей внутреннего сгорания спецтехники.</w:t>
      </w:r>
    </w:p>
    <w:p w14:paraId="25CFFE7B" w14:textId="77777777" w:rsidR="001976D4" w:rsidRPr="00E94241" w:rsidRDefault="001976D4" w:rsidP="001976D4">
      <w:pPr>
        <w:pStyle w:val="11"/>
        <w:ind w:firstLine="709"/>
        <w:jc w:val="both"/>
        <w:rPr>
          <w:rFonts w:ascii="Times New Roman" w:hAnsi="Times New Roman"/>
        </w:rPr>
      </w:pPr>
      <w:r w:rsidRPr="00E94241">
        <w:rPr>
          <w:rFonts w:ascii="Times New Roman" w:hAnsi="Times New Roman"/>
        </w:rPr>
        <w:t>Основными прямыми и косвенными техногенными факторами воздействий на этапе строительных работ будут:</w:t>
      </w:r>
    </w:p>
    <w:p w14:paraId="37627B6B" w14:textId="77777777" w:rsidR="001976D4" w:rsidRPr="00E94241" w:rsidRDefault="001976D4" w:rsidP="001976D4">
      <w:pPr>
        <w:pStyle w:val="11"/>
        <w:ind w:firstLine="709"/>
        <w:jc w:val="both"/>
        <w:rPr>
          <w:rFonts w:ascii="Times New Roman" w:hAnsi="Times New Roman"/>
        </w:rPr>
      </w:pPr>
      <w:r w:rsidRPr="00E94241">
        <w:rPr>
          <w:rFonts w:ascii="Times New Roman" w:hAnsi="Times New Roman"/>
        </w:rPr>
        <w:t>- Земляные работы;</w:t>
      </w:r>
    </w:p>
    <w:p w14:paraId="58257D54" w14:textId="77777777" w:rsidR="001976D4" w:rsidRPr="00E94241" w:rsidRDefault="001976D4" w:rsidP="001976D4">
      <w:pPr>
        <w:pStyle w:val="11"/>
        <w:ind w:firstLine="709"/>
        <w:jc w:val="both"/>
        <w:rPr>
          <w:rFonts w:ascii="Times New Roman" w:hAnsi="Times New Roman"/>
        </w:rPr>
      </w:pPr>
      <w:r w:rsidRPr="00E94241">
        <w:rPr>
          <w:rFonts w:ascii="Times New Roman" w:hAnsi="Times New Roman"/>
        </w:rPr>
        <w:t>- Хранение инертных материалов</w:t>
      </w:r>
    </w:p>
    <w:p w14:paraId="3145E7F8" w14:textId="77777777" w:rsidR="001976D4" w:rsidRPr="00E94241" w:rsidRDefault="001976D4" w:rsidP="001976D4">
      <w:pPr>
        <w:pStyle w:val="11"/>
        <w:ind w:firstLine="709"/>
        <w:jc w:val="both"/>
        <w:rPr>
          <w:rFonts w:ascii="Times New Roman" w:hAnsi="Times New Roman"/>
        </w:rPr>
      </w:pPr>
      <w:r w:rsidRPr="00E94241">
        <w:rPr>
          <w:rFonts w:ascii="Times New Roman" w:hAnsi="Times New Roman"/>
        </w:rPr>
        <w:t>- Сварочные работы</w:t>
      </w:r>
    </w:p>
    <w:p w14:paraId="61E0D083" w14:textId="77777777" w:rsidR="001976D4" w:rsidRPr="00E94241" w:rsidRDefault="001976D4" w:rsidP="001976D4">
      <w:pPr>
        <w:pStyle w:val="11"/>
        <w:ind w:firstLine="709"/>
        <w:jc w:val="both"/>
        <w:rPr>
          <w:rFonts w:ascii="Times New Roman" w:hAnsi="Times New Roman"/>
        </w:rPr>
      </w:pPr>
      <w:r w:rsidRPr="00E94241">
        <w:rPr>
          <w:rFonts w:ascii="Times New Roman" w:hAnsi="Times New Roman"/>
        </w:rPr>
        <w:t>- Покрасочные работы</w:t>
      </w:r>
    </w:p>
    <w:p w14:paraId="08AC0D02" w14:textId="77777777" w:rsidR="001976D4" w:rsidRPr="00E94241" w:rsidRDefault="001976D4" w:rsidP="001976D4">
      <w:pPr>
        <w:pStyle w:val="11"/>
        <w:ind w:firstLine="709"/>
        <w:jc w:val="both"/>
        <w:rPr>
          <w:rFonts w:ascii="Times New Roman" w:hAnsi="Times New Roman"/>
        </w:rPr>
      </w:pPr>
      <w:r w:rsidRPr="00E94241">
        <w:rPr>
          <w:rFonts w:ascii="Times New Roman" w:hAnsi="Times New Roman"/>
        </w:rPr>
        <w:t>- Битумные работы</w:t>
      </w:r>
    </w:p>
    <w:p w14:paraId="70040B16" w14:textId="4B7BA9EB" w:rsidR="007C113B" w:rsidRPr="00E94241" w:rsidRDefault="001976D4" w:rsidP="001976D4">
      <w:pPr>
        <w:pStyle w:val="11"/>
        <w:ind w:firstLine="709"/>
        <w:jc w:val="both"/>
        <w:rPr>
          <w:rFonts w:ascii="Times New Roman" w:hAnsi="Times New Roman"/>
        </w:rPr>
      </w:pPr>
      <w:r w:rsidRPr="00E94241">
        <w:rPr>
          <w:rFonts w:ascii="Times New Roman" w:hAnsi="Times New Roman"/>
        </w:rPr>
        <w:t>- Работа дизельных генераторов и компрессоров.</w:t>
      </w:r>
    </w:p>
    <w:p w14:paraId="3E433282" w14:textId="38ACB402" w:rsidR="007D6CA0" w:rsidRPr="00E94241" w:rsidRDefault="000940BA" w:rsidP="000940BA">
      <w:pPr>
        <w:pStyle w:val="11"/>
        <w:ind w:firstLine="709"/>
        <w:jc w:val="both"/>
        <w:rPr>
          <w:rFonts w:ascii="Times New Roman" w:hAnsi="Times New Roman"/>
        </w:rPr>
      </w:pPr>
      <w:r w:rsidRPr="00E94241">
        <w:rPr>
          <w:rFonts w:ascii="Times New Roman" w:hAnsi="Times New Roman"/>
        </w:rPr>
        <w:t>Выбросы в период строительных работ составят – 1,0989 т/пер.</w:t>
      </w:r>
    </w:p>
    <w:p w14:paraId="02DBD0F8" w14:textId="4B370B45" w:rsidR="00ED407A" w:rsidRPr="00E94241" w:rsidRDefault="000940BA" w:rsidP="000940BA">
      <w:pPr>
        <w:pStyle w:val="11"/>
        <w:ind w:firstLine="709"/>
        <w:jc w:val="both"/>
        <w:rPr>
          <w:rFonts w:ascii="Times New Roman" w:hAnsi="Times New Roman"/>
          <w:b/>
          <w:bCs/>
          <w:u w:val="single"/>
        </w:rPr>
      </w:pPr>
      <w:r w:rsidRPr="00E94241">
        <w:rPr>
          <w:rFonts w:ascii="Times New Roman" w:hAnsi="Times New Roman"/>
        </w:rPr>
        <w:t>Анализ результатов расчетов рассеивания на период строительных работ в атмосфере загрязняющих веществ показывает, что выбросы всех источников площадки не превышают критериев качества атмосферного воздуха и их значения предлагаются в качестве нормативов допустимых выбросов.</w:t>
      </w:r>
    </w:p>
    <w:p w14:paraId="7CECB68B" w14:textId="77777777" w:rsidR="00F325A8" w:rsidRPr="00E94241" w:rsidRDefault="00F325A8" w:rsidP="00C35522">
      <w:pPr>
        <w:pStyle w:val="11"/>
        <w:ind w:firstLine="709"/>
        <w:jc w:val="both"/>
        <w:rPr>
          <w:rFonts w:ascii="Times New Roman" w:hAnsi="Times New Roman"/>
          <w:b/>
          <w:bCs/>
          <w:u w:val="single"/>
        </w:rPr>
      </w:pPr>
      <w:r w:rsidRPr="00E94241">
        <w:rPr>
          <w:rFonts w:ascii="Times New Roman" w:hAnsi="Times New Roman"/>
          <w:b/>
          <w:bCs/>
          <w:u w:val="single"/>
        </w:rPr>
        <w:lastRenderedPageBreak/>
        <w:t>Водоснабжение, водоотведение</w:t>
      </w:r>
    </w:p>
    <w:p w14:paraId="04AD2765" w14:textId="3EBCEBBE" w:rsidR="000D1D0D"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Все технологические решения по водоснабжению и водоотведению на площадке строительства приняты и разработаны в соответствии с нормами, правилами, стандартами и соответствующими нормативными документами Республики Казахстан.</w:t>
      </w:r>
    </w:p>
    <w:p w14:paraId="2B670603" w14:textId="0688580E" w:rsidR="00C35522"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Бутилированная вода относится к пищевым продуктам.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емкостях (цистернах), специально предназначенных для этих целей, транспортными средствами</w:t>
      </w:r>
      <w:r w:rsidRPr="00E94241">
        <w:rPr>
          <w:rFonts w:ascii="Times New Roman" w:hAnsi="Times New Roman"/>
          <w:lang w:val="kk-KZ"/>
        </w:rPr>
        <w:t>.</w:t>
      </w:r>
    </w:p>
    <w:p w14:paraId="0D969362" w14:textId="77777777" w:rsidR="00C35522"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Снабжение водой (питьевой и технической) осуществляется методом доставки.</w:t>
      </w:r>
    </w:p>
    <w:p w14:paraId="02CA6EBA" w14:textId="64A0DA56" w:rsidR="00C35522" w:rsidRPr="00E94241" w:rsidRDefault="00C35522" w:rsidP="00C35522">
      <w:pPr>
        <w:pStyle w:val="11"/>
        <w:ind w:firstLine="709"/>
        <w:jc w:val="both"/>
        <w:rPr>
          <w:rFonts w:ascii="Times New Roman" w:hAnsi="Times New Roman"/>
          <w:lang w:val="kk-KZ"/>
        </w:rPr>
      </w:pPr>
      <w:r w:rsidRPr="00E94241">
        <w:rPr>
          <w:rFonts w:ascii="Times New Roman" w:hAnsi="Times New Roman"/>
          <w:lang w:val="kk-KZ"/>
        </w:rPr>
        <w:t>В период проведения строительных работ питьевую воду будут привозить в 5-литровых бутылях.</w:t>
      </w:r>
    </w:p>
    <w:p w14:paraId="2EE782B3" w14:textId="7237633C" w:rsidR="00C35522" w:rsidRPr="00E94241" w:rsidRDefault="00AF7A92" w:rsidP="00C35522">
      <w:pPr>
        <w:pStyle w:val="3"/>
        <w:spacing w:after="0"/>
        <w:ind w:left="0" w:firstLine="567"/>
        <w:jc w:val="both"/>
        <w:rPr>
          <w:sz w:val="22"/>
          <w:szCs w:val="22"/>
          <w:lang w:val="kk-KZ"/>
        </w:rPr>
      </w:pPr>
      <w:r w:rsidRPr="00E94241">
        <w:rPr>
          <w:sz w:val="22"/>
          <w:szCs w:val="22"/>
          <w:lang w:val="kk-KZ"/>
        </w:rPr>
        <w:t>Годовой расход воды на хозяйственно-питьевые нужды персонала составит 36 м3.</w:t>
      </w:r>
    </w:p>
    <w:p w14:paraId="2FDFBCDA" w14:textId="48FD0CF9" w:rsidR="00C35522" w:rsidRPr="00E94241" w:rsidRDefault="00C35522" w:rsidP="00C35522">
      <w:pPr>
        <w:pStyle w:val="3"/>
        <w:spacing w:after="0"/>
        <w:ind w:left="0" w:firstLine="567"/>
        <w:jc w:val="both"/>
        <w:rPr>
          <w:sz w:val="22"/>
          <w:szCs w:val="22"/>
          <w:lang w:val="kk-KZ"/>
        </w:rPr>
      </w:pPr>
      <w:r w:rsidRPr="00E94241">
        <w:rPr>
          <w:sz w:val="22"/>
          <w:szCs w:val="22"/>
          <w:lang w:val="kk-KZ"/>
        </w:rPr>
        <w:t>На строительной площадке предполагается использование технической воды для гидроиспытания труб и пылеподавления. Ориентировочный объем воды для испытания труб составит 1075 м3, для пылеподавления 50 м3.</w:t>
      </w:r>
    </w:p>
    <w:p w14:paraId="351A9F28" w14:textId="6EE4B439" w:rsidR="00C35522" w:rsidRPr="00E94241" w:rsidRDefault="00AF7A92" w:rsidP="00283917">
      <w:pPr>
        <w:pStyle w:val="3"/>
        <w:spacing w:after="0"/>
        <w:ind w:left="0" w:firstLine="567"/>
        <w:jc w:val="both"/>
        <w:rPr>
          <w:rStyle w:val="s0"/>
          <w:bCs/>
          <w:sz w:val="22"/>
          <w:szCs w:val="22"/>
          <w:lang w:val="kk-KZ"/>
        </w:rPr>
      </w:pPr>
      <w:r w:rsidRPr="00E94241">
        <w:rPr>
          <w:rStyle w:val="s0"/>
          <w:bCs/>
          <w:sz w:val="22"/>
          <w:szCs w:val="22"/>
          <w:lang w:val="kk-KZ"/>
        </w:rPr>
        <w:t>Для естественных нужд работников планируется установка биотуалетов, в непосредственной близости от места проведения работ на запроектированном объекте. При проведении строительных работ будут соблюдены меры по предотвращению попадания отходов, химикатов в биотуалеты.</w:t>
      </w:r>
    </w:p>
    <w:p w14:paraId="5AE18787" w14:textId="77777777" w:rsidR="00AF7A92" w:rsidRPr="00E94241" w:rsidRDefault="00AF7A92" w:rsidP="00AF7A92">
      <w:pPr>
        <w:pStyle w:val="11"/>
        <w:ind w:firstLine="709"/>
        <w:jc w:val="both"/>
        <w:rPr>
          <w:rStyle w:val="s0"/>
          <w:bCs/>
          <w:lang w:val="kk-KZ"/>
        </w:rPr>
      </w:pPr>
      <w:r w:rsidRPr="00E94241">
        <w:rPr>
          <w:rStyle w:val="s0"/>
          <w:bCs/>
          <w:lang w:val="kk-KZ"/>
        </w:rPr>
        <w:t>По мере их заполнения, образующиеся бытовые сточные воды от биотуалетов будут вывозиться спецавтомашинами на КОС.</w:t>
      </w:r>
    </w:p>
    <w:p w14:paraId="5B616D7A" w14:textId="73C95431" w:rsidR="00AF7A92" w:rsidRPr="00E94241" w:rsidRDefault="00AF7A92" w:rsidP="00AF7A92">
      <w:pPr>
        <w:pStyle w:val="11"/>
        <w:ind w:firstLine="709"/>
        <w:jc w:val="both"/>
        <w:rPr>
          <w:rStyle w:val="s0"/>
          <w:bCs/>
          <w:lang w:val="kk-KZ"/>
        </w:rPr>
      </w:pPr>
      <w:r w:rsidRPr="00E94241">
        <w:rPr>
          <w:rStyle w:val="s0"/>
          <w:bCs/>
          <w:lang w:val="kk-KZ"/>
        </w:rPr>
        <w:t>Производственные сточные воды после гидроиспытания будут повторно использованы.</w:t>
      </w:r>
    </w:p>
    <w:p w14:paraId="14E73FC0" w14:textId="77777777" w:rsidR="00AF7A92" w:rsidRPr="00E94241" w:rsidRDefault="00AF7A92" w:rsidP="00283917">
      <w:pPr>
        <w:pStyle w:val="3"/>
        <w:spacing w:after="0"/>
        <w:ind w:left="0" w:firstLine="567"/>
        <w:jc w:val="both"/>
        <w:rPr>
          <w:rStyle w:val="s0"/>
          <w:b/>
          <w:sz w:val="22"/>
          <w:szCs w:val="22"/>
          <w:u w:val="single"/>
          <w:lang w:val="kk-KZ"/>
        </w:rPr>
      </w:pPr>
    </w:p>
    <w:p w14:paraId="01CCF33C" w14:textId="77777777" w:rsidR="00F325A8" w:rsidRPr="00E94241" w:rsidRDefault="00F325A8" w:rsidP="006026A2">
      <w:pPr>
        <w:pStyle w:val="3"/>
        <w:spacing w:after="0"/>
        <w:ind w:left="0" w:firstLine="709"/>
        <w:jc w:val="both"/>
        <w:rPr>
          <w:rStyle w:val="s0"/>
          <w:b/>
          <w:sz w:val="22"/>
          <w:szCs w:val="22"/>
          <w:u w:val="single"/>
        </w:rPr>
      </w:pPr>
      <w:r w:rsidRPr="00E94241">
        <w:rPr>
          <w:rStyle w:val="s0"/>
          <w:b/>
          <w:sz w:val="22"/>
          <w:szCs w:val="22"/>
          <w:u w:val="single"/>
        </w:rPr>
        <w:t xml:space="preserve">Отходы </w:t>
      </w:r>
    </w:p>
    <w:p w14:paraId="2634D749" w14:textId="77777777" w:rsidR="000F2E48" w:rsidRPr="000F2E48" w:rsidRDefault="000F2E48" w:rsidP="006026A2">
      <w:pPr>
        <w:tabs>
          <w:tab w:val="left" w:pos="851"/>
          <w:tab w:val="left" w:pos="993"/>
        </w:tabs>
        <w:autoSpaceDE w:val="0"/>
        <w:autoSpaceDN w:val="0"/>
        <w:adjustRightInd w:val="0"/>
        <w:ind w:firstLine="709"/>
        <w:jc w:val="both"/>
        <w:rPr>
          <w:color w:val="000000"/>
          <w:sz w:val="22"/>
          <w:szCs w:val="22"/>
          <w:lang w:val="ru-KZ"/>
        </w:rPr>
      </w:pPr>
      <w:r w:rsidRPr="000F2E48">
        <w:rPr>
          <w:color w:val="000000"/>
          <w:sz w:val="22"/>
          <w:szCs w:val="22"/>
          <w:lang w:val="ru-KZ"/>
        </w:rPr>
        <w:t xml:space="preserve">В период строительных работ на территории площадок образуются следующие виды отходов: </w:t>
      </w:r>
    </w:p>
    <w:p w14:paraId="5433C0B8"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пластика; </w:t>
      </w:r>
    </w:p>
    <w:p w14:paraId="60752B55"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лакокрасочных материалов; </w:t>
      </w:r>
    </w:p>
    <w:p w14:paraId="0A0C4994"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битумной латексной эмульсии; </w:t>
      </w:r>
    </w:p>
    <w:p w14:paraId="146F633F"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Коммунальные отходы; </w:t>
      </w:r>
    </w:p>
    <w:p w14:paraId="103F2F5F"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Металлолом; </w:t>
      </w:r>
    </w:p>
    <w:p w14:paraId="63090DED"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Огарки электродов; </w:t>
      </w:r>
    </w:p>
    <w:p w14:paraId="6D6822B3" w14:textId="77777777" w:rsidR="000F2E48" w:rsidRPr="000F2E48" w:rsidRDefault="000F2E48" w:rsidP="006026A2">
      <w:pPr>
        <w:numPr>
          <w:ilvl w:val="0"/>
          <w:numId w:val="25"/>
        </w:numPr>
        <w:tabs>
          <w:tab w:val="left" w:pos="851"/>
          <w:tab w:val="left" w:pos="993"/>
        </w:tabs>
        <w:autoSpaceDE w:val="0"/>
        <w:autoSpaceDN w:val="0"/>
        <w:adjustRightInd w:val="0"/>
        <w:spacing w:after="16"/>
        <w:ind w:firstLine="709"/>
        <w:rPr>
          <w:color w:val="000000"/>
          <w:sz w:val="22"/>
          <w:szCs w:val="22"/>
          <w:lang w:val="ru-KZ"/>
        </w:rPr>
      </w:pPr>
      <w:r w:rsidRPr="000F2E48">
        <w:rPr>
          <w:color w:val="000000"/>
          <w:sz w:val="22"/>
          <w:szCs w:val="22"/>
          <w:lang w:val="ru-KZ"/>
        </w:rPr>
        <w:t xml:space="preserve">Отходы строительства и демонтажа; </w:t>
      </w:r>
    </w:p>
    <w:p w14:paraId="4F08128E" w14:textId="77777777" w:rsidR="000F2E48" w:rsidRPr="000F2E48" w:rsidRDefault="000F2E48" w:rsidP="006026A2">
      <w:pPr>
        <w:numPr>
          <w:ilvl w:val="0"/>
          <w:numId w:val="25"/>
        </w:numPr>
        <w:tabs>
          <w:tab w:val="left" w:pos="851"/>
          <w:tab w:val="left" w:pos="993"/>
        </w:tabs>
        <w:autoSpaceDE w:val="0"/>
        <w:autoSpaceDN w:val="0"/>
        <w:adjustRightInd w:val="0"/>
        <w:ind w:firstLine="709"/>
        <w:rPr>
          <w:color w:val="000000"/>
          <w:sz w:val="22"/>
          <w:szCs w:val="22"/>
          <w:lang w:val="ru-KZ"/>
        </w:rPr>
      </w:pPr>
      <w:r w:rsidRPr="000F2E48">
        <w:rPr>
          <w:color w:val="000000"/>
          <w:sz w:val="22"/>
          <w:szCs w:val="22"/>
          <w:lang w:val="ru-KZ"/>
        </w:rPr>
        <w:t xml:space="preserve">Промасленная ветошь. </w:t>
      </w:r>
    </w:p>
    <w:p w14:paraId="2B59E6E3" w14:textId="2531EB68" w:rsidR="00401E56" w:rsidRPr="00E94241" w:rsidRDefault="00401E56" w:rsidP="00283917">
      <w:pPr>
        <w:pStyle w:val="a7"/>
        <w:ind w:firstLine="567"/>
        <w:rPr>
          <w:rFonts w:cs="Times New Roman"/>
          <w:sz w:val="22"/>
        </w:rPr>
      </w:pPr>
      <w:r w:rsidRPr="00E94241">
        <w:rPr>
          <w:rFonts w:cs="Times New Roman"/>
          <w:sz w:val="22"/>
        </w:rPr>
        <w:t>Общее количество отходов п</w:t>
      </w:r>
      <w:r w:rsidRPr="00E94241">
        <w:rPr>
          <w:rFonts w:eastAsia="Calibri" w:cs="Times New Roman"/>
          <w:sz w:val="22"/>
        </w:rPr>
        <w:t xml:space="preserve">ри </w:t>
      </w:r>
      <w:r w:rsidRPr="00E94241">
        <w:rPr>
          <w:rFonts w:eastAsia="Calibri" w:cs="Times New Roman"/>
          <w:bCs/>
          <w:sz w:val="22"/>
        </w:rPr>
        <w:t xml:space="preserve">строительстве </w:t>
      </w:r>
      <w:r w:rsidRPr="00E94241">
        <w:rPr>
          <w:rFonts w:cs="Times New Roman"/>
          <w:sz w:val="22"/>
        </w:rPr>
        <w:t xml:space="preserve">составит </w:t>
      </w:r>
      <w:r w:rsidR="000F2E48" w:rsidRPr="00E94241">
        <w:rPr>
          <w:rFonts w:cs="Times New Roman"/>
          <w:color w:val="000000"/>
          <w:sz w:val="22"/>
          <w:lang w:val="kk-KZ"/>
        </w:rPr>
        <w:t>6,06015</w:t>
      </w:r>
      <w:r w:rsidR="000F2E48" w:rsidRPr="00E94241">
        <w:rPr>
          <w:rFonts w:cs="Times New Roman"/>
          <w:color w:val="000000"/>
          <w:sz w:val="22"/>
          <w:lang w:val="kk-KZ"/>
        </w:rPr>
        <w:t xml:space="preserve"> </w:t>
      </w:r>
      <w:r w:rsidRPr="00E94241">
        <w:rPr>
          <w:rFonts w:eastAsia="Calibri" w:cs="Times New Roman"/>
          <w:sz w:val="22"/>
          <w:lang w:val="kk-KZ"/>
        </w:rPr>
        <w:t>тонны.</w:t>
      </w:r>
    </w:p>
    <w:p w14:paraId="05C40309" w14:textId="153CBA14" w:rsidR="00F325A8" w:rsidRPr="00E94241" w:rsidRDefault="006026A2" w:rsidP="00283917">
      <w:pPr>
        <w:pStyle w:val="Default"/>
        <w:ind w:firstLine="567"/>
        <w:jc w:val="both"/>
        <w:rPr>
          <w:rFonts w:eastAsia="Calibri"/>
          <w:color w:val="auto"/>
          <w:sz w:val="22"/>
          <w:szCs w:val="22"/>
          <w:lang w:val="ru-RU"/>
        </w:rPr>
      </w:pPr>
      <w:r w:rsidRPr="00E94241">
        <w:rPr>
          <w:rFonts w:eastAsia="Calibri"/>
          <w:color w:val="auto"/>
          <w:sz w:val="22"/>
          <w:szCs w:val="22"/>
          <w:lang w:val="ru-RU"/>
        </w:rPr>
        <w:t xml:space="preserve">Отходы будут передаваться на переработку согласно действующих договоров </w:t>
      </w:r>
      <w:proofErr w:type="gramStart"/>
      <w:r w:rsidRPr="00E94241">
        <w:rPr>
          <w:rFonts w:eastAsia="Calibri"/>
          <w:color w:val="auto"/>
          <w:sz w:val="22"/>
          <w:szCs w:val="22"/>
          <w:lang w:val="ru-RU"/>
        </w:rPr>
        <w:t>с специализированными</w:t>
      </w:r>
      <w:proofErr w:type="gramEnd"/>
      <w:r w:rsidRPr="00E94241">
        <w:rPr>
          <w:rFonts w:eastAsia="Calibri"/>
          <w:color w:val="auto"/>
          <w:sz w:val="22"/>
          <w:szCs w:val="22"/>
          <w:lang w:val="ru-RU"/>
        </w:rPr>
        <w:t xml:space="preserve"> предприятиями, имеющим все разрешительные документы на оказание услуг по управлению отходами</w:t>
      </w:r>
      <w:r w:rsidRPr="00E94241">
        <w:rPr>
          <w:rFonts w:eastAsia="Calibri"/>
          <w:color w:val="auto"/>
          <w:sz w:val="22"/>
          <w:szCs w:val="22"/>
          <w:lang w:val="ru-RU"/>
        </w:rPr>
        <w:t>.</w:t>
      </w:r>
    </w:p>
    <w:p w14:paraId="2E15861F" w14:textId="77777777" w:rsidR="006026A2" w:rsidRPr="00E94241" w:rsidRDefault="006026A2" w:rsidP="00283917">
      <w:pPr>
        <w:pStyle w:val="Default"/>
        <w:ind w:firstLine="567"/>
        <w:jc w:val="both"/>
        <w:rPr>
          <w:b/>
          <w:sz w:val="22"/>
          <w:szCs w:val="22"/>
          <w:lang w:val="ru-RU"/>
        </w:rPr>
      </w:pPr>
    </w:p>
    <w:p w14:paraId="6932C808" w14:textId="77777777" w:rsidR="00B030C0" w:rsidRPr="0029131A" w:rsidRDefault="00B030C0" w:rsidP="00B030C0">
      <w:pPr>
        <w:pStyle w:val="11"/>
        <w:ind w:firstLine="567"/>
        <w:jc w:val="both"/>
        <w:rPr>
          <w:rFonts w:ascii="Times New Roman" w:hAnsi="Times New Roman"/>
          <w:b/>
          <w:bCs/>
          <w:u w:val="single"/>
          <w:lang w:val="ru-KZ"/>
        </w:rPr>
      </w:pPr>
      <w:r w:rsidRPr="0029131A">
        <w:rPr>
          <w:rFonts w:ascii="Times New Roman" w:hAnsi="Times New Roman"/>
          <w:b/>
          <w:bCs/>
          <w:u w:val="single"/>
          <w:lang w:val="ru-KZ"/>
        </w:rPr>
        <w:t xml:space="preserve">Рекомендации по предупреждению аварийных ситуаций и ликвидации их последствий. </w:t>
      </w:r>
    </w:p>
    <w:p w14:paraId="5C30C215"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Для повышения надежности работы и предотвращения аварийных ситуаций проведение полевых работ будет осуществляться в строгом соответствии с действующими нормами. </w:t>
      </w:r>
    </w:p>
    <w:p w14:paraId="55927E0A"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Мероприятия по предупреждению производственных аварий и пожаров: </w:t>
      </w:r>
    </w:p>
    <w:p w14:paraId="6FFA1A60"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Наличие согласованных с пожарными частями района оперативных планов пожаротушения. </w:t>
      </w:r>
    </w:p>
    <w:p w14:paraId="68D2BF6C"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Обеспечение соблюдения правил охраны труда и пожарной безопасности. </w:t>
      </w:r>
    </w:p>
    <w:p w14:paraId="78067776"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Исправность оборудования и средств пожаротушения. </w:t>
      </w:r>
    </w:p>
    <w:p w14:paraId="2B21D2EB"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Организация учёбы обслуживающего персонала и периодичность сдачи ими зачётов соответствующим комиссиям с выдачей им удостоверений. </w:t>
      </w:r>
    </w:p>
    <w:p w14:paraId="4BA54E52"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Прохождение работниками всех видов инструктажей по безопасности и охране труда. </w:t>
      </w:r>
    </w:p>
    <w:p w14:paraId="1FBA8E89"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Организация проведения инженерно-технических мероприятий, направленных на предотвращение потерь людских и материальных ценностей. </w:t>
      </w:r>
    </w:p>
    <w:p w14:paraId="52FAE314" w14:textId="77777777" w:rsidR="00B030C0" w:rsidRPr="00E94241" w:rsidRDefault="00B030C0" w:rsidP="00B030C0">
      <w:pPr>
        <w:pStyle w:val="11"/>
        <w:numPr>
          <w:ilvl w:val="0"/>
          <w:numId w:val="27"/>
        </w:numPr>
        <w:ind w:left="0" w:firstLine="567"/>
        <w:jc w:val="both"/>
        <w:rPr>
          <w:rFonts w:ascii="Times New Roman" w:hAnsi="Times New Roman"/>
          <w:lang w:val="ru-KZ"/>
        </w:rPr>
      </w:pPr>
      <w:r w:rsidRPr="00E94241">
        <w:rPr>
          <w:rFonts w:ascii="Times New Roman" w:hAnsi="Times New Roman"/>
          <w:lang w:val="ru-KZ"/>
        </w:rPr>
        <w:t xml:space="preserve">Наличие планов ликвидации аварий, согласованных с аварийно-спасательными формированиями. </w:t>
      </w:r>
    </w:p>
    <w:p w14:paraId="07B5CC52"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При возникновении на строительном объекте аварийных ситуаций, вызванных производственными или какими-либо другими процессами, несущими угрозу жизни и здоровью </w:t>
      </w:r>
      <w:r w:rsidRPr="00E94241">
        <w:rPr>
          <w:rFonts w:ascii="Times New Roman" w:hAnsi="Times New Roman"/>
          <w:lang w:val="ru-KZ"/>
        </w:rPr>
        <w:lastRenderedPageBreak/>
        <w:t xml:space="preserve">людей, Подрядчик оповещает всех участников строительства и население близлежащих населенных пунктов, и организует своевременный вывод людей из зоны поражения. Подрядчик разрешает возобновление работ по строительству только после полного устранения причин опасности и восстановления санитарно-эпидемиологических условий труда. </w:t>
      </w:r>
    </w:p>
    <w:p w14:paraId="1B188409" w14:textId="646C1A29"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При возникновении аварийной ситуации рабочие должны быть немедленно удалены из опасной зоны. Сигнал «стоп» разрешается подавать любым лицам, заметившим опасность. Опасную зону следует в кратчайшие сроки оградить с выставлением предупреждающих знаков и надписей, в особо опасных случаях организуется охрана. При обнаружении дефектов в демонтируемых конструкциях, представляющих опасность для жизни и здоровья людей, целостности машин и механизмов, работы немедленно нужно приостановить, отключить электросети, принять меры по ликвидации аварии, о случившемся доложить руководителю производства работ.</w:t>
      </w:r>
    </w:p>
    <w:p w14:paraId="2622AE83"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При опасности возникновения несчастного случая следует принять меры по его предупреждению. Если несчастный случай произошел, необходимо оказать доврачебную медицинскую помощь пострадавшему, затем вызвать скорую помощь. При возникновении пожара необходимо вызвать противопожарную службу, эвакуировать людей в безопасное место, по возможности убрать горючие вещества и приступить к тушению огня первичными средствами пожаротушения. К работе вновь допускается приступить только после ликвидации всех последствий аварии (пожара) с письменного разрешения руководителя организации и личного осмотра им рабочих мест. При возникновении аварийной ситуации на объекте возможны выбросы загрязняющих веществ в атмосферу, образование неплановых видов отходов. Для снижения риска возникновения аварий должны быть приняты меры по предотвращению и ликвидации аварийных ситуаций. К ним относятся: </w:t>
      </w:r>
    </w:p>
    <w:p w14:paraId="1B8DAAC3"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 </w:t>
      </w:r>
    </w:p>
    <w:p w14:paraId="24DCC625"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Наличие модернизированной системы оповещения, системы аварийной остановки оборудования и механизмов на каждом участке; </w:t>
      </w:r>
    </w:p>
    <w:p w14:paraId="44AA41F9"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 </w:t>
      </w:r>
    </w:p>
    <w:p w14:paraId="52B1C0B4"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083A8BAA"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Регулярное проведение мер по проверке и техническому обслуживанию всех видов используемого оборудования; </w:t>
      </w:r>
    </w:p>
    <w:p w14:paraId="490CBD2B"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Постоянный контроль за соблюдением принятых требований по охране труда, окружающей среды и техники безопасности; </w:t>
      </w:r>
    </w:p>
    <w:p w14:paraId="08C1EE3F" w14:textId="77777777" w:rsidR="00B030C0" w:rsidRPr="00E94241" w:rsidRDefault="00B030C0" w:rsidP="00B030C0">
      <w:pPr>
        <w:pStyle w:val="11"/>
        <w:ind w:firstLine="567"/>
        <w:jc w:val="both"/>
        <w:rPr>
          <w:rFonts w:ascii="Times New Roman" w:hAnsi="Times New Roman"/>
          <w:lang w:val="ru-KZ"/>
        </w:rPr>
      </w:pPr>
      <w:r w:rsidRPr="00E94241">
        <w:rPr>
          <w:rFonts w:ascii="Times New Roman" w:hAnsi="Times New Roman"/>
          <w:lang w:val="ru-KZ"/>
        </w:rPr>
        <w:t xml:space="preserve">-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w:t>
      </w:r>
    </w:p>
    <w:p w14:paraId="19299873" w14:textId="12DD8F47" w:rsidR="00B030C0" w:rsidRPr="00E94241" w:rsidRDefault="00B030C0" w:rsidP="00B030C0">
      <w:pPr>
        <w:pStyle w:val="11"/>
        <w:ind w:firstLine="567"/>
        <w:jc w:val="both"/>
        <w:rPr>
          <w:rFonts w:ascii="Times New Roman" w:hAnsi="Times New Roman"/>
        </w:rPr>
      </w:pPr>
      <w:r w:rsidRPr="00E94241">
        <w:rPr>
          <w:rFonts w:ascii="Times New Roman" w:hAnsi="Times New Roman"/>
          <w:lang w:val="ru-KZ"/>
        </w:rPr>
        <w:t>- Привлечение для работы опытного квалифицированного персонала.</w:t>
      </w:r>
    </w:p>
    <w:sectPr w:rsidR="00B030C0" w:rsidRPr="00E94241"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59A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10D3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FB0691"/>
    <w:multiLevelType w:val="hybridMultilevel"/>
    <w:tmpl w:val="131A37E4"/>
    <w:lvl w:ilvl="0" w:tplc="97FAC32C">
      <w:start w:val="1"/>
      <w:numFmt w:val="bullet"/>
      <w:lvlText w:val=""/>
      <w:lvlJc w:val="left"/>
      <w:pPr>
        <w:ind w:left="1287" w:hanging="360"/>
      </w:pPr>
      <w:rPr>
        <w:rFonts w:ascii="Symbol" w:hAnsi="Symbol" w:hint="default"/>
        <w:b/>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0"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1"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273169983">
    <w:abstractNumId w:val="26"/>
  </w:num>
  <w:num w:numId="2" w16cid:durableId="1973098747">
    <w:abstractNumId w:val="25"/>
  </w:num>
  <w:num w:numId="3" w16cid:durableId="1241524366">
    <w:abstractNumId w:val="8"/>
  </w:num>
  <w:num w:numId="4" w16cid:durableId="1516918092">
    <w:abstractNumId w:val="17"/>
  </w:num>
  <w:num w:numId="5" w16cid:durableId="388647461">
    <w:abstractNumId w:val="9"/>
  </w:num>
  <w:num w:numId="6" w16cid:durableId="1296106406">
    <w:abstractNumId w:val="3"/>
  </w:num>
  <w:num w:numId="7" w16cid:durableId="1578399581">
    <w:abstractNumId w:val="14"/>
  </w:num>
  <w:num w:numId="8" w16cid:durableId="1029142199">
    <w:abstractNumId w:val="18"/>
  </w:num>
  <w:num w:numId="9" w16cid:durableId="490830536">
    <w:abstractNumId w:val="12"/>
  </w:num>
  <w:num w:numId="10" w16cid:durableId="231696658">
    <w:abstractNumId w:val="20"/>
  </w:num>
  <w:num w:numId="11" w16cid:durableId="618531502">
    <w:abstractNumId w:val="19"/>
  </w:num>
  <w:num w:numId="12" w16cid:durableId="1655448045">
    <w:abstractNumId w:val="22"/>
  </w:num>
  <w:num w:numId="13" w16cid:durableId="1098409775">
    <w:abstractNumId w:val="11"/>
  </w:num>
  <w:num w:numId="14" w16cid:durableId="421462709">
    <w:abstractNumId w:val="23"/>
  </w:num>
  <w:num w:numId="15" w16cid:durableId="361634322">
    <w:abstractNumId w:val="13"/>
  </w:num>
  <w:num w:numId="16" w16cid:durableId="1153715457">
    <w:abstractNumId w:val="10"/>
  </w:num>
  <w:num w:numId="17" w16cid:durableId="252932054">
    <w:abstractNumId w:val="2"/>
  </w:num>
  <w:num w:numId="18" w16cid:durableId="1707175913">
    <w:abstractNumId w:val="16"/>
  </w:num>
  <w:num w:numId="19" w16cid:durableId="702485882">
    <w:abstractNumId w:val="1"/>
  </w:num>
  <w:num w:numId="20" w16cid:durableId="272982222">
    <w:abstractNumId w:val="21"/>
  </w:num>
  <w:num w:numId="21" w16cid:durableId="711224542">
    <w:abstractNumId w:val="24"/>
  </w:num>
  <w:num w:numId="22" w16cid:durableId="116261763">
    <w:abstractNumId w:val="4"/>
  </w:num>
  <w:num w:numId="23" w16cid:durableId="1821195973">
    <w:abstractNumId w:val="15"/>
  </w:num>
  <w:num w:numId="24" w16cid:durableId="796802468">
    <w:abstractNumId w:val="6"/>
  </w:num>
  <w:num w:numId="25" w16cid:durableId="801188086">
    <w:abstractNumId w:val="0"/>
  </w:num>
  <w:num w:numId="26" w16cid:durableId="1585453625">
    <w:abstractNumId w:val="5"/>
  </w:num>
  <w:num w:numId="27" w16cid:durableId="390226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05893"/>
    <w:rsid w:val="00024C50"/>
    <w:rsid w:val="000940BA"/>
    <w:rsid w:val="000A09AA"/>
    <w:rsid w:val="000D1D0D"/>
    <w:rsid w:val="000F2E48"/>
    <w:rsid w:val="0016401F"/>
    <w:rsid w:val="001875E2"/>
    <w:rsid w:val="001976D4"/>
    <w:rsid w:val="001E45A6"/>
    <w:rsid w:val="00224CB0"/>
    <w:rsid w:val="00265047"/>
    <w:rsid w:val="002654C0"/>
    <w:rsid w:val="0027118D"/>
    <w:rsid w:val="00283917"/>
    <w:rsid w:val="0029131A"/>
    <w:rsid w:val="002B42AF"/>
    <w:rsid w:val="002C23B7"/>
    <w:rsid w:val="002C56C7"/>
    <w:rsid w:val="002D0F55"/>
    <w:rsid w:val="002F2916"/>
    <w:rsid w:val="003A6344"/>
    <w:rsid w:val="00401E56"/>
    <w:rsid w:val="004075AA"/>
    <w:rsid w:val="00434D9F"/>
    <w:rsid w:val="00472FF9"/>
    <w:rsid w:val="0048444F"/>
    <w:rsid w:val="004B5B88"/>
    <w:rsid w:val="00541316"/>
    <w:rsid w:val="0054640C"/>
    <w:rsid w:val="005A319C"/>
    <w:rsid w:val="005F0EAF"/>
    <w:rsid w:val="006026A2"/>
    <w:rsid w:val="0061389E"/>
    <w:rsid w:val="006147DE"/>
    <w:rsid w:val="00642599"/>
    <w:rsid w:val="00675238"/>
    <w:rsid w:val="0068493B"/>
    <w:rsid w:val="00692E6F"/>
    <w:rsid w:val="00775ED0"/>
    <w:rsid w:val="007C113B"/>
    <w:rsid w:val="007D6CA0"/>
    <w:rsid w:val="007E2BF4"/>
    <w:rsid w:val="007F51F3"/>
    <w:rsid w:val="008535D1"/>
    <w:rsid w:val="0087062D"/>
    <w:rsid w:val="00880086"/>
    <w:rsid w:val="00897880"/>
    <w:rsid w:val="008C6310"/>
    <w:rsid w:val="008D71FE"/>
    <w:rsid w:val="008D7A71"/>
    <w:rsid w:val="00903388"/>
    <w:rsid w:val="00985A98"/>
    <w:rsid w:val="00997BEC"/>
    <w:rsid w:val="00A041CB"/>
    <w:rsid w:val="00A40F60"/>
    <w:rsid w:val="00AB23B8"/>
    <w:rsid w:val="00AF7A92"/>
    <w:rsid w:val="00B02AD0"/>
    <w:rsid w:val="00B030C0"/>
    <w:rsid w:val="00B919D0"/>
    <w:rsid w:val="00BD2AF7"/>
    <w:rsid w:val="00BE4FA7"/>
    <w:rsid w:val="00BF6265"/>
    <w:rsid w:val="00C14C18"/>
    <w:rsid w:val="00C35522"/>
    <w:rsid w:val="00C84C22"/>
    <w:rsid w:val="00C87756"/>
    <w:rsid w:val="00CD06F4"/>
    <w:rsid w:val="00D07B6D"/>
    <w:rsid w:val="00D12993"/>
    <w:rsid w:val="00D16DA7"/>
    <w:rsid w:val="00D218BD"/>
    <w:rsid w:val="00D409B4"/>
    <w:rsid w:val="00DC50BF"/>
    <w:rsid w:val="00DD6A58"/>
    <w:rsid w:val="00DE3BBE"/>
    <w:rsid w:val="00DE47A4"/>
    <w:rsid w:val="00E01479"/>
    <w:rsid w:val="00E94241"/>
    <w:rsid w:val="00ED407A"/>
    <w:rsid w:val="00ED7C52"/>
    <w:rsid w:val="00EE3118"/>
    <w:rsid w:val="00EF5614"/>
    <w:rsid w:val="00F221EF"/>
    <w:rsid w:val="00F325A8"/>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0F32"/>
  <w15:docId w15:val="{45847489-5BC1-4998-8CDA-6F7BAB3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59</cp:revision>
  <dcterms:created xsi:type="dcterms:W3CDTF">2024-08-13T06:50:00Z</dcterms:created>
  <dcterms:modified xsi:type="dcterms:W3CDTF">2025-12-22T09:47:00Z</dcterms:modified>
</cp:coreProperties>
</file>