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B20F1" w14:textId="77777777" w:rsidR="005D70B4" w:rsidRPr="000A5DD4" w:rsidRDefault="005D70B4" w:rsidP="000A5DD4">
      <w:pPr>
        <w:pStyle w:val="pr"/>
      </w:pPr>
      <w:r w:rsidRPr="000A5DD4">
        <w:rPr>
          <w:rStyle w:val="s0"/>
        </w:rPr>
        <w:t>Приложение 1</w:t>
      </w:r>
    </w:p>
    <w:p w14:paraId="6A6B6B54" w14:textId="77777777" w:rsidR="005D70B4" w:rsidRPr="000A5DD4" w:rsidRDefault="005D70B4" w:rsidP="000A5DD4">
      <w:pPr>
        <w:pStyle w:val="pr"/>
      </w:pPr>
      <w:r w:rsidRPr="000A5DD4">
        <w:rPr>
          <w:rStyle w:val="s0"/>
        </w:rPr>
        <w:t>к Правилам оказания государственной</w:t>
      </w:r>
    </w:p>
    <w:p w14:paraId="3601750B" w14:textId="77777777" w:rsidR="005D70B4" w:rsidRPr="000A5DD4" w:rsidRDefault="005D70B4" w:rsidP="000A5DD4">
      <w:pPr>
        <w:pStyle w:val="pr"/>
      </w:pPr>
      <w:r w:rsidRPr="000A5DD4">
        <w:rPr>
          <w:rStyle w:val="s0"/>
        </w:rPr>
        <w:t>услуги «Заключение об определении</w:t>
      </w:r>
    </w:p>
    <w:p w14:paraId="70F406AD" w14:textId="77777777" w:rsidR="005D70B4" w:rsidRPr="000A5DD4" w:rsidRDefault="005D70B4" w:rsidP="000A5DD4">
      <w:pPr>
        <w:pStyle w:val="pr"/>
      </w:pPr>
      <w:r w:rsidRPr="000A5DD4">
        <w:rPr>
          <w:rStyle w:val="s0"/>
        </w:rPr>
        <w:t>сферы охвата оценки воздействия на</w:t>
      </w:r>
    </w:p>
    <w:p w14:paraId="5CB11953" w14:textId="77777777" w:rsidR="005D70B4" w:rsidRPr="000A5DD4" w:rsidRDefault="005D70B4" w:rsidP="000A5DD4">
      <w:pPr>
        <w:pStyle w:val="pr"/>
      </w:pPr>
      <w:r w:rsidRPr="000A5DD4">
        <w:rPr>
          <w:rStyle w:val="s0"/>
        </w:rPr>
        <w:t>окружающую среду и (или) скрининга</w:t>
      </w:r>
    </w:p>
    <w:p w14:paraId="1125765F" w14:textId="77777777" w:rsidR="005D70B4" w:rsidRPr="000A5DD4" w:rsidRDefault="005D70B4" w:rsidP="000A5DD4">
      <w:pPr>
        <w:pStyle w:val="pr"/>
      </w:pPr>
      <w:r w:rsidRPr="000A5DD4">
        <w:rPr>
          <w:rStyle w:val="s0"/>
        </w:rPr>
        <w:t>воздействий намечаемой деятельности»</w:t>
      </w:r>
    </w:p>
    <w:p w14:paraId="653ADF98" w14:textId="77777777" w:rsidR="005D70B4" w:rsidRPr="000A5DD4" w:rsidRDefault="005D70B4" w:rsidP="000A5DD4">
      <w:pPr>
        <w:pStyle w:val="pr"/>
      </w:pPr>
      <w:r w:rsidRPr="000A5DD4">
        <w:rPr>
          <w:rStyle w:val="s0"/>
        </w:rPr>
        <w:t> </w:t>
      </w:r>
    </w:p>
    <w:p w14:paraId="1EA0B631" w14:textId="77777777" w:rsidR="005D70B4" w:rsidRPr="000A5DD4" w:rsidRDefault="005D70B4" w:rsidP="000A5DD4">
      <w:pPr>
        <w:pStyle w:val="pc"/>
        <w:rPr>
          <w:rStyle w:val="s1"/>
        </w:rPr>
      </w:pPr>
      <w:r w:rsidRPr="000A5DD4">
        <w:rPr>
          <w:rStyle w:val="s1"/>
        </w:rPr>
        <w:t>Заявление</w:t>
      </w:r>
      <w:r w:rsidR="005B412C" w:rsidRPr="000A5DD4">
        <w:rPr>
          <w:rStyle w:val="s1"/>
        </w:rPr>
        <w:t xml:space="preserve"> </w:t>
      </w:r>
      <w:r w:rsidRPr="000A5DD4">
        <w:rPr>
          <w:rStyle w:val="s1"/>
        </w:rPr>
        <w:t>о намечаемой деятельности</w:t>
      </w:r>
    </w:p>
    <w:p w14:paraId="167A45D4" w14:textId="7F4F6802" w:rsidR="006F3D19" w:rsidRPr="00315ADE" w:rsidRDefault="005D70B4" w:rsidP="000A5DD4">
      <w:pPr>
        <w:jc w:val="center"/>
        <w:rPr>
          <w:b/>
        </w:rPr>
      </w:pPr>
      <w:r w:rsidRPr="000A5DD4">
        <w:rPr>
          <w:b/>
        </w:rPr>
        <w:t xml:space="preserve">по проекту </w:t>
      </w:r>
      <w:r w:rsidRPr="00315ADE">
        <w:rPr>
          <w:b/>
        </w:rPr>
        <w:t>«</w:t>
      </w:r>
      <w:r w:rsidR="00CE0F00">
        <w:rPr>
          <w:b/>
        </w:rPr>
        <w:t xml:space="preserve">Строительство и эксплуатация объекта по </w:t>
      </w:r>
      <w:r w:rsidR="00237B6F">
        <w:rPr>
          <w:b/>
        </w:rPr>
        <w:t>утилизации и переработке опасных и неопасных отходов</w:t>
      </w:r>
      <w:r w:rsidR="00CE0F00">
        <w:rPr>
          <w:b/>
        </w:rPr>
        <w:t>»</w:t>
      </w:r>
    </w:p>
    <w:p w14:paraId="6BD58930" w14:textId="77777777" w:rsidR="005D70B4" w:rsidRPr="000A5DD4" w:rsidRDefault="005D70B4" w:rsidP="000A5DD4">
      <w:pPr>
        <w:pStyle w:val="pc"/>
        <w:rPr>
          <w:rStyle w:val="s1"/>
        </w:rPr>
      </w:pPr>
    </w:p>
    <w:tbl>
      <w:tblPr>
        <w:tblStyle w:val="a5"/>
        <w:tblW w:w="15588" w:type="dxa"/>
        <w:jc w:val="center"/>
        <w:tblLook w:val="04A0" w:firstRow="1" w:lastRow="0" w:firstColumn="1" w:lastColumn="0" w:noHBand="0" w:noVBand="1"/>
      </w:tblPr>
      <w:tblGrid>
        <w:gridCol w:w="4508"/>
        <w:gridCol w:w="11080"/>
      </w:tblGrid>
      <w:tr w:rsidR="005D70B4" w:rsidRPr="00685B75" w14:paraId="51F67EEA" w14:textId="77777777" w:rsidTr="00B77C8C">
        <w:trPr>
          <w:jc w:val="center"/>
        </w:trPr>
        <w:tc>
          <w:tcPr>
            <w:tcW w:w="4508" w:type="dxa"/>
          </w:tcPr>
          <w:p w14:paraId="79FCF8F6" w14:textId="77777777" w:rsidR="001C3D07" w:rsidRPr="00685B75" w:rsidRDefault="001C3D07" w:rsidP="00685B75">
            <w:pPr>
              <w:pStyle w:val="pj"/>
              <w:numPr>
                <w:ilvl w:val="0"/>
                <w:numId w:val="1"/>
              </w:numPr>
              <w:tabs>
                <w:tab w:val="left" w:pos="300"/>
              </w:tabs>
              <w:ind w:left="0" w:firstLine="0"/>
              <w:rPr>
                <w:rStyle w:val="s0"/>
              </w:rPr>
            </w:pPr>
            <w:r w:rsidRPr="00685B75">
              <w:rPr>
                <w:rStyle w:val="s0"/>
              </w:rPr>
              <w:t xml:space="preserve">Сведения об инициаторе намечаемой деятельности: </w:t>
            </w:r>
          </w:p>
          <w:p w14:paraId="78E7DF63" w14:textId="77777777" w:rsidR="001C3D07" w:rsidRPr="00685B75" w:rsidRDefault="001C3D07" w:rsidP="00685B75">
            <w:pPr>
              <w:pStyle w:val="pj"/>
              <w:ind w:firstLine="0"/>
            </w:pPr>
            <w:r w:rsidRPr="00685B75">
              <w:rPr>
                <w:rStyle w:val="s0"/>
              </w:rPr>
              <w:t>для физического лица: фамилия, имя, отчество (если оно указано в документе, удостоверяющем личность), адрес места жительства, индивидуальный идентификационный номер, телефон, адрес электронной почты;</w:t>
            </w:r>
          </w:p>
          <w:p w14:paraId="7271DA10" w14:textId="77777777" w:rsidR="006E2409" w:rsidRPr="00685B75" w:rsidRDefault="006E2409" w:rsidP="00685B75">
            <w:pPr>
              <w:pStyle w:val="pj"/>
              <w:ind w:firstLine="0"/>
              <w:rPr>
                <w:rStyle w:val="s0"/>
              </w:rPr>
            </w:pPr>
          </w:p>
          <w:p w14:paraId="14C796D2" w14:textId="77777777" w:rsidR="005D70B4" w:rsidRPr="00685B75" w:rsidRDefault="001C3D07" w:rsidP="00685B75">
            <w:pPr>
              <w:pStyle w:val="pj"/>
              <w:ind w:firstLine="0"/>
            </w:pPr>
            <w:r w:rsidRPr="00685B75">
              <w:rPr>
                <w:rStyle w:val="s0"/>
              </w:rPr>
              <w:t>для юридического лица: наименование, адрес места нахождения, бизнес-идентификационный номер, данные о первом руководителе, телефон, адрес электронной почты.</w:t>
            </w:r>
          </w:p>
        </w:tc>
        <w:tc>
          <w:tcPr>
            <w:tcW w:w="11080" w:type="dxa"/>
          </w:tcPr>
          <w:p w14:paraId="47F1A545" w14:textId="77777777" w:rsidR="006E2409" w:rsidRPr="00685B75" w:rsidRDefault="006E2409" w:rsidP="00685B75">
            <w:pPr>
              <w:jc w:val="both"/>
            </w:pPr>
          </w:p>
          <w:p w14:paraId="1C5E1DA3" w14:textId="77777777" w:rsidR="006E2409" w:rsidRPr="00685B75" w:rsidRDefault="006E2409" w:rsidP="00685B75">
            <w:pPr>
              <w:jc w:val="both"/>
            </w:pPr>
          </w:p>
          <w:p w14:paraId="61A3BA53" w14:textId="77777777" w:rsidR="006E2409" w:rsidRPr="0050585F" w:rsidRDefault="006E2409" w:rsidP="00685B75">
            <w:pPr>
              <w:jc w:val="both"/>
            </w:pPr>
          </w:p>
          <w:p w14:paraId="612FE043" w14:textId="5F9BF342" w:rsidR="006E2409" w:rsidRPr="0050585F" w:rsidRDefault="009C33F8" w:rsidP="0050585F">
            <w:pPr>
              <w:jc w:val="both"/>
            </w:pPr>
            <w:r w:rsidRPr="0050585F">
              <w:t xml:space="preserve">Проектируемый проект </w:t>
            </w:r>
            <w:r w:rsidRPr="0050585F">
              <w:rPr>
                <w:b/>
                <w:bCs/>
              </w:rPr>
              <w:t>«</w:t>
            </w:r>
            <w:r w:rsidR="0050585F" w:rsidRPr="0050585F">
              <w:rPr>
                <w:b/>
                <w:bCs/>
              </w:rPr>
              <w:t xml:space="preserve">ПЛАН ГОРНЫХ РАБОТ на добычу россыпных осадочных руд – титан-циркониевых песков – на части месторождения </w:t>
            </w:r>
            <w:proofErr w:type="spellStart"/>
            <w:r w:rsidR="0050585F" w:rsidRPr="0050585F">
              <w:rPr>
                <w:b/>
                <w:bCs/>
              </w:rPr>
              <w:t>Шокаш</w:t>
            </w:r>
            <w:proofErr w:type="spellEnd"/>
            <w:r w:rsidR="0050585F" w:rsidRPr="0050585F">
              <w:rPr>
                <w:b/>
                <w:bCs/>
              </w:rPr>
              <w:t xml:space="preserve"> (Участок 1) в </w:t>
            </w:r>
            <w:proofErr w:type="spellStart"/>
            <w:r w:rsidR="0050585F" w:rsidRPr="0050585F">
              <w:rPr>
                <w:b/>
                <w:bCs/>
              </w:rPr>
              <w:t>Мартукском</w:t>
            </w:r>
            <w:proofErr w:type="spellEnd"/>
            <w:r w:rsidR="0050585F" w:rsidRPr="0050585F">
              <w:rPr>
                <w:b/>
                <w:bCs/>
              </w:rPr>
              <w:t xml:space="preserve"> районе Актюбинской области Республики Казахстан</w:t>
            </w:r>
            <w:r w:rsidRPr="0050585F">
              <w:rPr>
                <w:b/>
                <w:bCs/>
              </w:rPr>
              <w:t>»</w:t>
            </w:r>
          </w:p>
          <w:p w14:paraId="04BB4994" w14:textId="77777777" w:rsidR="006E2409" w:rsidRPr="00685B75" w:rsidRDefault="006E2409" w:rsidP="00685B75">
            <w:pPr>
              <w:jc w:val="both"/>
            </w:pPr>
          </w:p>
          <w:p w14:paraId="20026113" w14:textId="77777777" w:rsidR="006E2409" w:rsidRPr="00685B75" w:rsidRDefault="006E2409" w:rsidP="00685B75">
            <w:pPr>
              <w:jc w:val="both"/>
            </w:pPr>
          </w:p>
          <w:p w14:paraId="1652D31F" w14:textId="77777777" w:rsidR="006E2409" w:rsidRPr="00685B75" w:rsidRDefault="006E2409" w:rsidP="00685B75">
            <w:pPr>
              <w:jc w:val="both"/>
            </w:pPr>
          </w:p>
          <w:p w14:paraId="027A0F1A" w14:textId="77777777" w:rsidR="006E2409" w:rsidRPr="00685B75" w:rsidRDefault="006E2409" w:rsidP="00685B75">
            <w:pPr>
              <w:jc w:val="both"/>
            </w:pPr>
          </w:p>
          <w:p w14:paraId="1FA20CD3" w14:textId="77777777" w:rsidR="006E2409" w:rsidRPr="00685B75" w:rsidRDefault="006E2409" w:rsidP="00685B75">
            <w:pPr>
              <w:jc w:val="both"/>
            </w:pPr>
          </w:p>
          <w:p w14:paraId="7BE3EF22" w14:textId="77777777" w:rsidR="0050585F" w:rsidRDefault="0050585F" w:rsidP="0050585F">
            <w:pPr>
              <w:contextualSpacing/>
            </w:pPr>
            <w:r>
              <w:t>Товарищество с ограниченной ответственностью</w:t>
            </w:r>
          </w:p>
          <w:p w14:paraId="7259F37E" w14:textId="77777777" w:rsidR="0050585F" w:rsidRDefault="0050585F" w:rsidP="0050585F">
            <w:pPr>
              <w:contextualSpacing/>
            </w:pPr>
            <w:r>
              <w:t>«ЭКСПОИНЖИНИРИНГ»</w:t>
            </w:r>
          </w:p>
          <w:p w14:paraId="7FDF2A9F" w14:textId="77777777" w:rsidR="0050585F" w:rsidRDefault="0050585F" w:rsidP="0050585F">
            <w:pPr>
              <w:contextualSpacing/>
            </w:pPr>
            <w:r>
              <w:t xml:space="preserve">030000, Республика Казахстан, г. </w:t>
            </w:r>
            <w:proofErr w:type="spellStart"/>
            <w:r>
              <w:t>Актобе</w:t>
            </w:r>
            <w:proofErr w:type="spellEnd"/>
            <w:r>
              <w:t>,</w:t>
            </w:r>
          </w:p>
          <w:p w14:paraId="2F730DB9" w14:textId="77777777" w:rsidR="0050585F" w:rsidRDefault="0050585F" w:rsidP="0050585F">
            <w:pPr>
              <w:contextualSpacing/>
            </w:pPr>
            <w:r>
              <w:t xml:space="preserve">Ул. </w:t>
            </w:r>
            <w:proofErr w:type="gramStart"/>
            <w:r>
              <w:t>Парковая ,</w:t>
            </w:r>
            <w:proofErr w:type="gramEnd"/>
            <w:r>
              <w:t xml:space="preserve"> д.44</w:t>
            </w:r>
          </w:p>
          <w:p w14:paraId="6BE244B3" w14:textId="77777777" w:rsidR="0050585F" w:rsidRDefault="0050585F" w:rsidP="0050585F">
            <w:pPr>
              <w:contextualSpacing/>
            </w:pPr>
            <w:r>
              <w:t>БИН № 100340017025</w:t>
            </w:r>
          </w:p>
          <w:p w14:paraId="627286B4" w14:textId="77777777" w:rsidR="0050585F" w:rsidRDefault="0050585F" w:rsidP="0050585F">
            <w:pPr>
              <w:contextualSpacing/>
            </w:pPr>
            <w:r>
              <w:t>Тел.: (7132) 94-76-94 (101)</w:t>
            </w:r>
          </w:p>
          <w:p w14:paraId="5EA69502" w14:textId="77777777" w:rsidR="0050585F" w:rsidRDefault="0050585F" w:rsidP="0050585F">
            <w:pPr>
              <w:contextualSpacing/>
            </w:pPr>
            <w:r>
              <w:t>Факс: (7132) 94-76-95 (117)</w:t>
            </w:r>
          </w:p>
          <w:p w14:paraId="0AED7036" w14:textId="37AF63F7" w:rsidR="00E277A0" w:rsidRPr="00685B75" w:rsidRDefault="0050585F" w:rsidP="0050585F">
            <w:pPr>
              <w:pStyle w:val="pc"/>
              <w:jc w:val="both"/>
            </w:pPr>
            <w:r>
              <w:t>e-mail:expoengin@gmail.com</w:t>
            </w:r>
          </w:p>
        </w:tc>
      </w:tr>
      <w:tr w:rsidR="005D70B4" w:rsidRPr="00685B75" w14:paraId="6FA3BE52" w14:textId="77777777" w:rsidTr="00B77C8C">
        <w:trPr>
          <w:jc w:val="center"/>
        </w:trPr>
        <w:tc>
          <w:tcPr>
            <w:tcW w:w="4508" w:type="dxa"/>
          </w:tcPr>
          <w:p w14:paraId="786FB2CB" w14:textId="77777777" w:rsidR="005D70B4" w:rsidRPr="00685B75" w:rsidRDefault="001C3D07" w:rsidP="00685B75">
            <w:pPr>
              <w:pStyle w:val="pj"/>
              <w:ind w:firstLine="0"/>
            </w:pPr>
            <w:r w:rsidRPr="00685B75">
              <w:rPr>
                <w:rStyle w:val="s0"/>
              </w:rPr>
              <w:t>2. Общее описание видов намечаемой деятельности и их классификация согласно приложению 1 Экологического кодекса Республики Казахстан (далее - Кодекс).</w:t>
            </w:r>
          </w:p>
        </w:tc>
        <w:tc>
          <w:tcPr>
            <w:tcW w:w="11080" w:type="dxa"/>
          </w:tcPr>
          <w:p w14:paraId="389087EE" w14:textId="05B7D22B" w:rsidR="0050585F" w:rsidRDefault="0050585F" w:rsidP="00F2270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ТОО «</w:t>
            </w:r>
            <w:proofErr w:type="spellStart"/>
            <w:r>
              <w:rPr>
                <w:sz w:val="23"/>
                <w:szCs w:val="23"/>
              </w:rPr>
              <w:t>Экспоинжиниринг</w:t>
            </w:r>
            <w:proofErr w:type="spellEnd"/>
            <w:r>
              <w:rPr>
                <w:sz w:val="23"/>
                <w:szCs w:val="23"/>
              </w:rPr>
              <w:t xml:space="preserve">» - действующее предприятие, ведущее добычу </w:t>
            </w:r>
            <w:proofErr w:type="spellStart"/>
            <w:proofErr w:type="gramStart"/>
            <w:r>
              <w:rPr>
                <w:sz w:val="23"/>
                <w:szCs w:val="23"/>
              </w:rPr>
              <w:t>титано</w:t>
            </w:r>
            <w:proofErr w:type="spellEnd"/>
            <w:r>
              <w:rPr>
                <w:sz w:val="23"/>
                <w:szCs w:val="23"/>
              </w:rPr>
              <w:t>-циркониевых</w:t>
            </w:r>
            <w:proofErr w:type="gramEnd"/>
            <w:r>
              <w:rPr>
                <w:sz w:val="23"/>
                <w:szCs w:val="23"/>
              </w:rPr>
              <w:t xml:space="preserve"> песков месторождения </w:t>
            </w:r>
            <w:proofErr w:type="spellStart"/>
            <w:r>
              <w:rPr>
                <w:sz w:val="23"/>
                <w:szCs w:val="23"/>
              </w:rPr>
              <w:t>Шокаш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r w:rsidR="001A51EF">
              <w:rPr>
                <w:sz w:val="23"/>
                <w:szCs w:val="23"/>
              </w:rPr>
              <w:t xml:space="preserve">Основное направление </w:t>
            </w:r>
            <w:proofErr w:type="gramStart"/>
            <w:r w:rsidR="001A51EF">
              <w:rPr>
                <w:sz w:val="23"/>
                <w:szCs w:val="23"/>
              </w:rPr>
              <w:t>использования</w:t>
            </w:r>
            <w:proofErr w:type="gramEnd"/>
            <w:r w:rsidR="001A51EF">
              <w:rPr>
                <w:sz w:val="23"/>
                <w:szCs w:val="23"/>
              </w:rPr>
              <w:t xml:space="preserve"> добываемого полезного ископаемого – получение из добываемого песка ильменитового и рутил-циркониевого концентратов.</w:t>
            </w:r>
          </w:p>
          <w:p w14:paraId="10941B3D" w14:textId="77777777" w:rsidR="0050585F" w:rsidRDefault="0050585F" w:rsidP="0050585F">
            <w:pPr>
              <w:pStyle w:val="Default"/>
            </w:pPr>
          </w:p>
          <w:p w14:paraId="1CE59BA0" w14:textId="77777777" w:rsidR="0050585F" w:rsidRDefault="0050585F" w:rsidP="0050585F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Согласно пункта 2.2 Раздела 1 Приложения 1 Экологического кодекса РК (далее –Кодекс): «карьеры и открытая добыча твердых полезных ископаемых на территории, превышающей 25 га, или добыча торфа, при которой территория превышает 150 га», относится к объектам, для которых проведение оценки воздействия на окружающую среду является обязательным </w:t>
            </w:r>
          </w:p>
          <w:p w14:paraId="37205D30" w14:textId="2F8FFFE6" w:rsidR="007500DD" w:rsidRPr="00AF65E5" w:rsidRDefault="0050585F" w:rsidP="0050585F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sz w:val="23"/>
                <w:szCs w:val="23"/>
              </w:rPr>
              <w:lastRenderedPageBreak/>
              <w:t>В соответствии с п. 3.1 Раздела 1 Приложения 2 Кодекса вид деятельности ТОО «ЭКСПОИНЖИНИРИНГ» «добыча и обогащение твердых полезных ископаемых, за исключением общераспространенных полезных ископаемых» относятся к объектам I категории.</w:t>
            </w:r>
          </w:p>
        </w:tc>
      </w:tr>
      <w:tr w:rsidR="005D70B4" w:rsidRPr="00685B75" w14:paraId="6B3F0984" w14:textId="77777777" w:rsidTr="00B77C8C">
        <w:trPr>
          <w:jc w:val="center"/>
        </w:trPr>
        <w:tc>
          <w:tcPr>
            <w:tcW w:w="4508" w:type="dxa"/>
          </w:tcPr>
          <w:p w14:paraId="77C93F5B" w14:textId="77777777" w:rsidR="001C3D07" w:rsidRPr="00685B75" w:rsidRDefault="001C3D07" w:rsidP="00685B75">
            <w:pPr>
              <w:pStyle w:val="pj"/>
              <w:ind w:firstLine="0"/>
            </w:pPr>
            <w:r w:rsidRPr="00685B75">
              <w:rPr>
                <w:rStyle w:val="s0"/>
              </w:rPr>
              <w:lastRenderedPageBreak/>
              <w:t>3. В случаях внесения в виды деятельности существенных изменений:</w:t>
            </w:r>
          </w:p>
          <w:p w14:paraId="7E9071BA" w14:textId="77777777" w:rsidR="001C3D07" w:rsidRPr="00685B75" w:rsidRDefault="001C3D07" w:rsidP="00685B75">
            <w:pPr>
              <w:pStyle w:val="pj"/>
            </w:pPr>
            <w:r w:rsidRPr="00685B75">
              <w:rPr>
                <w:rStyle w:val="s0"/>
              </w:rPr>
              <w:t>описание существенных изменений в виды деятельности и (или) деятельность объектов, в отношении которых ранее была проведена оценка воздействия на окружающую среду (подпункт 3) пункта 1 статьи 65 Кодекса);</w:t>
            </w:r>
          </w:p>
          <w:p w14:paraId="0667ED87" w14:textId="77777777" w:rsidR="003E3078" w:rsidRPr="00685B75" w:rsidRDefault="003E3078" w:rsidP="00685B75">
            <w:pPr>
              <w:pStyle w:val="pj"/>
              <w:rPr>
                <w:rStyle w:val="s0"/>
              </w:rPr>
            </w:pPr>
          </w:p>
          <w:p w14:paraId="3C065B42" w14:textId="77777777" w:rsidR="000E7B25" w:rsidRPr="00685B75" w:rsidRDefault="000E7B25" w:rsidP="00685B75">
            <w:pPr>
              <w:pStyle w:val="pj"/>
              <w:rPr>
                <w:rStyle w:val="s0"/>
                <w:lang w:val="kk-KZ"/>
              </w:rPr>
            </w:pPr>
          </w:p>
          <w:p w14:paraId="5A87613A" w14:textId="77777777" w:rsidR="00202EAA" w:rsidRDefault="00202EAA" w:rsidP="00685B75">
            <w:pPr>
              <w:pStyle w:val="pj"/>
              <w:rPr>
                <w:rStyle w:val="s0"/>
              </w:rPr>
            </w:pPr>
          </w:p>
          <w:p w14:paraId="0DFBFE11" w14:textId="40E4A3AB" w:rsidR="00202EAA" w:rsidRDefault="00202EAA" w:rsidP="00685B75">
            <w:pPr>
              <w:pStyle w:val="pj"/>
              <w:rPr>
                <w:rStyle w:val="s0"/>
              </w:rPr>
            </w:pPr>
          </w:p>
          <w:p w14:paraId="1E679F34" w14:textId="2541C922" w:rsidR="00550E3F" w:rsidRDefault="00550E3F" w:rsidP="00685B75">
            <w:pPr>
              <w:pStyle w:val="pj"/>
              <w:rPr>
                <w:rStyle w:val="s0"/>
              </w:rPr>
            </w:pPr>
          </w:p>
          <w:p w14:paraId="67CDF0D2" w14:textId="629C8F77" w:rsidR="00550E3F" w:rsidRDefault="00550E3F" w:rsidP="00685B75">
            <w:pPr>
              <w:pStyle w:val="pj"/>
              <w:rPr>
                <w:rStyle w:val="s0"/>
              </w:rPr>
            </w:pPr>
          </w:p>
          <w:p w14:paraId="2B38A6A4" w14:textId="375DB653" w:rsidR="00550E3F" w:rsidRDefault="00550E3F" w:rsidP="00685B75">
            <w:pPr>
              <w:pStyle w:val="pj"/>
              <w:rPr>
                <w:rStyle w:val="s0"/>
              </w:rPr>
            </w:pPr>
          </w:p>
          <w:p w14:paraId="21285257" w14:textId="22EB9253" w:rsidR="00550E3F" w:rsidRDefault="00550E3F" w:rsidP="00685B75">
            <w:pPr>
              <w:pStyle w:val="pj"/>
              <w:rPr>
                <w:rStyle w:val="s0"/>
              </w:rPr>
            </w:pPr>
          </w:p>
          <w:p w14:paraId="42592EE7" w14:textId="726928F5" w:rsidR="00550E3F" w:rsidRDefault="00550E3F" w:rsidP="00685B75">
            <w:pPr>
              <w:pStyle w:val="pj"/>
              <w:rPr>
                <w:rStyle w:val="s0"/>
              </w:rPr>
            </w:pPr>
          </w:p>
          <w:p w14:paraId="4755456D" w14:textId="2D553B58" w:rsidR="00550E3F" w:rsidRDefault="00550E3F" w:rsidP="00685B75">
            <w:pPr>
              <w:pStyle w:val="pj"/>
              <w:rPr>
                <w:rStyle w:val="s0"/>
              </w:rPr>
            </w:pPr>
          </w:p>
          <w:p w14:paraId="39D26327" w14:textId="5732B43F" w:rsidR="00550E3F" w:rsidRDefault="00550E3F" w:rsidP="00685B75">
            <w:pPr>
              <w:pStyle w:val="pj"/>
              <w:rPr>
                <w:rStyle w:val="s0"/>
              </w:rPr>
            </w:pPr>
          </w:p>
          <w:p w14:paraId="4F39B000" w14:textId="7321C50A" w:rsidR="00550E3F" w:rsidRDefault="00550E3F" w:rsidP="00685B75">
            <w:pPr>
              <w:pStyle w:val="pj"/>
              <w:rPr>
                <w:rStyle w:val="s0"/>
              </w:rPr>
            </w:pPr>
          </w:p>
          <w:p w14:paraId="7191170D" w14:textId="662E48D4" w:rsidR="00550E3F" w:rsidRDefault="00550E3F" w:rsidP="00685B75">
            <w:pPr>
              <w:pStyle w:val="pj"/>
              <w:rPr>
                <w:rStyle w:val="s0"/>
              </w:rPr>
            </w:pPr>
          </w:p>
          <w:p w14:paraId="18ACD7A4" w14:textId="39D97443" w:rsidR="00550E3F" w:rsidRDefault="00550E3F" w:rsidP="00685B75">
            <w:pPr>
              <w:pStyle w:val="pj"/>
              <w:rPr>
                <w:rStyle w:val="s0"/>
              </w:rPr>
            </w:pPr>
          </w:p>
          <w:p w14:paraId="664E0554" w14:textId="5A2F634C" w:rsidR="00550E3F" w:rsidRDefault="00550E3F" w:rsidP="00685B75">
            <w:pPr>
              <w:pStyle w:val="pj"/>
              <w:rPr>
                <w:rStyle w:val="s0"/>
              </w:rPr>
            </w:pPr>
          </w:p>
          <w:p w14:paraId="67013725" w14:textId="34AD6CCB" w:rsidR="00550E3F" w:rsidRDefault="00550E3F" w:rsidP="00685B75">
            <w:pPr>
              <w:pStyle w:val="pj"/>
              <w:rPr>
                <w:rStyle w:val="s0"/>
              </w:rPr>
            </w:pPr>
          </w:p>
          <w:p w14:paraId="7C33863A" w14:textId="5FB16125" w:rsidR="00550E3F" w:rsidRDefault="00550E3F" w:rsidP="00685B75">
            <w:pPr>
              <w:pStyle w:val="pj"/>
              <w:rPr>
                <w:rStyle w:val="s0"/>
              </w:rPr>
            </w:pPr>
          </w:p>
          <w:p w14:paraId="32E8AEDF" w14:textId="2389601A" w:rsidR="00550E3F" w:rsidRDefault="00550E3F" w:rsidP="00685B75">
            <w:pPr>
              <w:pStyle w:val="pj"/>
              <w:rPr>
                <w:rStyle w:val="s0"/>
              </w:rPr>
            </w:pPr>
          </w:p>
          <w:p w14:paraId="68389D09" w14:textId="5EED4912" w:rsidR="00550E3F" w:rsidRDefault="00550E3F" w:rsidP="00685B75">
            <w:pPr>
              <w:pStyle w:val="pj"/>
              <w:rPr>
                <w:rStyle w:val="s0"/>
              </w:rPr>
            </w:pPr>
          </w:p>
          <w:p w14:paraId="50191978" w14:textId="6DF2F9F1" w:rsidR="00550E3F" w:rsidRDefault="00550E3F" w:rsidP="00685B75">
            <w:pPr>
              <w:pStyle w:val="pj"/>
              <w:rPr>
                <w:rStyle w:val="s0"/>
              </w:rPr>
            </w:pPr>
          </w:p>
          <w:p w14:paraId="1D6B7B3A" w14:textId="3F633078" w:rsidR="00550E3F" w:rsidRDefault="00550E3F" w:rsidP="00685B75">
            <w:pPr>
              <w:pStyle w:val="pj"/>
              <w:rPr>
                <w:rStyle w:val="s0"/>
              </w:rPr>
            </w:pPr>
          </w:p>
          <w:p w14:paraId="5B47419C" w14:textId="57ACEB97" w:rsidR="00550E3F" w:rsidRDefault="00550E3F" w:rsidP="00685B75">
            <w:pPr>
              <w:pStyle w:val="pj"/>
              <w:rPr>
                <w:rStyle w:val="s0"/>
              </w:rPr>
            </w:pPr>
          </w:p>
          <w:p w14:paraId="1FD6EB9B" w14:textId="1319546E" w:rsidR="00550E3F" w:rsidRDefault="00550E3F" w:rsidP="00685B75">
            <w:pPr>
              <w:pStyle w:val="pj"/>
              <w:rPr>
                <w:rStyle w:val="s0"/>
              </w:rPr>
            </w:pPr>
          </w:p>
          <w:p w14:paraId="4DC8BF80" w14:textId="29676C8A" w:rsidR="00550E3F" w:rsidRDefault="00550E3F" w:rsidP="00685B75">
            <w:pPr>
              <w:pStyle w:val="pj"/>
              <w:rPr>
                <w:rStyle w:val="s0"/>
              </w:rPr>
            </w:pPr>
          </w:p>
          <w:p w14:paraId="7FBBB834" w14:textId="5F96AD6E" w:rsidR="00550E3F" w:rsidRDefault="00550E3F" w:rsidP="00685B75">
            <w:pPr>
              <w:pStyle w:val="pj"/>
              <w:rPr>
                <w:rStyle w:val="s0"/>
              </w:rPr>
            </w:pPr>
          </w:p>
          <w:p w14:paraId="32884F9F" w14:textId="32634780" w:rsidR="00550E3F" w:rsidRDefault="00550E3F" w:rsidP="00685B75">
            <w:pPr>
              <w:pStyle w:val="pj"/>
              <w:rPr>
                <w:rStyle w:val="s0"/>
              </w:rPr>
            </w:pPr>
          </w:p>
          <w:p w14:paraId="25BAD0F1" w14:textId="77777777" w:rsidR="00550E3F" w:rsidRDefault="00550E3F" w:rsidP="00685B75">
            <w:pPr>
              <w:pStyle w:val="pj"/>
              <w:rPr>
                <w:rStyle w:val="s0"/>
              </w:rPr>
            </w:pPr>
          </w:p>
          <w:p w14:paraId="25A31763" w14:textId="52760167" w:rsidR="005D70B4" w:rsidRPr="00685B75" w:rsidRDefault="001C3D07" w:rsidP="00685B75">
            <w:pPr>
              <w:pStyle w:val="pj"/>
            </w:pPr>
            <w:r w:rsidRPr="00685B75">
              <w:rPr>
                <w:rStyle w:val="s0"/>
              </w:rPr>
              <w:lastRenderedPageBreak/>
              <w:t>описание существенных изменений в виды деятельности и (или) деятельность объектов, в отношении которых ранее было выдано 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 (подпункт 4) пункта 1 статьи 65 Кодекса).</w:t>
            </w:r>
          </w:p>
        </w:tc>
        <w:tc>
          <w:tcPr>
            <w:tcW w:w="11080" w:type="dxa"/>
          </w:tcPr>
          <w:p w14:paraId="274D40CB" w14:textId="5AF4CFB7" w:rsidR="0050585F" w:rsidRDefault="0050585F" w:rsidP="0050585F">
            <w:pPr>
              <w:pStyle w:val="Default"/>
            </w:pPr>
          </w:p>
          <w:p w14:paraId="5FB5A3B9" w14:textId="465E725F" w:rsidR="00670CDD" w:rsidRDefault="00670CDD" w:rsidP="005058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рамках Лицензии №23-ML период 2026-2046 </w:t>
            </w:r>
            <w:proofErr w:type="spellStart"/>
            <w:r>
              <w:rPr>
                <w:sz w:val="23"/>
                <w:szCs w:val="23"/>
              </w:rPr>
              <w:t>г.г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r>
              <w:rPr>
                <w:sz w:val="23"/>
                <w:szCs w:val="23"/>
              </w:rPr>
              <w:t>недропользователь</w:t>
            </w:r>
            <w:proofErr w:type="spellEnd"/>
            <w:r>
              <w:rPr>
                <w:sz w:val="23"/>
                <w:szCs w:val="23"/>
              </w:rPr>
              <w:t xml:space="preserve"> - ТОО «</w:t>
            </w:r>
            <w:proofErr w:type="spellStart"/>
            <w:r>
              <w:rPr>
                <w:sz w:val="23"/>
                <w:szCs w:val="23"/>
              </w:rPr>
              <w:t>Экспоинжиниринг</w:t>
            </w:r>
            <w:proofErr w:type="spellEnd"/>
            <w:r>
              <w:rPr>
                <w:sz w:val="23"/>
                <w:szCs w:val="23"/>
              </w:rPr>
              <w:t>» - принял решение об изменении ежегодной добычи, которая планируется в следующих объемах (</w:t>
            </w:r>
            <w:proofErr w:type="gramStart"/>
            <w:r>
              <w:rPr>
                <w:sz w:val="23"/>
                <w:szCs w:val="23"/>
              </w:rPr>
              <w:t>тыс.м</w:t>
            </w:r>
            <w:proofErr w:type="gramEnd"/>
            <w:r>
              <w:rPr>
                <w:sz w:val="23"/>
                <w:szCs w:val="23"/>
              </w:rPr>
              <w:t xml:space="preserve">3): </w:t>
            </w:r>
            <w:proofErr w:type="spellStart"/>
            <w:r>
              <w:rPr>
                <w:sz w:val="23"/>
                <w:szCs w:val="23"/>
              </w:rPr>
              <w:t>min</w:t>
            </w:r>
            <w:proofErr w:type="spellEnd"/>
            <w:r>
              <w:rPr>
                <w:sz w:val="23"/>
                <w:szCs w:val="23"/>
              </w:rPr>
              <w:t xml:space="preserve"> 180,0; </w:t>
            </w:r>
            <w:proofErr w:type="spellStart"/>
            <w:r>
              <w:rPr>
                <w:sz w:val="23"/>
                <w:szCs w:val="23"/>
              </w:rPr>
              <w:t>max</w:t>
            </w:r>
            <w:proofErr w:type="spellEnd"/>
            <w:r>
              <w:rPr>
                <w:sz w:val="23"/>
                <w:szCs w:val="23"/>
              </w:rPr>
              <w:t xml:space="preserve"> – 380,0 (оставшиеся запасы – на пролонгируемый срок). </w:t>
            </w:r>
          </w:p>
          <w:p w14:paraId="6651343B" w14:textId="6CCC1B46" w:rsidR="001A51EF" w:rsidRDefault="001A51EF" w:rsidP="001A51EF">
            <w:pPr>
              <w:pStyle w:val="Default"/>
            </w:pPr>
            <w:r w:rsidRPr="001A51EF">
              <w:rPr>
                <w:b/>
                <w:bCs/>
              </w:rPr>
              <w:t xml:space="preserve">Вносимые изменения в </w:t>
            </w:r>
            <w:r w:rsidRPr="00E72B7E">
              <w:rPr>
                <w:b/>
                <w:bCs/>
              </w:rPr>
              <w:t xml:space="preserve">проект: </w:t>
            </w:r>
            <w:r w:rsidRPr="00E72B7E">
              <w:t>Увеличение объема ППС с 9737 м</w:t>
            </w:r>
            <w:r w:rsidRPr="00E72B7E">
              <w:rPr>
                <w:vertAlign w:val="superscript"/>
              </w:rPr>
              <w:t>3</w:t>
            </w:r>
            <w:r w:rsidRPr="00E72B7E">
              <w:t>/год, согласно проекта НДВ на 2024-2033 гг., до 22000 м</w:t>
            </w:r>
            <w:r w:rsidRPr="00E72B7E">
              <w:rPr>
                <w:vertAlign w:val="superscript"/>
              </w:rPr>
              <w:t>3</w:t>
            </w:r>
            <w:r w:rsidRPr="00E72B7E">
              <w:t>/год в 2026-2046гг. Увеличение объема вскрышных пород с 101506,2 м</w:t>
            </w:r>
            <w:r w:rsidRPr="00E72B7E">
              <w:rPr>
                <w:vertAlign w:val="superscript"/>
              </w:rPr>
              <w:t>3</w:t>
            </w:r>
            <w:r w:rsidRPr="00E72B7E">
              <w:t>/год, согласно проекта НДВ на 2024-2033 гг., до 228000м3/год в 2026-2046гг. Увеличение объема добычи руда с 250000 м</w:t>
            </w:r>
            <w:r w:rsidRPr="00E72B7E">
              <w:rPr>
                <w:vertAlign w:val="superscript"/>
              </w:rPr>
              <w:t>3</w:t>
            </w:r>
            <w:r w:rsidRPr="00E72B7E">
              <w:t>/год, согласно проекта НДВ на 2024-2033 гг., до 380000 м3/год в 2026-2046гг.</w:t>
            </w:r>
            <w:r w:rsidR="00E72B7E" w:rsidRPr="00E72B7E">
              <w:t xml:space="preserve"> Увеличение объема выбрасываемых загрязняющих </w:t>
            </w:r>
            <w:r w:rsidR="00E72B7E" w:rsidRPr="00222460">
              <w:t xml:space="preserve">веществ с </w:t>
            </w:r>
            <w:proofErr w:type="gramStart"/>
            <w:r w:rsidR="00E72B7E" w:rsidRPr="00222460">
              <w:t>17.5110299078  т</w:t>
            </w:r>
            <w:proofErr w:type="gramEnd"/>
            <w:r w:rsidR="00E72B7E" w:rsidRPr="00222460">
              <w:t>/год до 102.41105148 т/год.</w:t>
            </w:r>
          </w:p>
          <w:p w14:paraId="544D9F9D" w14:textId="78068246" w:rsidR="001A51EF" w:rsidRDefault="001A51EF" w:rsidP="001A51EF">
            <w:pPr>
              <w:jc w:val="both"/>
              <w:rPr>
                <w:color w:val="000000"/>
              </w:rPr>
            </w:pPr>
            <w:r>
              <w:t xml:space="preserve"> На данный момент п</w:t>
            </w:r>
            <w:r>
              <w:rPr>
                <w:sz w:val="23"/>
                <w:szCs w:val="23"/>
              </w:rPr>
              <w:t xml:space="preserve">роизводительность предприятия по добыче на Участке №1 составит 205,49 тыс. м3 товарной руды в год. По горной массе – 306,998 тыс. м3 в год. С 2026 по 2046гг планируется увеличить </w:t>
            </w:r>
            <w:r>
              <w:t>п</w:t>
            </w:r>
            <w:r>
              <w:rPr>
                <w:sz w:val="23"/>
                <w:szCs w:val="23"/>
              </w:rPr>
              <w:t xml:space="preserve">роизводительность предприятия по добыче горной массы до </w:t>
            </w:r>
            <w:r>
              <w:rPr>
                <w:color w:val="000000"/>
              </w:rPr>
              <w:t>630000 м3/год.</w:t>
            </w:r>
          </w:p>
          <w:p w14:paraId="0E65BBEF" w14:textId="1C144A7E" w:rsidR="00550E3F" w:rsidRPr="00550E3F" w:rsidRDefault="00550E3F" w:rsidP="00550E3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Ликвидация </w:t>
            </w:r>
            <w:r w:rsidR="00E72B7E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источников выбросов по </w:t>
            </w:r>
            <w:r w:rsidRPr="00961D00">
              <w:rPr>
                <w:rFonts w:eastAsiaTheme="minorHAnsi"/>
                <w:color w:val="000000"/>
              </w:rPr>
              <w:t>переработки рудных песков на обогатительной установке</w:t>
            </w:r>
            <w:r>
              <w:rPr>
                <w:rFonts w:eastAsiaTheme="minorHAnsi"/>
                <w:color w:val="000000"/>
              </w:rPr>
              <w:t xml:space="preserve"> и АЗС</w:t>
            </w:r>
            <w:r>
              <w:rPr>
                <w:color w:val="000000"/>
              </w:rPr>
              <w:t xml:space="preserve"> в связи с п</w:t>
            </w:r>
            <w:r w:rsidR="001A51EF">
              <w:rPr>
                <w:color w:val="000000"/>
              </w:rPr>
              <w:t>ередач</w:t>
            </w:r>
            <w:r>
              <w:rPr>
                <w:color w:val="000000"/>
              </w:rPr>
              <w:t>ей их</w:t>
            </w:r>
            <w:r w:rsidR="001A51E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согласно договору купли-продаже движимого имущества (основных средств) от 27.11.2024 г.:</w:t>
            </w:r>
            <w:r>
              <w:t xml:space="preserve"> </w:t>
            </w:r>
            <w:r w:rsidRPr="00550E3F">
              <w:rPr>
                <w:color w:val="000000"/>
              </w:rPr>
              <w:t>N 0010, Сушильная установка – 2 линии</w:t>
            </w:r>
          </w:p>
          <w:p w14:paraId="1DD1BC0D" w14:textId="517A85EF" w:rsidR="00550E3F" w:rsidRPr="00550E3F" w:rsidRDefault="00550E3F" w:rsidP="00550E3F">
            <w:pPr>
              <w:jc w:val="both"/>
              <w:rPr>
                <w:color w:val="000000"/>
              </w:rPr>
            </w:pPr>
            <w:r w:rsidRPr="00550E3F">
              <w:rPr>
                <w:color w:val="000000"/>
              </w:rPr>
              <w:t>N 6005, Пересыпка руды по площадке</w:t>
            </w:r>
          </w:p>
          <w:p w14:paraId="24747E51" w14:textId="64710A92" w:rsidR="00550E3F" w:rsidRPr="00550E3F" w:rsidRDefault="00550E3F" w:rsidP="00550E3F">
            <w:pPr>
              <w:jc w:val="both"/>
              <w:rPr>
                <w:color w:val="000000"/>
              </w:rPr>
            </w:pPr>
            <w:r w:rsidRPr="00550E3F">
              <w:rPr>
                <w:color w:val="000000"/>
              </w:rPr>
              <w:t xml:space="preserve">N 6006, Разгрузка в бункер </w:t>
            </w:r>
            <w:proofErr w:type="spellStart"/>
            <w:r w:rsidRPr="00550E3F">
              <w:rPr>
                <w:color w:val="000000"/>
              </w:rPr>
              <w:t>рудоприемного</w:t>
            </w:r>
            <w:proofErr w:type="spellEnd"/>
            <w:r w:rsidRPr="00550E3F">
              <w:rPr>
                <w:color w:val="000000"/>
              </w:rPr>
              <w:t xml:space="preserve"> узла</w:t>
            </w:r>
          </w:p>
          <w:p w14:paraId="4A4FE3B9" w14:textId="5FAF80B1" w:rsidR="00550E3F" w:rsidRPr="00550E3F" w:rsidRDefault="00550E3F" w:rsidP="00550E3F">
            <w:pPr>
              <w:jc w:val="both"/>
              <w:rPr>
                <w:color w:val="000000"/>
              </w:rPr>
            </w:pPr>
            <w:r w:rsidRPr="00550E3F">
              <w:rPr>
                <w:color w:val="000000"/>
              </w:rPr>
              <w:t>N 6007, Конвейер</w:t>
            </w:r>
          </w:p>
          <w:p w14:paraId="2C871BB5" w14:textId="6AE8F797" w:rsidR="00550E3F" w:rsidRPr="00550E3F" w:rsidRDefault="00550E3F" w:rsidP="00550E3F">
            <w:pPr>
              <w:jc w:val="both"/>
              <w:rPr>
                <w:color w:val="000000"/>
              </w:rPr>
            </w:pPr>
            <w:r w:rsidRPr="00550E3F">
              <w:rPr>
                <w:color w:val="000000"/>
              </w:rPr>
              <w:t>N 6008, Конвейер</w:t>
            </w:r>
          </w:p>
          <w:p w14:paraId="417FC271" w14:textId="066F4E46" w:rsidR="00550E3F" w:rsidRPr="00550E3F" w:rsidRDefault="00550E3F" w:rsidP="00550E3F">
            <w:pPr>
              <w:jc w:val="both"/>
              <w:rPr>
                <w:color w:val="000000"/>
              </w:rPr>
            </w:pPr>
            <w:r w:rsidRPr="00550E3F">
              <w:rPr>
                <w:color w:val="000000"/>
              </w:rPr>
              <w:t>N 6009, Грохот</w:t>
            </w:r>
          </w:p>
          <w:p w14:paraId="5FD22422" w14:textId="771A94FD" w:rsidR="00550E3F" w:rsidRPr="00550E3F" w:rsidRDefault="00550E3F" w:rsidP="00550E3F">
            <w:pPr>
              <w:jc w:val="both"/>
              <w:rPr>
                <w:color w:val="000000"/>
              </w:rPr>
            </w:pPr>
            <w:r w:rsidRPr="00550E3F">
              <w:rPr>
                <w:color w:val="000000"/>
              </w:rPr>
              <w:t xml:space="preserve">N 6010, Пересыпка и хранение готовой продукции в </w:t>
            </w:r>
            <w:proofErr w:type="spellStart"/>
            <w:r w:rsidRPr="00550E3F">
              <w:rPr>
                <w:color w:val="000000"/>
              </w:rPr>
              <w:t>биг</w:t>
            </w:r>
            <w:proofErr w:type="spellEnd"/>
            <w:r w:rsidRPr="00550E3F">
              <w:rPr>
                <w:color w:val="000000"/>
              </w:rPr>
              <w:t>-бегах</w:t>
            </w:r>
          </w:p>
          <w:p w14:paraId="5B5026D8" w14:textId="51D2ABA4" w:rsidR="00550E3F" w:rsidRPr="00550E3F" w:rsidRDefault="00550E3F" w:rsidP="00550E3F">
            <w:pPr>
              <w:jc w:val="both"/>
              <w:rPr>
                <w:color w:val="000000"/>
              </w:rPr>
            </w:pPr>
            <w:r w:rsidRPr="00550E3F">
              <w:rPr>
                <w:color w:val="000000"/>
              </w:rPr>
              <w:t>N 6011, Конвейер</w:t>
            </w:r>
          </w:p>
          <w:p w14:paraId="6C416ECC" w14:textId="1A0F84A1" w:rsidR="00550E3F" w:rsidRPr="00550E3F" w:rsidRDefault="00550E3F" w:rsidP="00550E3F">
            <w:pPr>
              <w:jc w:val="both"/>
              <w:rPr>
                <w:color w:val="000000"/>
              </w:rPr>
            </w:pPr>
            <w:r w:rsidRPr="00550E3F">
              <w:rPr>
                <w:color w:val="000000"/>
              </w:rPr>
              <w:t xml:space="preserve">N </w:t>
            </w:r>
            <w:proofErr w:type="gramStart"/>
            <w:r w:rsidRPr="00550E3F">
              <w:rPr>
                <w:color w:val="000000"/>
              </w:rPr>
              <w:t>6085,Сварочные</w:t>
            </w:r>
            <w:proofErr w:type="gramEnd"/>
            <w:r w:rsidRPr="00550E3F">
              <w:rPr>
                <w:color w:val="000000"/>
              </w:rPr>
              <w:t xml:space="preserve"> работы</w:t>
            </w:r>
          </w:p>
          <w:p w14:paraId="4C1AF144" w14:textId="605FC3FE" w:rsidR="00550E3F" w:rsidRPr="00550E3F" w:rsidRDefault="00550E3F" w:rsidP="00550E3F">
            <w:pPr>
              <w:jc w:val="both"/>
              <w:rPr>
                <w:color w:val="000000"/>
              </w:rPr>
            </w:pPr>
            <w:r w:rsidRPr="00550E3F">
              <w:rPr>
                <w:color w:val="000000"/>
              </w:rPr>
              <w:t xml:space="preserve">N </w:t>
            </w:r>
            <w:proofErr w:type="gramStart"/>
            <w:r w:rsidRPr="00550E3F">
              <w:rPr>
                <w:color w:val="000000"/>
              </w:rPr>
              <w:t>6086,Вертикально</w:t>
            </w:r>
            <w:proofErr w:type="gramEnd"/>
            <w:r w:rsidRPr="00550E3F">
              <w:rPr>
                <w:color w:val="000000"/>
              </w:rPr>
              <w:t>-сверлильный станок</w:t>
            </w:r>
          </w:p>
          <w:p w14:paraId="507B3367" w14:textId="54EEC741" w:rsidR="00550E3F" w:rsidRPr="00550E3F" w:rsidRDefault="00550E3F" w:rsidP="00550E3F">
            <w:pPr>
              <w:jc w:val="both"/>
              <w:rPr>
                <w:color w:val="000000"/>
              </w:rPr>
            </w:pPr>
            <w:r w:rsidRPr="00550E3F">
              <w:rPr>
                <w:color w:val="000000"/>
              </w:rPr>
              <w:t xml:space="preserve">N </w:t>
            </w:r>
            <w:proofErr w:type="gramStart"/>
            <w:r w:rsidRPr="00550E3F">
              <w:rPr>
                <w:color w:val="000000"/>
              </w:rPr>
              <w:t>6087,Заточный</w:t>
            </w:r>
            <w:proofErr w:type="gramEnd"/>
            <w:r w:rsidRPr="00550E3F">
              <w:rPr>
                <w:color w:val="000000"/>
              </w:rPr>
              <w:t xml:space="preserve"> станок</w:t>
            </w:r>
          </w:p>
          <w:p w14:paraId="5A5B9CB9" w14:textId="675EFC9A" w:rsidR="00550E3F" w:rsidRPr="00550E3F" w:rsidRDefault="00550E3F" w:rsidP="00550E3F">
            <w:pPr>
              <w:jc w:val="both"/>
              <w:rPr>
                <w:color w:val="000000"/>
              </w:rPr>
            </w:pPr>
            <w:r w:rsidRPr="00550E3F">
              <w:rPr>
                <w:color w:val="000000"/>
              </w:rPr>
              <w:t xml:space="preserve">N </w:t>
            </w:r>
            <w:proofErr w:type="gramStart"/>
            <w:r w:rsidRPr="00550E3F">
              <w:rPr>
                <w:color w:val="000000"/>
              </w:rPr>
              <w:t>6089,Лакокрасочные</w:t>
            </w:r>
            <w:proofErr w:type="gramEnd"/>
            <w:r w:rsidRPr="00550E3F">
              <w:rPr>
                <w:color w:val="000000"/>
              </w:rPr>
              <w:t xml:space="preserve"> работы</w:t>
            </w:r>
          </w:p>
          <w:p w14:paraId="0C01EF0B" w14:textId="420D80AE" w:rsidR="00550E3F" w:rsidRPr="00550E3F" w:rsidRDefault="00550E3F" w:rsidP="00550E3F">
            <w:pPr>
              <w:jc w:val="both"/>
              <w:rPr>
                <w:color w:val="000000"/>
              </w:rPr>
            </w:pPr>
            <w:r w:rsidRPr="00550E3F">
              <w:rPr>
                <w:color w:val="000000"/>
              </w:rPr>
              <w:t xml:space="preserve">N 0001, Резервуар для ДТ с учетом проливов и стеканий со стенок сливных шлангов </w:t>
            </w:r>
          </w:p>
          <w:p w14:paraId="3FD5C959" w14:textId="1B0E59CC" w:rsidR="00550E3F" w:rsidRPr="00550E3F" w:rsidRDefault="00550E3F" w:rsidP="00550E3F">
            <w:pPr>
              <w:jc w:val="both"/>
              <w:rPr>
                <w:color w:val="000000"/>
              </w:rPr>
            </w:pPr>
            <w:r w:rsidRPr="00550E3F">
              <w:rPr>
                <w:color w:val="000000"/>
              </w:rPr>
              <w:t xml:space="preserve">N 0002, Резервуар для ДТ с учетом проливов и стеканий со стенок сливных шлангов </w:t>
            </w:r>
          </w:p>
          <w:p w14:paraId="43105DFB" w14:textId="10979EA2" w:rsidR="00550E3F" w:rsidRPr="00550E3F" w:rsidRDefault="00550E3F" w:rsidP="00550E3F">
            <w:pPr>
              <w:jc w:val="both"/>
              <w:rPr>
                <w:color w:val="000000"/>
              </w:rPr>
            </w:pPr>
            <w:r w:rsidRPr="00550E3F">
              <w:rPr>
                <w:color w:val="000000"/>
              </w:rPr>
              <w:t xml:space="preserve">N 0003, Резервуар для ДТ с учетом проливов и стеканий со стенок сливных шлангов </w:t>
            </w:r>
          </w:p>
          <w:p w14:paraId="1C355955" w14:textId="23AD772F" w:rsidR="00550E3F" w:rsidRPr="00550E3F" w:rsidRDefault="00550E3F" w:rsidP="00550E3F">
            <w:pPr>
              <w:jc w:val="both"/>
              <w:rPr>
                <w:color w:val="000000"/>
              </w:rPr>
            </w:pPr>
            <w:r w:rsidRPr="00550E3F">
              <w:rPr>
                <w:color w:val="000000"/>
              </w:rPr>
              <w:t xml:space="preserve">N 0009, Резервуар для д/т с учетом проливов и стеканий со стенок сливных шлангов </w:t>
            </w:r>
          </w:p>
          <w:p w14:paraId="2D391B92" w14:textId="50C200BE" w:rsidR="00550E3F" w:rsidRPr="00550E3F" w:rsidRDefault="00550E3F" w:rsidP="00550E3F">
            <w:pPr>
              <w:jc w:val="both"/>
              <w:rPr>
                <w:color w:val="000000"/>
              </w:rPr>
            </w:pPr>
            <w:r w:rsidRPr="00550E3F">
              <w:rPr>
                <w:color w:val="000000"/>
              </w:rPr>
              <w:t>N 0011, Емкости для хранения сжиженного газа</w:t>
            </w:r>
          </w:p>
          <w:p w14:paraId="6DFF507A" w14:textId="3DA35B7B" w:rsidR="00550E3F" w:rsidRPr="00550E3F" w:rsidRDefault="00550E3F" w:rsidP="00550E3F">
            <w:pPr>
              <w:jc w:val="both"/>
              <w:rPr>
                <w:color w:val="000000"/>
              </w:rPr>
            </w:pPr>
            <w:r w:rsidRPr="00550E3F">
              <w:rPr>
                <w:color w:val="000000"/>
              </w:rPr>
              <w:t>N 6092, ТРК ДТ</w:t>
            </w:r>
          </w:p>
          <w:p w14:paraId="2404C8C1" w14:textId="3EF94B16" w:rsidR="00550E3F" w:rsidRPr="00550E3F" w:rsidRDefault="00550E3F" w:rsidP="00550E3F">
            <w:pPr>
              <w:jc w:val="both"/>
              <w:rPr>
                <w:color w:val="000000"/>
              </w:rPr>
            </w:pPr>
            <w:r w:rsidRPr="00550E3F">
              <w:rPr>
                <w:color w:val="000000"/>
              </w:rPr>
              <w:t>N 6093, Насос для перекачки сжиженного газа</w:t>
            </w:r>
          </w:p>
          <w:p w14:paraId="193B41BC" w14:textId="7CC256D1" w:rsidR="001A51EF" w:rsidRPr="00AF65E5" w:rsidRDefault="00550E3F" w:rsidP="00550E3F">
            <w:pPr>
              <w:jc w:val="both"/>
              <w:rPr>
                <w:highlight w:val="yellow"/>
              </w:rPr>
            </w:pPr>
            <w:r w:rsidRPr="00550E3F">
              <w:rPr>
                <w:color w:val="000000"/>
              </w:rPr>
              <w:t xml:space="preserve">N 6094, ТРК СУГ </w:t>
            </w:r>
          </w:p>
          <w:p w14:paraId="7BA77AAE" w14:textId="77777777" w:rsidR="00550E3F" w:rsidRDefault="00550E3F" w:rsidP="003825B4">
            <w:pPr>
              <w:jc w:val="both"/>
            </w:pPr>
          </w:p>
          <w:p w14:paraId="0327EDEC" w14:textId="77777777" w:rsidR="00550E3F" w:rsidRDefault="00550E3F" w:rsidP="003825B4">
            <w:pPr>
              <w:jc w:val="both"/>
            </w:pPr>
          </w:p>
          <w:p w14:paraId="73C49CB2" w14:textId="631A4DCF" w:rsidR="00202EAA" w:rsidRPr="00AF65E5" w:rsidRDefault="00202EAA" w:rsidP="003825B4">
            <w:pPr>
              <w:jc w:val="both"/>
              <w:rPr>
                <w:highlight w:val="yellow"/>
              </w:rPr>
            </w:pPr>
            <w:r>
              <w:lastRenderedPageBreak/>
              <w:t xml:space="preserve">Ранее </w:t>
            </w:r>
            <w:r w:rsidRPr="00685B75">
              <w:rPr>
                <w:rStyle w:val="s0"/>
              </w:rPr>
              <w:t>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</w:t>
            </w:r>
            <w:r>
              <w:rPr>
                <w:rStyle w:val="s0"/>
              </w:rPr>
              <w:t xml:space="preserve"> не получалось.</w:t>
            </w:r>
          </w:p>
        </w:tc>
      </w:tr>
      <w:tr w:rsidR="005D70B4" w:rsidRPr="00685B75" w14:paraId="11F41D5D" w14:textId="77777777" w:rsidTr="00B77C8C">
        <w:trPr>
          <w:jc w:val="center"/>
        </w:trPr>
        <w:tc>
          <w:tcPr>
            <w:tcW w:w="4508" w:type="dxa"/>
          </w:tcPr>
          <w:p w14:paraId="6C5CEB36" w14:textId="3B40A11C" w:rsidR="005D70B4" w:rsidRPr="00685B75" w:rsidRDefault="001C3D07" w:rsidP="00685B75">
            <w:pPr>
              <w:pStyle w:val="pj"/>
              <w:ind w:firstLine="0"/>
            </w:pPr>
            <w:r w:rsidRPr="00685B75">
              <w:rPr>
                <w:rStyle w:val="s0"/>
              </w:rPr>
              <w:lastRenderedPageBreak/>
              <w:t xml:space="preserve">4. Сведения о предполагаемом месте осуществления намечаемой деятельности, </w:t>
            </w:r>
            <w:r w:rsidRPr="002D7E5F">
              <w:rPr>
                <w:rStyle w:val="s0"/>
              </w:rPr>
              <w:t>обоснование выбора места и возможностях выбора других мест.</w:t>
            </w:r>
          </w:p>
        </w:tc>
        <w:tc>
          <w:tcPr>
            <w:tcW w:w="11080" w:type="dxa"/>
          </w:tcPr>
          <w:p w14:paraId="628F87C4" w14:textId="176B8A98" w:rsidR="001A51EF" w:rsidRPr="000D0D30" w:rsidRDefault="001A51EF" w:rsidP="001A51EF">
            <w:pPr>
              <w:pStyle w:val="21"/>
              <w:spacing w:after="0" w:line="240" w:lineRule="auto"/>
              <w:ind w:firstLine="709"/>
              <w:contextualSpacing/>
            </w:pPr>
            <w:r w:rsidRPr="000D0D30">
              <w:t xml:space="preserve">Месторождение </w:t>
            </w:r>
            <w:proofErr w:type="spellStart"/>
            <w:r w:rsidRPr="000D0D30">
              <w:t>Шокаш</w:t>
            </w:r>
            <w:proofErr w:type="spellEnd"/>
            <w:r w:rsidRPr="000D0D30">
              <w:t xml:space="preserve"> находится в </w:t>
            </w:r>
            <w:proofErr w:type="spellStart"/>
            <w:r w:rsidRPr="000D0D30">
              <w:t>Мартукском</w:t>
            </w:r>
            <w:proofErr w:type="spellEnd"/>
            <w:r w:rsidRPr="000D0D30">
              <w:t xml:space="preserve"> районе Актюбинской области, в 110 километрах к северо-западу от областного центра -  г. </w:t>
            </w:r>
            <w:proofErr w:type="spellStart"/>
            <w:proofErr w:type="gramStart"/>
            <w:r w:rsidRPr="000D0D30">
              <w:t>Актобе</w:t>
            </w:r>
            <w:proofErr w:type="spellEnd"/>
            <w:r w:rsidRPr="000D0D30">
              <w:t xml:space="preserve"> .</w:t>
            </w:r>
            <w:proofErr w:type="gramEnd"/>
          </w:p>
          <w:p w14:paraId="37585221" w14:textId="77777777" w:rsidR="001A51EF" w:rsidRPr="000D0D30" w:rsidRDefault="001A51EF" w:rsidP="001A51EF">
            <w:pPr>
              <w:pStyle w:val="21"/>
              <w:spacing w:after="0" w:line="240" w:lineRule="auto"/>
              <w:ind w:firstLine="709"/>
              <w:contextualSpacing/>
            </w:pPr>
            <w:r w:rsidRPr="000D0D30">
              <w:t xml:space="preserve">В географическом отношении территория работ и месторождения расположена на водоразделе двух речных систем - Илек и Большая </w:t>
            </w:r>
            <w:proofErr w:type="spellStart"/>
            <w:r w:rsidRPr="000D0D30">
              <w:t>Хобда</w:t>
            </w:r>
            <w:proofErr w:type="spellEnd"/>
            <w:r w:rsidRPr="000D0D30">
              <w:t xml:space="preserve">. Это в значительной степени обусловило характер рельефа поверхности. Северная часть территории района наклонена на север, являясь составляющей водосборной площади р. Илек, южная на юг, в направлении р. Кара - </w:t>
            </w:r>
            <w:proofErr w:type="spellStart"/>
            <w:r w:rsidRPr="000D0D30">
              <w:t>Хобда</w:t>
            </w:r>
            <w:proofErr w:type="spellEnd"/>
            <w:r w:rsidRPr="000D0D30">
              <w:t xml:space="preserve">, притока р. Б. </w:t>
            </w:r>
            <w:proofErr w:type="spellStart"/>
            <w:r w:rsidRPr="000D0D30">
              <w:t>Хобда</w:t>
            </w:r>
            <w:proofErr w:type="spellEnd"/>
            <w:r w:rsidRPr="000D0D30">
              <w:t>.</w:t>
            </w:r>
          </w:p>
          <w:p w14:paraId="5253935B" w14:textId="77777777" w:rsidR="001A51EF" w:rsidRPr="000D0D30" w:rsidRDefault="001A51EF" w:rsidP="001A51EF">
            <w:pPr>
              <w:pStyle w:val="21"/>
              <w:spacing w:after="0" w:line="240" w:lineRule="auto"/>
              <w:ind w:firstLine="709"/>
              <w:contextualSpacing/>
            </w:pPr>
            <w:r w:rsidRPr="000D0D30">
              <w:t xml:space="preserve">Такая же закономерность в направлении уклона поверхности характерна и для территории месторождения </w:t>
            </w:r>
            <w:proofErr w:type="spellStart"/>
            <w:r w:rsidRPr="000D0D30">
              <w:t>Шокаш</w:t>
            </w:r>
            <w:proofErr w:type="spellEnd"/>
            <w:r w:rsidRPr="000D0D30">
              <w:t xml:space="preserve">. Основная часть площади месторождения, ориентированного в </w:t>
            </w:r>
            <w:proofErr w:type="spellStart"/>
            <w:r w:rsidRPr="000D0D30">
              <w:t>субмеридиональном</w:t>
            </w:r>
            <w:proofErr w:type="spellEnd"/>
            <w:r w:rsidRPr="000D0D30">
              <w:t xml:space="preserve"> направлении и приуроченного к песчаной линзе </w:t>
            </w:r>
            <w:proofErr w:type="spellStart"/>
            <w:r w:rsidRPr="000D0D30">
              <w:t>булдуртинской</w:t>
            </w:r>
            <w:proofErr w:type="spellEnd"/>
            <w:r w:rsidRPr="000D0D30">
              <w:t xml:space="preserve"> свиты, полого наклонена на ЮЮВ, в сторону местного базиса эрозии, совпадающего с линией разлома </w:t>
            </w:r>
            <w:proofErr w:type="spellStart"/>
            <w:r w:rsidRPr="000D0D30">
              <w:t>северо</w:t>
            </w:r>
            <w:proofErr w:type="spellEnd"/>
            <w:r w:rsidRPr="000D0D30">
              <w:t xml:space="preserve"> - восточного простирания. К юго-востоку от разлома рельеф имеет уклон уже в </w:t>
            </w:r>
            <w:proofErr w:type="spellStart"/>
            <w:r w:rsidRPr="000D0D30">
              <w:t>северо</w:t>
            </w:r>
            <w:proofErr w:type="spellEnd"/>
            <w:r w:rsidRPr="000D0D30">
              <w:t xml:space="preserve"> – западном направлении. Поверхность северной части песчаной линзы наклонена на север, в сторону притоков р. Аксу.</w:t>
            </w:r>
          </w:p>
          <w:p w14:paraId="6B48DBF4" w14:textId="77777777" w:rsidR="001A51EF" w:rsidRPr="000D0D30" w:rsidRDefault="001A51EF" w:rsidP="001A51EF">
            <w:pPr>
              <w:pStyle w:val="21"/>
              <w:spacing w:after="0" w:line="240" w:lineRule="auto"/>
              <w:ind w:firstLine="709"/>
              <w:contextualSpacing/>
            </w:pPr>
            <w:r w:rsidRPr="000D0D30">
              <w:t>Географические координаты центра месторождения: 56° 17’в.д. и 50°24’с.ш.</w:t>
            </w:r>
          </w:p>
          <w:p w14:paraId="652B0DEF" w14:textId="77777777" w:rsidR="001A51EF" w:rsidRPr="000D0D30" w:rsidRDefault="001A51EF" w:rsidP="001A51EF">
            <w:pPr>
              <w:pStyle w:val="21"/>
              <w:spacing w:after="0" w:line="240" w:lineRule="auto"/>
              <w:ind w:firstLine="709"/>
              <w:contextualSpacing/>
            </w:pPr>
            <w:r w:rsidRPr="000D0D30">
              <w:t xml:space="preserve">От ближайшей железнодорожной станции </w:t>
            </w:r>
            <w:proofErr w:type="spellStart"/>
            <w:r w:rsidRPr="000D0D30">
              <w:t>Мартук</w:t>
            </w:r>
            <w:proofErr w:type="spellEnd"/>
            <w:r w:rsidRPr="000D0D30">
              <w:t xml:space="preserve"> месторождение находится на расстоянии 55 км к юго-западу. Из них 30 км с асфальтовым покрытием (</w:t>
            </w:r>
            <w:proofErr w:type="spellStart"/>
            <w:r w:rsidRPr="000D0D30">
              <w:t>Мартук-Ефремовка</w:t>
            </w:r>
            <w:proofErr w:type="spellEnd"/>
            <w:r w:rsidRPr="000D0D30">
              <w:t xml:space="preserve">), остальная часть (25 км) имеет щебеночное покрытие. В 15 км северо-западнее месторождения проходит асфальтированное шоссе </w:t>
            </w:r>
            <w:proofErr w:type="spellStart"/>
            <w:r w:rsidRPr="000D0D30">
              <w:t>Мартук</w:t>
            </w:r>
            <w:proofErr w:type="spellEnd"/>
            <w:r w:rsidRPr="000D0D30">
              <w:t>-Новоалексеевка. Дороги проходимы для грузового автотранспорта круглогодично, исключая отдельные зимние дни снежных заносов.</w:t>
            </w:r>
          </w:p>
          <w:p w14:paraId="3FC2720D" w14:textId="77777777" w:rsidR="001A51EF" w:rsidRPr="000D0D30" w:rsidRDefault="001A51EF" w:rsidP="001A51EF">
            <w:pPr>
              <w:pStyle w:val="21"/>
              <w:spacing w:after="0" w:line="240" w:lineRule="auto"/>
              <w:ind w:firstLine="709"/>
              <w:contextualSpacing/>
            </w:pPr>
            <w:r w:rsidRPr="000D0D30">
              <w:t xml:space="preserve">Ближайшими населенными пунктами являются поселки Степановка, </w:t>
            </w:r>
            <w:proofErr w:type="spellStart"/>
            <w:r w:rsidRPr="000D0D30">
              <w:t>Шайда</w:t>
            </w:r>
            <w:proofErr w:type="spellEnd"/>
            <w:r w:rsidRPr="000D0D30">
              <w:t>, отстоящие от месторождения на 15 и 6 км соответственно.</w:t>
            </w:r>
          </w:p>
          <w:p w14:paraId="646356CD" w14:textId="77777777" w:rsidR="009C33F8" w:rsidRDefault="001A51EF" w:rsidP="001A51EF">
            <w:pPr>
              <w:pStyle w:val="21"/>
              <w:spacing w:after="0" w:line="240" w:lineRule="auto"/>
              <w:ind w:firstLine="709"/>
              <w:contextualSpacing/>
            </w:pPr>
            <w:r w:rsidRPr="000D0D30">
              <w:t xml:space="preserve">Непосредственно через месторождение проходит грейдерная дорога с. Степановка - п. </w:t>
            </w:r>
            <w:proofErr w:type="spellStart"/>
            <w:r w:rsidRPr="000D0D30">
              <w:t>Шайда</w:t>
            </w:r>
            <w:proofErr w:type="spellEnd"/>
            <w:r w:rsidRPr="000D0D30">
              <w:t>. Площадь месторождения 5,5 км</w:t>
            </w:r>
            <w:r w:rsidRPr="000D0D30">
              <w:rPr>
                <w:vertAlign w:val="superscript"/>
              </w:rPr>
              <w:t>2</w:t>
            </w:r>
            <w:r w:rsidRPr="000D0D30">
              <w:t>.</w:t>
            </w:r>
          </w:p>
          <w:p w14:paraId="205A4A34" w14:textId="77777777" w:rsidR="00550E3F" w:rsidRDefault="00550E3F" w:rsidP="00550E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Район месторождения достаточно обеспечен электроэнергией и располагает на месте следующими источниками энергоснабжения: </w:t>
            </w:r>
          </w:p>
          <w:p w14:paraId="42DD5F51" w14:textId="77777777" w:rsidR="00550E3F" w:rsidRDefault="00550E3F" w:rsidP="00550E3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Одноцепная</w:t>
            </w:r>
            <w:proofErr w:type="spellEnd"/>
            <w:r>
              <w:rPr>
                <w:sz w:val="23"/>
                <w:szCs w:val="23"/>
              </w:rPr>
              <w:t xml:space="preserve"> ВЛ-35 </w:t>
            </w:r>
            <w:proofErr w:type="spellStart"/>
            <w:r>
              <w:rPr>
                <w:sz w:val="23"/>
                <w:szCs w:val="23"/>
              </w:rPr>
              <w:t>кВ</w:t>
            </w:r>
            <w:proofErr w:type="spellEnd"/>
            <w:r>
              <w:rPr>
                <w:sz w:val="23"/>
                <w:szCs w:val="23"/>
              </w:rPr>
              <w:t xml:space="preserve"> с </w:t>
            </w:r>
            <w:proofErr w:type="spellStart"/>
            <w:r>
              <w:rPr>
                <w:sz w:val="23"/>
                <w:szCs w:val="23"/>
              </w:rPr>
              <w:t>подстацией</w:t>
            </w:r>
            <w:proofErr w:type="spellEnd"/>
            <w:r>
              <w:rPr>
                <w:sz w:val="23"/>
                <w:szCs w:val="23"/>
              </w:rPr>
              <w:t xml:space="preserve"> в селе </w:t>
            </w:r>
            <w:proofErr w:type="spellStart"/>
            <w:r>
              <w:rPr>
                <w:sz w:val="23"/>
                <w:szCs w:val="23"/>
              </w:rPr>
              <w:t>Курмансай</w:t>
            </w:r>
            <w:proofErr w:type="spellEnd"/>
            <w:r>
              <w:rPr>
                <w:sz w:val="23"/>
                <w:szCs w:val="23"/>
              </w:rPr>
              <w:t xml:space="preserve"> – это в 15 км от месторождения; </w:t>
            </w:r>
          </w:p>
          <w:p w14:paraId="419E89A2" w14:textId="77777777" w:rsidR="00550E3F" w:rsidRDefault="00550E3F" w:rsidP="00550E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ПС 110 </w:t>
            </w:r>
            <w:proofErr w:type="spellStart"/>
            <w:r>
              <w:rPr>
                <w:sz w:val="23"/>
                <w:szCs w:val="23"/>
              </w:rPr>
              <w:t>кВ</w:t>
            </w:r>
            <w:proofErr w:type="spellEnd"/>
            <w:r>
              <w:rPr>
                <w:sz w:val="23"/>
                <w:szCs w:val="23"/>
              </w:rPr>
              <w:t xml:space="preserve"> «Прогресс», расположенная в 40 км к юго-востоку от месторождения; </w:t>
            </w:r>
          </w:p>
          <w:p w14:paraId="7A12D235" w14:textId="77777777" w:rsidR="00550E3F" w:rsidRDefault="00550E3F" w:rsidP="00550E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одноцепная</w:t>
            </w:r>
            <w:proofErr w:type="spellEnd"/>
            <w:r>
              <w:rPr>
                <w:sz w:val="23"/>
                <w:szCs w:val="23"/>
              </w:rPr>
              <w:t xml:space="preserve"> ВЛ-35, проходящая в 15 км северо-западнее месторождения; </w:t>
            </w:r>
          </w:p>
          <w:p w14:paraId="3F172A99" w14:textId="77777777" w:rsidR="00550E3F" w:rsidRDefault="00550E3F" w:rsidP="00550E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одноцепная</w:t>
            </w:r>
            <w:proofErr w:type="spellEnd"/>
            <w:r>
              <w:rPr>
                <w:sz w:val="23"/>
                <w:szCs w:val="23"/>
              </w:rPr>
              <w:t xml:space="preserve"> ВЛ-10 </w:t>
            </w:r>
            <w:proofErr w:type="spellStart"/>
            <w:r>
              <w:rPr>
                <w:sz w:val="23"/>
                <w:szCs w:val="23"/>
              </w:rPr>
              <w:t>кВ</w:t>
            </w:r>
            <w:proofErr w:type="spellEnd"/>
            <w:r>
              <w:rPr>
                <w:sz w:val="23"/>
                <w:szCs w:val="23"/>
              </w:rPr>
              <w:t xml:space="preserve">, проходящая через северный фланг месторождения. </w:t>
            </w:r>
          </w:p>
          <w:p w14:paraId="76CA066C" w14:textId="77777777" w:rsidR="00550E3F" w:rsidRDefault="00550E3F" w:rsidP="00550E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 3 км севернее месторождения проходит ЛЭП-10 </w:t>
            </w:r>
            <w:proofErr w:type="spellStart"/>
            <w:r>
              <w:rPr>
                <w:sz w:val="23"/>
                <w:szCs w:val="23"/>
              </w:rPr>
              <w:t>кВ</w:t>
            </w:r>
            <w:proofErr w:type="spellEnd"/>
            <w:r>
              <w:rPr>
                <w:sz w:val="23"/>
                <w:szCs w:val="23"/>
              </w:rPr>
              <w:t xml:space="preserve">, соединяющая ПС пунктов </w:t>
            </w:r>
            <w:proofErr w:type="spellStart"/>
            <w:r>
              <w:rPr>
                <w:sz w:val="23"/>
                <w:szCs w:val="23"/>
              </w:rPr>
              <w:t>Курмансай</w:t>
            </w:r>
            <w:proofErr w:type="spellEnd"/>
            <w:r>
              <w:rPr>
                <w:sz w:val="23"/>
                <w:szCs w:val="23"/>
              </w:rPr>
              <w:t xml:space="preserve"> и </w:t>
            </w:r>
            <w:proofErr w:type="spellStart"/>
            <w:r>
              <w:rPr>
                <w:sz w:val="23"/>
                <w:szCs w:val="23"/>
              </w:rPr>
              <w:t>Горноводского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</w:p>
          <w:p w14:paraId="3F654B14" w14:textId="77777777" w:rsidR="00550E3F" w:rsidRDefault="00550E3F" w:rsidP="00550E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Лесные, строительные материалы и топливо в данном районе отсутствуют. </w:t>
            </w:r>
          </w:p>
          <w:p w14:paraId="3BD9147F" w14:textId="2BFE2332" w:rsidR="00550E3F" w:rsidRPr="00AF65E5" w:rsidRDefault="00550E3F" w:rsidP="00550E3F">
            <w:pPr>
              <w:pStyle w:val="21"/>
              <w:spacing w:after="0" w:line="240" w:lineRule="auto"/>
              <w:ind w:firstLine="709"/>
              <w:contextualSpacing/>
            </w:pPr>
            <w:r>
              <w:rPr>
                <w:sz w:val="23"/>
                <w:szCs w:val="23"/>
              </w:rPr>
              <w:t xml:space="preserve">Потребность в хозяйственно-питьевой и технической воде может быть удовлетворена за счет использования на участке месторождения подземных вод среднеюрского и </w:t>
            </w:r>
            <w:proofErr w:type="spellStart"/>
            <w:r>
              <w:rPr>
                <w:sz w:val="23"/>
                <w:szCs w:val="23"/>
              </w:rPr>
              <w:t>альбсеноманского</w:t>
            </w:r>
            <w:proofErr w:type="spellEnd"/>
            <w:r>
              <w:rPr>
                <w:sz w:val="23"/>
                <w:szCs w:val="23"/>
              </w:rPr>
              <w:t xml:space="preserve"> горизонтов, а также дренажных вод рудоносной толщи при осушении карьера.</w:t>
            </w:r>
          </w:p>
        </w:tc>
      </w:tr>
      <w:tr w:rsidR="005D70B4" w:rsidRPr="00685B75" w14:paraId="04FCF047" w14:textId="77777777" w:rsidTr="00B77C8C">
        <w:trPr>
          <w:jc w:val="center"/>
        </w:trPr>
        <w:tc>
          <w:tcPr>
            <w:tcW w:w="4508" w:type="dxa"/>
          </w:tcPr>
          <w:p w14:paraId="5D17285D" w14:textId="77777777" w:rsidR="005D70B4" w:rsidRPr="00D712A8" w:rsidRDefault="001C3D07" w:rsidP="00685B75">
            <w:pPr>
              <w:pStyle w:val="pj"/>
              <w:ind w:firstLine="0"/>
            </w:pPr>
            <w:r w:rsidRPr="00D712A8">
              <w:rPr>
                <w:rStyle w:val="s0"/>
              </w:rPr>
              <w:lastRenderedPageBreak/>
              <w:t>5. Общие предполагаемые технические характеристики намечаемой деятельности, включая мощность (производительность) объекта, его предполагаемые размеры, характеристику продукции.</w:t>
            </w:r>
          </w:p>
        </w:tc>
        <w:tc>
          <w:tcPr>
            <w:tcW w:w="11080" w:type="dxa"/>
          </w:tcPr>
          <w:p w14:paraId="5EDAA51B" w14:textId="759BE23B" w:rsidR="003D4482" w:rsidRPr="00CB068E" w:rsidRDefault="00550E3F" w:rsidP="0055136B">
            <w:pPr>
              <w:pStyle w:val="a7"/>
              <w:widowControl w:val="0"/>
              <w:suppressLineNumbers/>
              <w:suppressAutoHyphens/>
              <w:overflowPunct w:val="0"/>
              <w:autoSpaceDE w:val="0"/>
              <w:autoSpaceDN w:val="0"/>
              <w:adjustRightInd w:val="0"/>
              <w:spacing w:after="0"/>
              <w:ind w:left="0" w:right="-1" w:firstLine="0"/>
              <w:contextualSpacing/>
            </w:pPr>
            <w:r w:rsidRPr="00CB068E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месторождения начато в 2000 годах, т.е. этап горно-строительных работ пройден, в лицензионный срок будет продолжен этап горно-капитальных работ с параллельным проведением добычных работ. Участок 1 месторождения </w:t>
            </w:r>
            <w:proofErr w:type="spellStart"/>
            <w:r w:rsidRPr="00CB068E">
              <w:rPr>
                <w:rFonts w:ascii="Times New Roman" w:hAnsi="Times New Roman" w:cs="Times New Roman"/>
                <w:sz w:val="24"/>
                <w:szCs w:val="24"/>
              </w:rPr>
              <w:t>Шокаш</w:t>
            </w:r>
            <w:proofErr w:type="spellEnd"/>
            <w:r w:rsidRPr="00CB068E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 в центральной части, разработка в лицензионный срок продолжится в северном и южном направлениях.</w:t>
            </w:r>
            <w:r w:rsidR="00551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8E">
              <w:rPr>
                <w:rFonts w:ascii="Times New Roman" w:hAnsi="Times New Roman" w:cs="Times New Roman"/>
                <w:sz w:val="24"/>
                <w:szCs w:val="24"/>
              </w:rPr>
              <w:t xml:space="preserve">Добычные работы на месторождении продолжатся по ранее проводимой методике:- намечается и обозначается на плане и местности участок для годовой разработки с запасами, рассчитанными календарным планом работ;- система разработки карьера поперечная;- подготовка фронта работ осуществляется проведением разрезной траншеи </w:t>
            </w:r>
            <w:proofErr w:type="spellStart"/>
            <w:r w:rsidRPr="00CB068E">
              <w:rPr>
                <w:rFonts w:ascii="Times New Roman" w:hAnsi="Times New Roman" w:cs="Times New Roman"/>
                <w:sz w:val="24"/>
                <w:szCs w:val="24"/>
              </w:rPr>
              <w:t>вкрест</w:t>
            </w:r>
            <w:proofErr w:type="spellEnd"/>
            <w:r w:rsidRPr="00CB068E">
              <w:rPr>
                <w:rFonts w:ascii="Times New Roman" w:hAnsi="Times New Roman" w:cs="Times New Roman"/>
                <w:sz w:val="24"/>
                <w:szCs w:val="24"/>
              </w:rPr>
              <w:t xml:space="preserve"> простирания залежи;</w:t>
            </w:r>
            <w:r w:rsidR="00551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068E">
              <w:rPr>
                <w:rFonts w:ascii="Times New Roman" w:hAnsi="Times New Roman" w:cs="Times New Roman"/>
                <w:sz w:val="24"/>
                <w:szCs w:val="24"/>
              </w:rPr>
              <w:t xml:space="preserve">добычные и вскрышные работы производятся продольными </w:t>
            </w:r>
            <w:proofErr w:type="spellStart"/>
            <w:r w:rsidRPr="00CB068E">
              <w:rPr>
                <w:rFonts w:ascii="Times New Roman" w:hAnsi="Times New Roman" w:cs="Times New Roman"/>
                <w:sz w:val="24"/>
                <w:szCs w:val="24"/>
              </w:rPr>
              <w:t>заходками</w:t>
            </w:r>
            <w:proofErr w:type="spellEnd"/>
            <w:r w:rsidRPr="00CB068E">
              <w:rPr>
                <w:rFonts w:ascii="Times New Roman" w:hAnsi="Times New Roman" w:cs="Times New Roman"/>
                <w:sz w:val="24"/>
                <w:szCs w:val="24"/>
              </w:rPr>
              <w:t xml:space="preserve">;- транспортировка полезной </w:t>
            </w:r>
            <w:proofErr w:type="spellStart"/>
            <w:r w:rsidRPr="00CB068E">
              <w:rPr>
                <w:rFonts w:ascii="Times New Roman" w:hAnsi="Times New Roman" w:cs="Times New Roman"/>
                <w:sz w:val="24"/>
                <w:szCs w:val="24"/>
              </w:rPr>
              <w:t>толши</w:t>
            </w:r>
            <w:proofErr w:type="spellEnd"/>
            <w:r w:rsidRPr="00CB068E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производится на обогатительной фабрике, где производится переработка и обогащение руды, с отделением хвостов; транспортировка вскрышных пород производится на свободные от добычных работ площадки – это временные внутренние отвалы;- изначально хвосты  с рудного склада, затем вскрышные породы с внутреннего отвала перемещаются в отработанное пространство (внутреннее </w:t>
            </w:r>
            <w:proofErr w:type="spellStart"/>
            <w:r w:rsidRPr="00CB068E">
              <w:rPr>
                <w:rFonts w:ascii="Times New Roman" w:hAnsi="Times New Roman" w:cs="Times New Roman"/>
                <w:sz w:val="24"/>
                <w:szCs w:val="24"/>
              </w:rPr>
              <w:t>отвалообразование</w:t>
            </w:r>
            <w:proofErr w:type="spellEnd"/>
            <w:r w:rsidRPr="00CB068E">
              <w:rPr>
                <w:rFonts w:ascii="Times New Roman" w:hAnsi="Times New Roman" w:cs="Times New Roman"/>
                <w:sz w:val="24"/>
                <w:szCs w:val="24"/>
              </w:rPr>
              <w:t xml:space="preserve">).  Площадь Участка №1 согласно Лицензии №23-ML составляет 5,331 </w:t>
            </w:r>
            <w:proofErr w:type="spellStart"/>
            <w:r w:rsidRPr="00CB068E">
              <w:rPr>
                <w:rFonts w:ascii="Times New Roman" w:hAnsi="Times New Roman" w:cs="Times New Roman"/>
                <w:sz w:val="24"/>
                <w:szCs w:val="24"/>
              </w:rPr>
              <w:t>кв.км</w:t>
            </w:r>
            <w:proofErr w:type="spellEnd"/>
            <w:r w:rsidR="00551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068E" w:rsidRPr="00CB068E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55136B">
              <w:rPr>
                <w:rFonts w:ascii="Times New Roman" w:hAnsi="Times New Roman" w:cs="Times New Roman"/>
                <w:sz w:val="24"/>
                <w:szCs w:val="24"/>
              </w:rPr>
              <w:t xml:space="preserve">ТЗ </w:t>
            </w:r>
            <w:r w:rsidR="00CB068E" w:rsidRPr="00CB068E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в оставшийся Лицензионный срок (2026–2046 гг.) производить промышленную ежегодную добычу титан-циркониевого песка в объеме (тыс.м3) - от 180,0 до 380,0 - вероятных минеральных </w:t>
            </w:r>
            <w:proofErr w:type="spellStart"/>
            <w:r w:rsidR="00CB068E" w:rsidRPr="00CB068E">
              <w:rPr>
                <w:rFonts w:ascii="Times New Roman" w:hAnsi="Times New Roman" w:cs="Times New Roman"/>
                <w:sz w:val="24"/>
                <w:szCs w:val="24"/>
              </w:rPr>
              <w:t>запасов.</w:t>
            </w:r>
            <w:r w:rsidR="00CB068E" w:rsidRPr="00CB068E">
              <w:t>На</w:t>
            </w:r>
            <w:proofErr w:type="spellEnd"/>
            <w:r w:rsidR="00CB068E" w:rsidRPr="00CB068E">
              <w:t xml:space="preserve"> момент проектирования (конец 2025 года) площадь запасов Участка 1 месторождения </w:t>
            </w:r>
            <w:proofErr w:type="spellStart"/>
            <w:r w:rsidR="00CB068E" w:rsidRPr="00CB068E">
              <w:t>Шокаш</w:t>
            </w:r>
            <w:proofErr w:type="spellEnd"/>
            <w:r w:rsidR="00CB068E" w:rsidRPr="00CB068E">
              <w:t xml:space="preserve"> представляет собой: вытянутую в северо-западном направлении полосу, суженную до 250 м в северном южном окончаниях и имеющую как-бы раздув до</w:t>
            </w:r>
            <w:r w:rsidR="00CB068E">
              <w:t xml:space="preserve"> 875-1125 м в центральной части</w:t>
            </w:r>
            <w:r w:rsidR="00CB068E" w:rsidRPr="00CB068E">
              <w:t xml:space="preserve">; карьерную выемку, расположенную практически в центральной части Участка 1, которая примыкает к восточному борту и имеет вид неправильного прямоугольника с размерами: на севере 450 м, на юге до 625 м, при ширине 250 -875; площадь по поверхности отработанного карьера составляет 438500,0 м2 и измерена в программе </w:t>
            </w:r>
            <w:proofErr w:type="spellStart"/>
            <w:r w:rsidR="00CB068E" w:rsidRPr="00CB068E">
              <w:t>MapInfo</w:t>
            </w:r>
            <w:proofErr w:type="spellEnd"/>
            <w:r w:rsidR="00CB068E" w:rsidRPr="00CB068E">
              <w:t>. Площадь всех подсчитанных запасов составляет 2 654 643,0 м2, из них: - два участка выявленных запасов составляют (216965,0,0+60628,</w:t>
            </w:r>
            <w:proofErr w:type="gramStart"/>
            <w:r w:rsidR="00CB068E" w:rsidRPr="00CB068E">
              <w:t>0)=</w:t>
            </w:r>
            <w:proofErr w:type="gramEnd"/>
            <w:r w:rsidR="00CB068E" w:rsidRPr="00CB068E">
              <w:t xml:space="preserve">277593,0 м2; - участок отработанных – 387200,0 м2; - участок вероятных запасов – (2 654 643,0 – 277593,0 – 387200,0) = 1 989 850 м3. В пределах участка вероятных запасов мощности пород колеблются: вскрышных - от 0 до 10,9 м; в среднем на площади вероятных запасов вскрышные породы составляют 2,57 м; полезная толща варьирует в пределах от 0,60 м до 6,8 м, в среднем составляя 3,81 м. Объем вскрышных пород по результатам данных KAZRC на площади вероятных запасов составляет 4648,0 тыс. м3. Объем вскрытых, а затем перемещаемых вскрышных </w:t>
            </w:r>
            <w:r w:rsidR="00CB068E" w:rsidRPr="00CB068E">
              <w:lastRenderedPageBreak/>
              <w:t>пород составит 4548,0 тыс.м3. Объемный вес вскрышных пород 1,8 т/м3.</w:t>
            </w:r>
            <w:r w:rsidR="0055136B">
              <w:t>Объемный вес песков</w:t>
            </w:r>
            <w:r w:rsidR="00CB068E" w:rsidRPr="00CB068E">
              <w:t>: в сухом состоянии - 1,74 т/м3; во влажном - 1,8 т/м3. Естественная влажность полезной толщи - 4,8 %. Коэффициент разрыхления (</w:t>
            </w:r>
            <w:proofErr w:type="spellStart"/>
            <w:r w:rsidR="00CB068E" w:rsidRPr="00CB068E">
              <w:t>Кр</w:t>
            </w:r>
            <w:proofErr w:type="spellEnd"/>
            <w:r w:rsidR="00CB068E" w:rsidRPr="00CB068E">
              <w:t>) полезной толщи 1,47, коэффициент разрыхления с учетом осадки вскрышных пород и полезной толщи 1,</w:t>
            </w:r>
            <w:proofErr w:type="gramStart"/>
            <w:r w:rsidR="00CB068E" w:rsidRPr="00CB068E">
              <w:t>02.Рудовмещающие</w:t>
            </w:r>
            <w:proofErr w:type="gramEnd"/>
            <w:r w:rsidR="00CB068E" w:rsidRPr="00CB068E">
              <w:t xml:space="preserve"> и вскрышные породы сложены прибрежно-морскими отложениями зоны выветривания, которые относятся к классу не скальных пород с коэффициентом крепости по шкале М.М. </w:t>
            </w:r>
            <w:proofErr w:type="spellStart"/>
            <w:r w:rsidR="00CB068E" w:rsidRPr="00CB068E">
              <w:t>Протодьяконова</w:t>
            </w:r>
            <w:proofErr w:type="spellEnd"/>
            <w:r w:rsidR="00CB068E" w:rsidRPr="00CB068E">
              <w:t xml:space="preserve"> f=0,5-0,8, реже 1,0-4,0, т.е. их разработка не требует применения буровзрывных работ.</w:t>
            </w:r>
            <w:r w:rsidR="0055136B">
              <w:t xml:space="preserve"> </w:t>
            </w:r>
            <w:r w:rsidR="00CB068E" w:rsidRPr="00CB068E">
              <w:t xml:space="preserve">На основной производственной площадке, расположенной на восточном борту карьера, осуществляются добычные работы и работы по переработке и обогащению добытых руд. Вспомогательная площадка расположена на удалении 1070 метров к юго-востоку от основной производственной площадки и предназначена для обеспечения жилищно-бытовых условий работников предприятия, учитывая сезонный характер работы, а также для хранения различного запасного оборудования и запасных частей для основного производства. </w:t>
            </w:r>
            <w:r w:rsidR="00726131">
              <w:rPr>
                <w:sz w:val="23"/>
                <w:szCs w:val="23"/>
              </w:rPr>
              <w:t xml:space="preserve">Режим работы принимается сезонный (7 месяцев), 11 часов в сутки, односменный, 11 часов в сутки; количество рабочих дней в году – 196. Количество рабочих часов 2156. </w:t>
            </w:r>
          </w:p>
        </w:tc>
      </w:tr>
      <w:tr w:rsidR="005D70B4" w:rsidRPr="00685B75" w14:paraId="11944244" w14:textId="77777777" w:rsidTr="009A5EF6">
        <w:trPr>
          <w:jc w:val="center"/>
        </w:trPr>
        <w:tc>
          <w:tcPr>
            <w:tcW w:w="4508" w:type="dxa"/>
          </w:tcPr>
          <w:p w14:paraId="769A83BE" w14:textId="77777777" w:rsidR="005D70B4" w:rsidRPr="00D712A8" w:rsidRDefault="001C3D07" w:rsidP="00685B75">
            <w:pPr>
              <w:pStyle w:val="pj"/>
              <w:ind w:firstLine="0"/>
            </w:pPr>
            <w:r w:rsidRPr="00D712A8">
              <w:rPr>
                <w:rStyle w:val="s0"/>
              </w:rPr>
              <w:lastRenderedPageBreak/>
              <w:t>6. Краткое описание предполагаемых технических и технологических решений для намечаемой деятельности.</w:t>
            </w:r>
          </w:p>
        </w:tc>
        <w:tc>
          <w:tcPr>
            <w:tcW w:w="11080" w:type="dxa"/>
            <w:shd w:val="clear" w:color="auto" w:fill="auto"/>
          </w:tcPr>
          <w:p w14:paraId="3F8B3673" w14:textId="77777777" w:rsidR="00CB068E" w:rsidRPr="00CB068E" w:rsidRDefault="00CB068E" w:rsidP="00CB068E">
            <w:pPr>
              <w:pStyle w:val="Default"/>
            </w:pPr>
            <w:r w:rsidRPr="00CB068E">
              <w:t xml:space="preserve">Согласно принятой системе разработки и имеющейся в наличие техники, добычные работы и погрузку в автосамосвалы запасы полезного ископаемого (титан-циркониевые пески) предусматривается проводить гидравлическим экскаватором типа САТ 336 (ковш 1,8-3,5 м3), в исполнении «обратная лопата». </w:t>
            </w:r>
          </w:p>
          <w:p w14:paraId="5AB4C18E" w14:textId="77777777" w:rsidR="00CB068E" w:rsidRPr="00CB068E" w:rsidRDefault="00CB068E" w:rsidP="00CB068E">
            <w:pPr>
              <w:pStyle w:val="Default"/>
            </w:pPr>
            <w:r w:rsidRPr="00CB068E">
              <w:t xml:space="preserve">Система разработки предусматривается существующая - транспортная с цикличным </w:t>
            </w:r>
            <w:proofErr w:type="spellStart"/>
            <w:r w:rsidRPr="00CB068E">
              <w:t>забойно</w:t>
            </w:r>
            <w:proofErr w:type="spellEnd"/>
            <w:r w:rsidRPr="00CB068E">
              <w:t xml:space="preserve">-транспортным оборудованием (экскаватор, автосамосвал). </w:t>
            </w:r>
          </w:p>
          <w:p w14:paraId="6372397A" w14:textId="77777777" w:rsidR="00CB068E" w:rsidRPr="00CB068E" w:rsidRDefault="00CB068E" w:rsidP="00CB068E">
            <w:pPr>
              <w:pStyle w:val="Default"/>
            </w:pPr>
            <w:r w:rsidRPr="00CB068E">
              <w:t xml:space="preserve">Для транспортировки добытой горной массы планируется использовать автосамосвалы типа HOWO (25 и 50 т). </w:t>
            </w:r>
          </w:p>
          <w:p w14:paraId="3013F5CE" w14:textId="77777777" w:rsidR="00CB068E" w:rsidRPr="00CB068E" w:rsidRDefault="00CB068E" w:rsidP="00CB068E">
            <w:pPr>
              <w:pStyle w:val="Default"/>
            </w:pPr>
            <w:r w:rsidRPr="00CB068E">
              <w:t xml:space="preserve">Горно-добычные работы осуществляются с соблюдением установленных параметров элементов системы разработки. </w:t>
            </w:r>
          </w:p>
          <w:p w14:paraId="08C9BCAD" w14:textId="77777777" w:rsidR="00CB068E" w:rsidRPr="00CB068E" w:rsidRDefault="00CB068E" w:rsidP="00CB068E">
            <w:pPr>
              <w:pStyle w:val="Default"/>
            </w:pPr>
            <w:r w:rsidRPr="00CB068E">
              <w:t xml:space="preserve">Полезная толща (руда) транспортируется прямо из карьера на </w:t>
            </w:r>
            <w:proofErr w:type="spellStart"/>
            <w:r w:rsidRPr="00CB068E">
              <w:t>промплощадку</w:t>
            </w:r>
            <w:proofErr w:type="spellEnd"/>
            <w:r w:rsidRPr="00CB068E">
              <w:t xml:space="preserve"> на рудный склад, где усредняется и хранится для дальней переработки. </w:t>
            </w:r>
          </w:p>
          <w:p w14:paraId="3E57EE59" w14:textId="77777777" w:rsidR="00CB068E" w:rsidRPr="00CB068E" w:rsidRDefault="00CB068E" w:rsidP="00CB068E">
            <w:pPr>
              <w:pStyle w:val="Default"/>
            </w:pPr>
            <w:r w:rsidRPr="00CB068E">
              <w:t xml:space="preserve">Усредненная руда загружается самосвалами в </w:t>
            </w:r>
            <w:proofErr w:type="spellStart"/>
            <w:r w:rsidRPr="00CB068E">
              <w:t>рудоприемный</w:t>
            </w:r>
            <w:proofErr w:type="spellEnd"/>
            <w:r w:rsidRPr="00CB068E">
              <w:t xml:space="preserve"> бункер, из которого конвейером подается на скруббер-бутару, где </w:t>
            </w:r>
            <w:proofErr w:type="gramStart"/>
            <w:r w:rsidRPr="00CB068E">
              <w:t>происходит</w:t>
            </w:r>
            <w:proofErr w:type="gramEnd"/>
            <w:r w:rsidRPr="00CB068E">
              <w:t xml:space="preserve"> размыв руды и отделение – глины, растительных остатков и крупных включений класса +2 мм. </w:t>
            </w:r>
          </w:p>
          <w:p w14:paraId="4E5F9A55" w14:textId="77777777" w:rsidR="00CB068E" w:rsidRPr="00CB068E" w:rsidRDefault="00CB068E" w:rsidP="00CB068E">
            <w:pPr>
              <w:pStyle w:val="Default"/>
            </w:pPr>
            <w:r w:rsidRPr="00CB068E">
              <w:t xml:space="preserve">После скруббер-бутары пульпа подается </w:t>
            </w:r>
            <w:proofErr w:type="spellStart"/>
            <w:r w:rsidRPr="00CB068E">
              <w:t>подается</w:t>
            </w:r>
            <w:proofErr w:type="spellEnd"/>
            <w:r w:rsidRPr="00CB068E">
              <w:t xml:space="preserve"> насосом на грохот для отделения тонких классов. </w:t>
            </w:r>
          </w:p>
          <w:p w14:paraId="44B08C17" w14:textId="77777777" w:rsidR="00CB068E" w:rsidRPr="00CB068E" w:rsidRDefault="00CB068E" w:rsidP="00CB068E">
            <w:pPr>
              <w:pStyle w:val="Default"/>
            </w:pPr>
            <w:r w:rsidRPr="00CB068E">
              <w:t xml:space="preserve">После </w:t>
            </w:r>
            <w:proofErr w:type="spellStart"/>
            <w:r w:rsidRPr="00CB068E">
              <w:t>обесшламлевания</w:t>
            </w:r>
            <w:proofErr w:type="spellEnd"/>
            <w:r w:rsidRPr="00CB068E">
              <w:t xml:space="preserve"> пульпа поступает на основную концентрацию на винтовых </w:t>
            </w:r>
            <w:proofErr w:type="spellStart"/>
            <w:r w:rsidRPr="00CB068E">
              <w:t>сапараторах</w:t>
            </w:r>
            <w:proofErr w:type="spellEnd"/>
            <w:r w:rsidRPr="00CB068E">
              <w:t xml:space="preserve">. </w:t>
            </w:r>
          </w:p>
          <w:p w14:paraId="7C81C051" w14:textId="77777777" w:rsidR="00E44C08" w:rsidRPr="00CB068E" w:rsidRDefault="00CB068E" w:rsidP="00CB068E">
            <w:pPr>
              <w:autoSpaceDE w:val="0"/>
              <w:autoSpaceDN w:val="0"/>
              <w:adjustRightInd w:val="0"/>
              <w:contextualSpacing/>
            </w:pPr>
            <w:r w:rsidRPr="00CB068E">
              <w:t>Полученный коллективный концентрат подается через грохот (класс – 0,4 мм) на магнитные сепараторы для разделения на магнитную (ИК) и немагнитную (РЦП) фракции.</w:t>
            </w:r>
          </w:p>
          <w:p w14:paraId="2CBE24CA" w14:textId="77777777" w:rsidR="00CB068E" w:rsidRPr="00CB068E" w:rsidRDefault="00CB068E" w:rsidP="00CB068E">
            <w:pPr>
              <w:pStyle w:val="Default"/>
            </w:pPr>
            <w:r w:rsidRPr="00CB068E">
              <w:t xml:space="preserve">Магнитная фракция поступает в дренажный бункер, из которого после частичного обезвоживания перевозится в карты хранения ильменитового концентрата. Влажный концентрат ильменита подается в приемный бункер линии сушки и доводки ИК, откуда конвейером загружается в сушильный барабан. </w:t>
            </w:r>
            <w:r w:rsidRPr="00CB068E">
              <w:lastRenderedPageBreak/>
              <w:t xml:space="preserve">Высушенный ИК поступает в охладитель, из которого подается на участок доводки (три стадии сухих магнитных сепараторов) для удаления немагнитных примесей. Высушенный и очищенный ильменитовый концентрат упаковывается в контейнеры для отправки потребителю. </w:t>
            </w:r>
          </w:p>
          <w:p w14:paraId="15961BD9" w14:textId="77777777" w:rsidR="00CB068E" w:rsidRPr="00CB068E" w:rsidRDefault="00CB068E" w:rsidP="00CB068E">
            <w:pPr>
              <w:pStyle w:val="Default"/>
            </w:pPr>
            <w:r w:rsidRPr="00CB068E">
              <w:t>Немагнитная фракция подается на стадию сгущения, после которой через грохот (класс 0,2 мм) подается на стадию мокрой доводки РЦП. Полученный рутил-</w:t>
            </w:r>
            <w:proofErr w:type="spellStart"/>
            <w:r w:rsidRPr="00CB068E">
              <w:t>цирконовый</w:t>
            </w:r>
            <w:proofErr w:type="spellEnd"/>
            <w:r w:rsidRPr="00CB068E">
              <w:t xml:space="preserve"> продукт поступает в дренажный бункер, из которого после частичного обезвоживания перевозится в карты хранения РЦП. Влажный концентра РЦП загружается в приемный бункер линии сушки и доводки РЦП, откуда контейнером подается в сушильный барабан. Высушенный концентрат подается на участок доводки, где очищается от магнитных примесей на сухих магнитных сепараторах. Высушенный и очищенный РЦП упаковывается в контейнеры для отправки потребителю. </w:t>
            </w:r>
          </w:p>
          <w:p w14:paraId="3AB70BBB" w14:textId="77777777" w:rsidR="00CB068E" w:rsidRPr="00CB068E" w:rsidRDefault="00CB068E" w:rsidP="00CB068E">
            <w:pPr>
              <w:pStyle w:val="Default"/>
            </w:pPr>
            <w:r w:rsidRPr="00CB068E">
              <w:t xml:space="preserve">Хвосты (пески) составляют 83% от переработанных рудных песков, которые постепенно перевозятся в отработанные участки месторождения для проведения </w:t>
            </w:r>
            <w:proofErr w:type="spellStart"/>
            <w:r w:rsidRPr="00CB068E">
              <w:t>рекультивационных</w:t>
            </w:r>
            <w:proofErr w:type="spellEnd"/>
            <w:r w:rsidRPr="00CB068E">
              <w:t xml:space="preserve"> работ. </w:t>
            </w:r>
          </w:p>
          <w:p w14:paraId="58720891" w14:textId="77777777" w:rsidR="00CB068E" w:rsidRDefault="00CB068E" w:rsidP="00CB068E">
            <w:pPr>
              <w:autoSpaceDE w:val="0"/>
              <w:autoSpaceDN w:val="0"/>
              <w:adjustRightInd w:val="0"/>
              <w:contextualSpacing/>
            </w:pPr>
            <w:r w:rsidRPr="00CB068E">
              <w:t xml:space="preserve">Объем хвостов (песков), исходя из объема промышленных запасов на Участке1 месторождения </w:t>
            </w:r>
            <w:proofErr w:type="spellStart"/>
            <w:r w:rsidRPr="00CB068E">
              <w:t>Шокаш</w:t>
            </w:r>
            <w:proofErr w:type="spellEnd"/>
            <w:r w:rsidRPr="00CB068E">
              <w:t xml:space="preserve">, в количестве 7424,6 </w:t>
            </w:r>
            <w:proofErr w:type="gramStart"/>
            <w:r w:rsidRPr="00CB068E">
              <w:t>тыс.м</w:t>
            </w:r>
            <w:proofErr w:type="gramEnd"/>
            <w:r w:rsidRPr="00CB068E">
              <w:t>3, составит ≈ 6162,4 тыс.м3.</w:t>
            </w:r>
          </w:p>
          <w:p w14:paraId="20BD19D2" w14:textId="746B5E9C" w:rsidR="00CB068E" w:rsidRPr="00DB24E5" w:rsidRDefault="00CB068E" w:rsidP="00CB068E">
            <w:pPr>
              <w:autoSpaceDE w:val="0"/>
              <w:autoSpaceDN w:val="0"/>
              <w:adjustRightInd w:val="0"/>
              <w:contextualSpacing/>
            </w:pPr>
            <w:r>
              <w:t>Более подробных технологический процесс представлен в ПГР.</w:t>
            </w:r>
          </w:p>
        </w:tc>
      </w:tr>
      <w:tr w:rsidR="005D70B4" w:rsidRPr="00685B75" w14:paraId="62A77E7A" w14:textId="77777777" w:rsidTr="00B77C8C">
        <w:trPr>
          <w:jc w:val="center"/>
        </w:trPr>
        <w:tc>
          <w:tcPr>
            <w:tcW w:w="4508" w:type="dxa"/>
          </w:tcPr>
          <w:p w14:paraId="7FBEEE49" w14:textId="77777777" w:rsidR="005D70B4" w:rsidRPr="00685B75" w:rsidRDefault="001C3D07" w:rsidP="00685B75">
            <w:pPr>
              <w:pStyle w:val="pj"/>
              <w:ind w:firstLine="0"/>
            </w:pPr>
            <w:r w:rsidRPr="00685B75">
              <w:rPr>
                <w:rStyle w:val="s0"/>
              </w:rPr>
              <w:lastRenderedPageBreak/>
              <w:t>7. Предположительные сроки начала реализации намечаемо</w:t>
            </w:r>
            <w:r w:rsidR="006E2409" w:rsidRPr="00685B75">
              <w:rPr>
                <w:rStyle w:val="s0"/>
              </w:rPr>
              <w:t>й деятельности и ее завершения</w:t>
            </w:r>
            <w:r w:rsidRPr="00685B75">
              <w:rPr>
                <w:rStyle w:val="s0"/>
              </w:rPr>
              <w:t>.</w:t>
            </w:r>
          </w:p>
        </w:tc>
        <w:tc>
          <w:tcPr>
            <w:tcW w:w="11080" w:type="dxa"/>
          </w:tcPr>
          <w:p w14:paraId="7F7FBDF6" w14:textId="034209BE" w:rsidR="00DA7E8F" w:rsidRPr="00685B75" w:rsidRDefault="00DB24E5" w:rsidP="00CB068E">
            <w:pPr>
              <w:autoSpaceDE w:val="0"/>
              <w:autoSpaceDN w:val="0"/>
              <w:adjustRightInd w:val="0"/>
            </w:pPr>
            <w:r w:rsidRPr="00DB24E5">
              <w:rPr>
                <w:rFonts w:eastAsia="TimesNewRoman"/>
              </w:rPr>
              <w:t>Снос зданий и сооружений, их</w:t>
            </w:r>
            <w:r>
              <w:rPr>
                <w:rFonts w:eastAsia="TimesNewRoman"/>
              </w:rPr>
              <w:t xml:space="preserve"> </w:t>
            </w:r>
            <w:proofErr w:type="spellStart"/>
            <w:r w:rsidRPr="00DB24E5">
              <w:rPr>
                <w:rFonts w:eastAsia="TimesNewRoman"/>
              </w:rPr>
              <w:t>постутилизация</w:t>
            </w:r>
            <w:proofErr w:type="spellEnd"/>
            <w:r w:rsidRPr="00DB24E5">
              <w:rPr>
                <w:rFonts w:eastAsia="TimesNewRoman"/>
              </w:rPr>
              <w:t xml:space="preserve"> в данном проекте не предусматривае</w:t>
            </w:r>
            <w:r w:rsidR="00CB068E">
              <w:rPr>
                <w:rFonts w:eastAsia="TimesNewRoman"/>
              </w:rPr>
              <w:t>тся. В проекте будут рассмотрен</w:t>
            </w:r>
            <w:r>
              <w:rPr>
                <w:rFonts w:eastAsia="TimesNewRoman"/>
              </w:rPr>
              <w:t xml:space="preserve"> </w:t>
            </w:r>
            <w:r w:rsidR="00CB068E">
              <w:rPr>
                <w:rFonts w:eastAsia="TimesNewRoman"/>
              </w:rPr>
              <w:t>эксплуатационный период на 2026-2035 гг.</w:t>
            </w:r>
          </w:p>
        </w:tc>
      </w:tr>
      <w:tr w:rsidR="003B02C9" w:rsidRPr="00685B75" w14:paraId="05BEEB33" w14:textId="77777777" w:rsidTr="00B77C8C">
        <w:trPr>
          <w:jc w:val="center"/>
        </w:trPr>
        <w:tc>
          <w:tcPr>
            <w:tcW w:w="4508" w:type="dxa"/>
          </w:tcPr>
          <w:p w14:paraId="3B41DB43" w14:textId="77777777" w:rsidR="003B02C9" w:rsidRPr="00685B75" w:rsidRDefault="003B02C9" w:rsidP="004716B3">
            <w:pPr>
              <w:pStyle w:val="pj"/>
              <w:ind w:firstLine="0"/>
            </w:pPr>
            <w:r w:rsidRPr="00685B75">
              <w:rPr>
                <w:rStyle w:val="s0"/>
              </w:rPr>
              <w:t>8. Описание видов ресурсов, необходимых для осуществления намечаемой деятельности (с указанием предполагаемых качественных и максимальных количественных характеристик, а также операций, для которых предполагается их использование):</w:t>
            </w:r>
          </w:p>
          <w:p w14:paraId="68856C5C" w14:textId="77777777" w:rsidR="003B02C9" w:rsidRPr="00685B75" w:rsidRDefault="003B02C9" w:rsidP="004716B3">
            <w:pPr>
              <w:pStyle w:val="pj"/>
              <w:rPr>
                <w:rStyle w:val="s0"/>
              </w:rPr>
            </w:pPr>
            <w:r w:rsidRPr="00685B75">
              <w:rPr>
                <w:rStyle w:val="s0"/>
              </w:rPr>
              <w:t>1) земельных участков, их площадей, целевого назначения, предполагаемых сроков использования;</w:t>
            </w:r>
          </w:p>
          <w:p w14:paraId="619AE926" w14:textId="77777777" w:rsidR="003B02C9" w:rsidRPr="00685B75" w:rsidRDefault="003B02C9" w:rsidP="004716B3">
            <w:pPr>
              <w:pStyle w:val="pj"/>
            </w:pPr>
          </w:p>
          <w:p w14:paraId="0EEF4DF2" w14:textId="77777777" w:rsidR="003B02C9" w:rsidRPr="00685B75" w:rsidRDefault="003B02C9" w:rsidP="004716B3">
            <w:pPr>
              <w:pStyle w:val="pj"/>
            </w:pPr>
          </w:p>
          <w:p w14:paraId="0D8DE90D" w14:textId="77777777" w:rsidR="003B02C9" w:rsidRPr="00685B75" w:rsidRDefault="003B02C9" w:rsidP="004716B3">
            <w:pPr>
              <w:pStyle w:val="pj"/>
            </w:pPr>
          </w:p>
          <w:p w14:paraId="18324AAD" w14:textId="77777777" w:rsidR="003B02C9" w:rsidRPr="00685B75" w:rsidRDefault="003B02C9" w:rsidP="004716B3">
            <w:pPr>
              <w:pStyle w:val="pj"/>
            </w:pPr>
          </w:p>
          <w:p w14:paraId="5C67961A" w14:textId="78467461" w:rsidR="003B02C9" w:rsidRDefault="003B02C9" w:rsidP="004716B3">
            <w:pPr>
              <w:pStyle w:val="pj"/>
            </w:pPr>
          </w:p>
          <w:p w14:paraId="41EBA679" w14:textId="085E45E7" w:rsidR="00DB24E5" w:rsidRDefault="00DB24E5" w:rsidP="004716B3">
            <w:pPr>
              <w:pStyle w:val="pj"/>
            </w:pPr>
          </w:p>
          <w:p w14:paraId="23AC6F82" w14:textId="2A2F0F0B" w:rsidR="00DB24E5" w:rsidRDefault="00DB24E5" w:rsidP="004716B3">
            <w:pPr>
              <w:pStyle w:val="pj"/>
            </w:pPr>
          </w:p>
          <w:p w14:paraId="6A60EFD6" w14:textId="523EA1AB" w:rsidR="00902F2B" w:rsidRDefault="00902F2B" w:rsidP="004716B3">
            <w:pPr>
              <w:pStyle w:val="pj"/>
            </w:pPr>
          </w:p>
          <w:p w14:paraId="47CD02A6" w14:textId="1EEB78DE" w:rsidR="00902F2B" w:rsidRDefault="00902F2B" w:rsidP="004716B3">
            <w:pPr>
              <w:pStyle w:val="pj"/>
            </w:pPr>
          </w:p>
          <w:p w14:paraId="4A8898F7" w14:textId="5E1875CD" w:rsidR="00902F2B" w:rsidRDefault="00902F2B" w:rsidP="004716B3">
            <w:pPr>
              <w:pStyle w:val="pj"/>
            </w:pPr>
          </w:p>
          <w:p w14:paraId="6B6C278A" w14:textId="2F35D2D1" w:rsidR="00B416B4" w:rsidRDefault="00B416B4" w:rsidP="004716B3">
            <w:pPr>
              <w:pStyle w:val="pj"/>
            </w:pPr>
          </w:p>
          <w:p w14:paraId="3EE5752A" w14:textId="2D2DB9AC" w:rsidR="00B416B4" w:rsidRDefault="00B416B4" w:rsidP="004716B3">
            <w:pPr>
              <w:pStyle w:val="pj"/>
            </w:pPr>
          </w:p>
          <w:p w14:paraId="4E38B88D" w14:textId="710CD47C" w:rsidR="003D4482" w:rsidRDefault="003D4482" w:rsidP="004716B3">
            <w:pPr>
              <w:pStyle w:val="pj"/>
            </w:pPr>
          </w:p>
          <w:p w14:paraId="14407C08" w14:textId="08E2F070" w:rsidR="003D4482" w:rsidRDefault="003D4482" w:rsidP="004716B3">
            <w:pPr>
              <w:pStyle w:val="pj"/>
            </w:pPr>
          </w:p>
          <w:p w14:paraId="052EAEA4" w14:textId="6AEE74A9" w:rsidR="003D4482" w:rsidRDefault="003D4482" w:rsidP="004716B3">
            <w:pPr>
              <w:pStyle w:val="pj"/>
            </w:pPr>
          </w:p>
          <w:p w14:paraId="58FE623E" w14:textId="320BBF43" w:rsidR="003D4482" w:rsidRDefault="003D4482" w:rsidP="004716B3">
            <w:pPr>
              <w:pStyle w:val="pj"/>
            </w:pPr>
          </w:p>
          <w:p w14:paraId="07B545E9" w14:textId="5047A395" w:rsidR="003D4482" w:rsidRDefault="003D4482" w:rsidP="004716B3">
            <w:pPr>
              <w:pStyle w:val="pj"/>
            </w:pPr>
          </w:p>
          <w:p w14:paraId="675B5DD9" w14:textId="372C3C0D" w:rsidR="003D4482" w:rsidRDefault="003D4482" w:rsidP="004716B3">
            <w:pPr>
              <w:pStyle w:val="pj"/>
            </w:pPr>
          </w:p>
          <w:p w14:paraId="37089FFB" w14:textId="60EE312E" w:rsidR="003D4482" w:rsidRDefault="003D4482" w:rsidP="004716B3">
            <w:pPr>
              <w:pStyle w:val="pj"/>
            </w:pPr>
          </w:p>
          <w:p w14:paraId="2CE1991D" w14:textId="65BBBA7C" w:rsidR="003D4482" w:rsidRDefault="003D4482" w:rsidP="004716B3">
            <w:pPr>
              <w:pStyle w:val="pj"/>
            </w:pPr>
          </w:p>
          <w:p w14:paraId="6DEE15CA" w14:textId="61C6D20E" w:rsidR="003D4482" w:rsidRDefault="003D4482" w:rsidP="004716B3">
            <w:pPr>
              <w:pStyle w:val="pj"/>
            </w:pPr>
          </w:p>
          <w:p w14:paraId="23753DAD" w14:textId="63CBE079" w:rsidR="003D4482" w:rsidRDefault="003D4482" w:rsidP="004716B3">
            <w:pPr>
              <w:pStyle w:val="pj"/>
            </w:pPr>
          </w:p>
          <w:p w14:paraId="1F6F7EDD" w14:textId="1362B642" w:rsidR="003D4482" w:rsidRDefault="003D4482" w:rsidP="004716B3">
            <w:pPr>
              <w:pStyle w:val="pj"/>
            </w:pPr>
          </w:p>
          <w:p w14:paraId="4CF6D0E0" w14:textId="33B8057B" w:rsidR="003D4482" w:rsidRDefault="003D4482" w:rsidP="004716B3">
            <w:pPr>
              <w:pStyle w:val="pj"/>
            </w:pPr>
          </w:p>
          <w:p w14:paraId="35B70CF0" w14:textId="4A781114" w:rsidR="003D4482" w:rsidRDefault="003D4482" w:rsidP="004716B3">
            <w:pPr>
              <w:pStyle w:val="pj"/>
            </w:pPr>
          </w:p>
          <w:p w14:paraId="7B340773" w14:textId="160EC928" w:rsidR="003D4482" w:rsidRDefault="003D4482" w:rsidP="004716B3">
            <w:pPr>
              <w:pStyle w:val="pj"/>
            </w:pPr>
          </w:p>
          <w:p w14:paraId="5047B91B" w14:textId="6A9515C6" w:rsidR="003D4482" w:rsidRDefault="003D4482" w:rsidP="004716B3">
            <w:pPr>
              <w:pStyle w:val="pj"/>
            </w:pPr>
          </w:p>
          <w:p w14:paraId="74714C61" w14:textId="398C2451" w:rsidR="003D4482" w:rsidRDefault="003D4482" w:rsidP="004716B3">
            <w:pPr>
              <w:pStyle w:val="pj"/>
            </w:pPr>
          </w:p>
          <w:p w14:paraId="505A13A9" w14:textId="2AB12B3D" w:rsidR="003D4482" w:rsidRDefault="003D4482" w:rsidP="004716B3">
            <w:pPr>
              <w:pStyle w:val="pj"/>
            </w:pPr>
          </w:p>
          <w:p w14:paraId="69D48BC3" w14:textId="1A02B86B" w:rsidR="003D4482" w:rsidRDefault="003D4482" w:rsidP="004716B3">
            <w:pPr>
              <w:pStyle w:val="pj"/>
            </w:pPr>
          </w:p>
          <w:p w14:paraId="7569AF05" w14:textId="726C3DF6" w:rsidR="003D4482" w:rsidRDefault="003D4482" w:rsidP="004716B3">
            <w:pPr>
              <w:pStyle w:val="pj"/>
            </w:pPr>
          </w:p>
          <w:p w14:paraId="3D91FCFB" w14:textId="24A2F157" w:rsidR="003D4482" w:rsidRDefault="003D4482" w:rsidP="004716B3">
            <w:pPr>
              <w:pStyle w:val="pj"/>
            </w:pPr>
          </w:p>
          <w:p w14:paraId="1A116D60" w14:textId="299DBC64" w:rsidR="003D4482" w:rsidRDefault="003D4482" w:rsidP="004716B3">
            <w:pPr>
              <w:pStyle w:val="pj"/>
            </w:pPr>
          </w:p>
          <w:p w14:paraId="23510ADE" w14:textId="77777777" w:rsidR="003D4482" w:rsidRPr="00685B75" w:rsidRDefault="003D4482" w:rsidP="004716B3">
            <w:pPr>
              <w:pStyle w:val="pj"/>
            </w:pPr>
          </w:p>
          <w:p w14:paraId="0CF659B0" w14:textId="77777777" w:rsidR="003B02C9" w:rsidRPr="00685B75" w:rsidRDefault="003B02C9" w:rsidP="004716B3">
            <w:pPr>
              <w:pStyle w:val="pj"/>
            </w:pPr>
          </w:p>
          <w:p w14:paraId="61DB5A2D" w14:textId="77777777" w:rsidR="003B02C9" w:rsidRPr="00685B75" w:rsidRDefault="003B02C9" w:rsidP="004716B3">
            <w:pPr>
              <w:pStyle w:val="pj"/>
            </w:pPr>
            <w:r w:rsidRPr="00685B75">
              <w:rPr>
                <w:rStyle w:val="s0"/>
              </w:rPr>
              <w:t>2) водных ресурсов с указанием:</w:t>
            </w:r>
          </w:p>
          <w:p w14:paraId="371F54C1" w14:textId="77777777" w:rsidR="003B02C9" w:rsidRPr="00685B75" w:rsidRDefault="003B02C9" w:rsidP="004716B3">
            <w:pPr>
              <w:pStyle w:val="pj"/>
            </w:pPr>
            <w:r w:rsidRPr="00685B75">
              <w:rPr>
                <w:rStyle w:val="s0"/>
              </w:rPr>
              <w:t xml:space="preserve">предполагаемого источника водоснабжения (системы централизованного водоснабжения, водные объекты, используемые для нецентрализованного водоснабжения, привозная вода), сведений о наличии </w:t>
            </w:r>
            <w:proofErr w:type="spellStart"/>
            <w:r w:rsidRPr="00685B75">
              <w:rPr>
                <w:rStyle w:val="s0"/>
              </w:rPr>
              <w:t>водоохранных</w:t>
            </w:r>
            <w:proofErr w:type="spellEnd"/>
            <w:r w:rsidRPr="00685B75">
              <w:rPr>
                <w:rStyle w:val="s0"/>
              </w:rPr>
              <w:t xml:space="preserve"> зон и полос, при их отсутствии - вывод о необходимости их установления в соответствии с законодательством Республики Казахстан, а при наличии - об </w:t>
            </w:r>
            <w:r w:rsidRPr="00685B75">
              <w:rPr>
                <w:rStyle w:val="s0"/>
              </w:rPr>
              <w:lastRenderedPageBreak/>
              <w:t>установленных для них запретах и ограничениях, касающихся намечаемой деятельности;</w:t>
            </w:r>
          </w:p>
          <w:p w14:paraId="480332E0" w14:textId="77777777" w:rsidR="003B02C9" w:rsidRPr="00685B75" w:rsidRDefault="003B02C9" w:rsidP="004716B3">
            <w:pPr>
              <w:pStyle w:val="pj"/>
              <w:rPr>
                <w:rStyle w:val="s0"/>
              </w:rPr>
            </w:pPr>
          </w:p>
          <w:p w14:paraId="3DC38F25" w14:textId="168A5FD0" w:rsidR="003B02C9" w:rsidRDefault="003B02C9" w:rsidP="004716B3">
            <w:pPr>
              <w:pStyle w:val="pj"/>
              <w:rPr>
                <w:rStyle w:val="s0"/>
              </w:rPr>
            </w:pPr>
          </w:p>
          <w:p w14:paraId="558A5B12" w14:textId="37D49755" w:rsidR="003D4482" w:rsidRDefault="003D4482" w:rsidP="004716B3">
            <w:pPr>
              <w:pStyle w:val="pj"/>
              <w:rPr>
                <w:rStyle w:val="s0"/>
              </w:rPr>
            </w:pPr>
          </w:p>
          <w:p w14:paraId="71BE70E4" w14:textId="77777777" w:rsidR="003D4482" w:rsidRPr="00685B75" w:rsidRDefault="003D4482" w:rsidP="004716B3">
            <w:pPr>
              <w:pStyle w:val="pj"/>
              <w:rPr>
                <w:rStyle w:val="s0"/>
              </w:rPr>
            </w:pPr>
          </w:p>
          <w:p w14:paraId="12575B21" w14:textId="77777777" w:rsidR="003B02C9" w:rsidRPr="00685B75" w:rsidRDefault="003B02C9" w:rsidP="004716B3">
            <w:pPr>
              <w:pStyle w:val="pj"/>
              <w:rPr>
                <w:rStyle w:val="s0"/>
              </w:rPr>
            </w:pPr>
            <w:r w:rsidRPr="00685B75">
              <w:rPr>
                <w:rStyle w:val="s0"/>
              </w:rPr>
              <w:t xml:space="preserve">видов водопользования (общее, специальное, обособленное), качества необходимой воды (питьевая, </w:t>
            </w:r>
            <w:proofErr w:type="spellStart"/>
            <w:r w:rsidRPr="00685B75">
              <w:rPr>
                <w:rStyle w:val="s0"/>
              </w:rPr>
              <w:t>непитьевая</w:t>
            </w:r>
            <w:proofErr w:type="spellEnd"/>
            <w:r w:rsidRPr="00685B75">
              <w:rPr>
                <w:rStyle w:val="s0"/>
              </w:rPr>
              <w:t>);</w:t>
            </w:r>
          </w:p>
          <w:p w14:paraId="3C4FCEEA" w14:textId="77777777" w:rsidR="003B02C9" w:rsidRDefault="003B02C9" w:rsidP="004716B3">
            <w:pPr>
              <w:pStyle w:val="pj"/>
            </w:pPr>
          </w:p>
          <w:p w14:paraId="5CC1BD40" w14:textId="77777777" w:rsidR="003B02C9" w:rsidRPr="00685B75" w:rsidRDefault="003B02C9" w:rsidP="004716B3">
            <w:pPr>
              <w:pStyle w:val="pj"/>
            </w:pPr>
          </w:p>
          <w:p w14:paraId="0F861CB7" w14:textId="77777777" w:rsidR="003B02C9" w:rsidRPr="00685B75" w:rsidRDefault="003B02C9" w:rsidP="004716B3">
            <w:pPr>
              <w:pStyle w:val="pj"/>
            </w:pPr>
            <w:r w:rsidRPr="00685B75">
              <w:rPr>
                <w:rStyle w:val="s0"/>
              </w:rPr>
              <w:t>объемов потребления воды;</w:t>
            </w:r>
          </w:p>
          <w:p w14:paraId="27085181" w14:textId="77777777" w:rsidR="003B02C9" w:rsidRPr="00685B75" w:rsidRDefault="003B02C9" w:rsidP="004716B3">
            <w:pPr>
              <w:pStyle w:val="pj"/>
              <w:rPr>
                <w:rStyle w:val="s0"/>
              </w:rPr>
            </w:pPr>
          </w:p>
          <w:p w14:paraId="052B7E1C" w14:textId="77777777" w:rsidR="003B02C9" w:rsidRPr="00685B75" w:rsidRDefault="003B02C9" w:rsidP="004716B3">
            <w:pPr>
              <w:pStyle w:val="pj"/>
              <w:rPr>
                <w:rStyle w:val="s0"/>
              </w:rPr>
            </w:pPr>
          </w:p>
          <w:p w14:paraId="7091AD25" w14:textId="77777777" w:rsidR="003B02C9" w:rsidRPr="00685B75" w:rsidRDefault="003B02C9" w:rsidP="004716B3">
            <w:pPr>
              <w:pStyle w:val="pj"/>
              <w:rPr>
                <w:rStyle w:val="s0"/>
              </w:rPr>
            </w:pPr>
          </w:p>
          <w:p w14:paraId="1FAC4E64" w14:textId="77777777" w:rsidR="003B02C9" w:rsidRPr="00685B75" w:rsidRDefault="003B02C9" w:rsidP="004716B3">
            <w:pPr>
              <w:pStyle w:val="pj"/>
              <w:rPr>
                <w:rStyle w:val="s0"/>
              </w:rPr>
            </w:pPr>
          </w:p>
          <w:p w14:paraId="3048262D" w14:textId="77777777" w:rsidR="003B02C9" w:rsidRPr="00685B75" w:rsidRDefault="003B02C9" w:rsidP="004716B3">
            <w:pPr>
              <w:pStyle w:val="pj"/>
              <w:rPr>
                <w:rStyle w:val="s0"/>
              </w:rPr>
            </w:pPr>
          </w:p>
          <w:p w14:paraId="5AED49A3" w14:textId="77777777" w:rsidR="003B02C9" w:rsidRDefault="003B02C9" w:rsidP="004716B3">
            <w:pPr>
              <w:pStyle w:val="pj"/>
              <w:rPr>
                <w:rStyle w:val="s0"/>
              </w:rPr>
            </w:pPr>
          </w:p>
          <w:p w14:paraId="60E1844C" w14:textId="16B5E8B4" w:rsidR="003B02C9" w:rsidRPr="00685B75" w:rsidRDefault="003B02C9" w:rsidP="004716B3">
            <w:pPr>
              <w:pStyle w:val="pj"/>
              <w:rPr>
                <w:rStyle w:val="s0"/>
              </w:rPr>
            </w:pPr>
            <w:r w:rsidRPr="00685B75">
              <w:rPr>
                <w:rStyle w:val="s0"/>
              </w:rPr>
              <w:t>операций, для которых планируется использование водных ресурсов;</w:t>
            </w:r>
          </w:p>
          <w:p w14:paraId="469D3C17" w14:textId="77777777" w:rsidR="003B02C9" w:rsidRPr="00685B75" w:rsidRDefault="003B02C9" w:rsidP="004716B3">
            <w:pPr>
              <w:pStyle w:val="pj"/>
            </w:pPr>
          </w:p>
          <w:p w14:paraId="60B55EA0" w14:textId="0D4D67D9" w:rsidR="003B12BA" w:rsidRDefault="003B12BA" w:rsidP="004716B3">
            <w:pPr>
              <w:pStyle w:val="pj"/>
              <w:rPr>
                <w:rStyle w:val="s0"/>
              </w:rPr>
            </w:pPr>
          </w:p>
          <w:p w14:paraId="23F9E615" w14:textId="296A2784" w:rsidR="00DB24E5" w:rsidRDefault="00DB24E5" w:rsidP="004716B3">
            <w:pPr>
              <w:pStyle w:val="pj"/>
              <w:rPr>
                <w:rStyle w:val="s0"/>
              </w:rPr>
            </w:pPr>
          </w:p>
          <w:p w14:paraId="687ACCF1" w14:textId="77777777" w:rsidR="007E2AC3" w:rsidRDefault="007E2AC3" w:rsidP="004716B3">
            <w:pPr>
              <w:pStyle w:val="pj"/>
              <w:rPr>
                <w:rStyle w:val="s0"/>
              </w:rPr>
            </w:pPr>
          </w:p>
          <w:p w14:paraId="19170816" w14:textId="77777777" w:rsidR="003B02C9" w:rsidRPr="00685B75" w:rsidRDefault="003B02C9" w:rsidP="004716B3">
            <w:pPr>
              <w:pStyle w:val="pj"/>
              <w:rPr>
                <w:rStyle w:val="s0"/>
              </w:rPr>
            </w:pPr>
            <w:r w:rsidRPr="00685B75">
              <w:rPr>
                <w:rStyle w:val="s0"/>
              </w:rPr>
              <w:t>3) участков недр с указанием вида и сроков права недропользования, их географические координаты (если они известны);</w:t>
            </w:r>
          </w:p>
          <w:p w14:paraId="239E03A5" w14:textId="77777777" w:rsidR="003B02C9" w:rsidRPr="00685B75" w:rsidRDefault="003B02C9" w:rsidP="004716B3">
            <w:pPr>
              <w:pStyle w:val="pj"/>
              <w:rPr>
                <w:rStyle w:val="s0"/>
              </w:rPr>
            </w:pPr>
          </w:p>
          <w:p w14:paraId="7FFE87A3" w14:textId="77777777" w:rsidR="003B02C9" w:rsidRDefault="003B02C9" w:rsidP="004716B3">
            <w:pPr>
              <w:pStyle w:val="pj"/>
              <w:rPr>
                <w:rStyle w:val="s0"/>
              </w:rPr>
            </w:pPr>
          </w:p>
          <w:p w14:paraId="62A668FB" w14:textId="77777777" w:rsidR="003B02C9" w:rsidRPr="00685B75" w:rsidRDefault="003B02C9" w:rsidP="004716B3">
            <w:pPr>
              <w:pStyle w:val="pj"/>
              <w:rPr>
                <w:rStyle w:val="s0"/>
              </w:rPr>
            </w:pPr>
            <w:r w:rsidRPr="00685B75">
              <w:rPr>
                <w:rStyle w:val="s0"/>
              </w:rPr>
              <w:t xml:space="preserve">4) растительных ресурсов с указанием их видов, объемов, источников приобретения (в том числе мест их заготовки, если планируется их сбор в окружающей среде) и сроков использования, а также сведений о </w:t>
            </w:r>
            <w:r w:rsidRPr="00685B75">
              <w:rPr>
                <w:rStyle w:val="s0"/>
              </w:rPr>
              <w:lastRenderedPageBreak/>
              <w:t>наличии или отсутствии зеленых насаждений в предполагаемом месте осуществления намечаемой деятельности, необходимости их вырубки или переноса, количестве зеленых насаждений, подлежащих вырубке или переносу, а также запланированных к посадке в порядке компенсации;</w:t>
            </w:r>
          </w:p>
          <w:p w14:paraId="25164D43" w14:textId="77777777" w:rsidR="003B02C9" w:rsidRPr="00685B75" w:rsidRDefault="003B02C9" w:rsidP="004716B3">
            <w:pPr>
              <w:pStyle w:val="pj"/>
              <w:rPr>
                <w:rStyle w:val="s0"/>
              </w:rPr>
            </w:pPr>
          </w:p>
          <w:p w14:paraId="7A6330AA" w14:textId="77777777" w:rsidR="003B02C9" w:rsidRDefault="003B02C9" w:rsidP="004716B3">
            <w:pPr>
              <w:pStyle w:val="pj"/>
              <w:rPr>
                <w:rStyle w:val="s0"/>
              </w:rPr>
            </w:pPr>
          </w:p>
          <w:p w14:paraId="5058755A" w14:textId="77777777" w:rsidR="003B02C9" w:rsidRPr="00685B75" w:rsidRDefault="003B02C9" w:rsidP="004716B3">
            <w:pPr>
              <w:pStyle w:val="pj"/>
              <w:rPr>
                <w:rStyle w:val="s0"/>
              </w:rPr>
            </w:pPr>
            <w:r w:rsidRPr="00685B75">
              <w:rPr>
                <w:rStyle w:val="s0"/>
              </w:rPr>
              <w:t>5) видов объектов животного мира, их частей, дериватов, полезных свойств и продуктов жизнедеятельности животных с указанием:</w:t>
            </w:r>
          </w:p>
          <w:p w14:paraId="6C9AE3BF" w14:textId="6EA25B64" w:rsidR="003B02C9" w:rsidRDefault="003B02C9" w:rsidP="004716B3">
            <w:pPr>
              <w:pStyle w:val="pj"/>
              <w:rPr>
                <w:rStyle w:val="s0"/>
              </w:rPr>
            </w:pPr>
          </w:p>
          <w:p w14:paraId="65990A54" w14:textId="3B2E3439" w:rsidR="007E2AC3" w:rsidRDefault="007E2AC3" w:rsidP="004716B3">
            <w:pPr>
              <w:pStyle w:val="pj"/>
              <w:rPr>
                <w:rStyle w:val="s0"/>
              </w:rPr>
            </w:pPr>
          </w:p>
          <w:p w14:paraId="76964446" w14:textId="7DC61BE6" w:rsidR="007E2AC3" w:rsidRDefault="007E2AC3" w:rsidP="004716B3">
            <w:pPr>
              <w:pStyle w:val="pj"/>
              <w:rPr>
                <w:rStyle w:val="s0"/>
              </w:rPr>
            </w:pPr>
          </w:p>
          <w:p w14:paraId="34294B1B" w14:textId="2F330AB9" w:rsidR="007E2AC3" w:rsidRDefault="007E2AC3" w:rsidP="004716B3">
            <w:pPr>
              <w:pStyle w:val="pj"/>
              <w:rPr>
                <w:rStyle w:val="s0"/>
              </w:rPr>
            </w:pPr>
          </w:p>
          <w:p w14:paraId="542F32B9" w14:textId="31B9C30B" w:rsidR="007E2AC3" w:rsidRDefault="007E2AC3" w:rsidP="004716B3">
            <w:pPr>
              <w:pStyle w:val="pj"/>
              <w:rPr>
                <w:rStyle w:val="s0"/>
              </w:rPr>
            </w:pPr>
          </w:p>
          <w:p w14:paraId="3E7C3CB0" w14:textId="3F30EE8D" w:rsidR="007E2AC3" w:rsidRDefault="007E2AC3" w:rsidP="004716B3">
            <w:pPr>
              <w:pStyle w:val="pj"/>
              <w:rPr>
                <w:rStyle w:val="s0"/>
              </w:rPr>
            </w:pPr>
          </w:p>
          <w:p w14:paraId="533C5D0E" w14:textId="4DCAC704" w:rsidR="007E2AC3" w:rsidRDefault="007E2AC3" w:rsidP="004716B3">
            <w:pPr>
              <w:pStyle w:val="pj"/>
              <w:rPr>
                <w:rStyle w:val="s0"/>
              </w:rPr>
            </w:pPr>
          </w:p>
          <w:p w14:paraId="7741B1A0" w14:textId="2E484AC7" w:rsidR="007E2AC3" w:rsidRDefault="007E2AC3" w:rsidP="004716B3">
            <w:pPr>
              <w:pStyle w:val="pj"/>
              <w:rPr>
                <w:rStyle w:val="s0"/>
              </w:rPr>
            </w:pPr>
          </w:p>
          <w:p w14:paraId="26696D51" w14:textId="359378AB" w:rsidR="007E2AC3" w:rsidRDefault="007E2AC3" w:rsidP="004716B3">
            <w:pPr>
              <w:pStyle w:val="pj"/>
              <w:rPr>
                <w:rStyle w:val="s0"/>
              </w:rPr>
            </w:pPr>
          </w:p>
          <w:p w14:paraId="75891375" w14:textId="77777777" w:rsidR="007E2AC3" w:rsidRPr="00685B75" w:rsidRDefault="007E2AC3" w:rsidP="004716B3">
            <w:pPr>
              <w:pStyle w:val="pj"/>
              <w:rPr>
                <w:rStyle w:val="s0"/>
              </w:rPr>
            </w:pPr>
          </w:p>
          <w:p w14:paraId="0D1FFF5D" w14:textId="77777777" w:rsidR="003B02C9" w:rsidRPr="00685B75" w:rsidRDefault="003B02C9" w:rsidP="004716B3">
            <w:pPr>
              <w:pStyle w:val="pj"/>
              <w:rPr>
                <w:rStyle w:val="s0"/>
              </w:rPr>
            </w:pPr>
          </w:p>
          <w:p w14:paraId="1F9458B2" w14:textId="77777777" w:rsidR="003B02C9" w:rsidRPr="00685B75" w:rsidRDefault="003B02C9" w:rsidP="004716B3">
            <w:pPr>
              <w:pStyle w:val="pj"/>
            </w:pPr>
            <w:r w:rsidRPr="00685B75">
              <w:rPr>
                <w:rStyle w:val="s0"/>
              </w:rPr>
              <w:t>объемов пользования животным миром;</w:t>
            </w:r>
          </w:p>
          <w:p w14:paraId="191B6A33" w14:textId="77777777" w:rsidR="003B02C9" w:rsidRDefault="003B02C9" w:rsidP="004716B3">
            <w:pPr>
              <w:pStyle w:val="pj"/>
              <w:rPr>
                <w:rStyle w:val="s0"/>
              </w:rPr>
            </w:pPr>
          </w:p>
          <w:p w14:paraId="4BC5EF95" w14:textId="24D1E057" w:rsidR="003B02C9" w:rsidRPr="00685B75" w:rsidRDefault="00D372AC" w:rsidP="004716B3">
            <w:pPr>
              <w:pStyle w:val="pj"/>
            </w:pPr>
            <w:r>
              <w:rPr>
                <w:rStyle w:val="s0"/>
              </w:rPr>
              <w:t>п</w:t>
            </w:r>
            <w:r w:rsidR="003B02C9" w:rsidRPr="00685B75">
              <w:rPr>
                <w:rStyle w:val="s0"/>
              </w:rPr>
              <w:t>редполагаемого места пользования животным миром и вида пользования;</w:t>
            </w:r>
          </w:p>
          <w:p w14:paraId="038504CB" w14:textId="77777777" w:rsidR="003B02C9" w:rsidRPr="00685B75" w:rsidRDefault="003B02C9" w:rsidP="004716B3">
            <w:pPr>
              <w:pStyle w:val="pj"/>
              <w:rPr>
                <w:rStyle w:val="s0"/>
              </w:rPr>
            </w:pPr>
          </w:p>
          <w:p w14:paraId="2115952C" w14:textId="77777777" w:rsidR="003B02C9" w:rsidRPr="00685B75" w:rsidRDefault="003B02C9" w:rsidP="004716B3">
            <w:pPr>
              <w:pStyle w:val="pj"/>
            </w:pPr>
            <w:r w:rsidRPr="00685B75">
              <w:rPr>
                <w:rStyle w:val="s0"/>
              </w:rPr>
              <w:t>иных источников приобретения объектов животного мира, их частей, дериватов и продуктов жизнедеятельности животных;</w:t>
            </w:r>
          </w:p>
          <w:p w14:paraId="54088004" w14:textId="77777777" w:rsidR="003B02C9" w:rsidRPr="00685B75" w:rsidRDefault="003B02C9" w:rsidP="004716B3">
            <w:pPr>
              <w:pStyle w:val="pj"/>
              <w:rPr>
                <w:rStyle w:val="s0"/>
              </w:rPr>
            </w:pPr>
          </w:p>
          <w:p w14:paraId="3058C8FD" w14:textId="09D8BF0C" w:rsidR="003B02C9" w:rsidRDefault="00F92E14" w:rsidP="004716B3">
            <w:pPr>
              <w:pStyle w:val="pj"/>
              <w:rPr>
                <w:rStyle w:val="s0"/>
              </w:rPr>
            </w:pPr>
            <w:r w:rsidRPr="00F92E14">
              <w:rPr>
                <w:rStyle w:val="s0"/>
              </w:rPr>
              <w:lastRenderedPageBreak/>
              <w:t>операций, для которых планируется использование объектов животного мира*:</w:t>
            </w:r>
          </w:p>
          <w:p w14:paraId="5B25D293" w14:textId="77777777" w:rsidR="00F92E14" w:rsidRDefault="00F92E14" w:rsidP="004716B3">
            <w:pPr>
              <w:pStyle w:val="pj"/>
              <w:rPr>
                <w:rStyle w:val="s0"/>
              </w:rPr>
            </w:pPr>
          </w:p>
          <w:p w14:paraId="59234ED3" w14:textId="77777777" w:rsidR="003B02C9" w:rsidRPr="00685B75" w:rsidRDefault="003B02C9" w:rsidP="004716B3">
            <w:pPr>
              <w:pStyle w:val="pj"/>
              <w:rPr>
                <w:rStyle w:val="s0"/>
              </w:rPr>
            </w:pPr>
            <w:r w:rsidRPr="00685B75">
              <w:rPr>
                <w:rStyle w:val="s0"/>
              </w:rPr>
              <w:t>6</w:t>
            </w:r>
            <w:r w:rsidRPr="003B12BA">
              <w:rPr>
                <w:rStyle w:val="s0"/>
              </w:rPr>
              <w:t>) иных ресурсов, необходимых для осуществления намечаемой деятельности (материалов, сырья, изделий, электрической и тепловой энергии) с указанием источника приобретения, объемов и сроков использования;</w:t>
            </w:r>
          </w:p>
          <w:p w14:paraId="3A93E858" w14:textId="77777777" w:rsidR="003B02C9" w:rsidRPr="00685B75" w:rsidRDefault="003B02C9" w:rsidP="004716B3">
            <w:pPr>
              <w:pStyle w:val="pj"/>
            </w:pPr>
          </w:p>
          <w:p w14:paraId="57453CD4" w14:textId="40B6B8AB" w:rsidR="003B02C9" w:rsidRDefault="003B02C9" w:rsidP="004716B3">
            <w:pPr>
              <w:pStyle w:val="pj"/>
            </w:pPr>
          </w:p>
          <w:p w14:paraId="3CD745F9" w14:textId="29A430BC" w:rsidR="00FD13EB" w:rsidRDefault="00FD13EB" w:rsidP="004716B3">
            <w:pPr>
              <w:pStyle w:val="pj"/>
            </w:pPr>
          </w:p>
          <w:p w14:paraId="1AEE5685" w14:textId="4479E4F6" w:rsidR="00FD13EB" w:rsidRDefault="00FD13EB" w:rsidP="004716B3">
            <w:pPr>
              <w:pStyle w:val="pj"/>
            </w:pPr>
          </w:p>
          <w:p w14:paraId="4FB9050B" w14:textId="163B6816" w:rsidR="003B02C9" w:rsidRPr="00685B75" w:rsidRDefault="003B02C9" w:rsidP="00685B75">
            <w:pPr>
              <w:pStyle w:val="pj"/>
              <w:ind w:firstLine="0"/>
              <w:rPr>
                <w:rStyle w:val="s0"/>
              </w:rPr>
            </w:pPr>
            <w:r w:rsidRPr="00685B75">
              <w:rPr>
                <w:rStyle w:val="s0"/>
              </w:rPr>
              <w:t xml:space="preserve">7) риски истощения используемых природных ресурсов, обусловленные их дефицитностью, уникальностью и (или) </w:t>
            </w:r>
            <w:proofErr w:type="spellStart"/>
            <w:r w:rsidRPr="00685B75">
              <w:rPr>
                <w:rStyle w:val="s0"/>
              </w:rPr>
              <w:t>невозобновляемостью</w:t>
            </w:r>
            <w:proofErr w:type="spellEnd"/>
            <w:r w:rsidRPr="00685B75">
              <w:rPr>
                <w:rStyle w:val="s0"/>
              </w:rPr>
              <w:t>.</w:t>
            </w:r>
          </w:p>
        </w:tc>
        <w:tc>
          <w:tcPr>
            <w:tcW w:w="11080" w:type="dxa"/>
          </w:tcPr>
          <w:p w14:paraId="0014CA05" w14:textId="77777777" w:rsidR="003B02C9" w:rsidRPr="00685B75" w:rsidRDefault="003B02C9" w:rsidP="004716B3">
            <w:pPr>
              <w:ind w:hanging="2"/>
              <w:jc w:val="both"/>
            </w:pPr>
          </w:p>
          <w:p w14:paraId="3896D3DF" w14:textId="77777777" w:rsidR="003B02C9" w:rsidRPr="00685B75" w:rsidRDefault="003B02C9" w:rsidP="004716B3">
            <w:pPr>
              <w:jc w:val="both"/>
            </w:pPr>
          </w:p>
          <w:p w14:paraId="0D4AD261" w14:textId="77777777" w:rsidR="003B02C9" w:rsidRPr="00685B75" w:rsidRDefault="003B02C9" w:rsidP="004716B3">
            <w:pPr>
              <w:jc w:val="both"/>
            </w:pPr>
          </w:p>
          <w:p w14:paraId="0A75957A" w14:textId="77777777" w:rsidR="003B02C9" w:rsidRPr="00685B75" w:rsidRDefault="003B02C9" w:rsidP="004716B3">
            <w:pPr>
              <w:jc w:val="both"/>
            </w:pPr>
          </w:p>
          <w:p w14:paraId="5BF432AC" w14:textId="77777777" w:rsidR="003B02C9" w:rsidRPr="00685B75" w:rsidRDefault="003B02C9" w:rsidP="004716B3">
            <w:pPr>
              <w:jc w:val="both"/>
            </w:pPr>
          </w:p>
          <w:p w14:paraId="4248EA05" w14:textId="77777777" w:rsidR="003B02C9" w:rsidRPr="00685B75" w:rsidRDefault="003B02C9" w:rsidP="004716B3">
            <w:pPr>
              <w:jc w:val="both"/>
            </w:pPr>
          </w:p>
          <w:p w14:paraId="02468D20" w14:textId="77777777" w:rsidR="003B02C9" w:rsidRPr="00685B75" w:rsidRDefault="003B02C9" w:rsidP="004716B3">
            <w:pPr>
              <w:jc w:val="both"/>
            </w:pPr>
          </w:p>
          <w:p w14:paraId="67A0A6CA" w14:textId="4610529E" w:rsidR="003B02C9" w:rsidRDefault="003B02C9" w:rsidP="004716B3">
            <w:pPr>
              <w:jc w:val="both"/>
            </w:pPr>
          </w:p>
          <w:p w14:paraId="7B3E5295" w14:textId="20F32082" w:rsidR="002640BA" w:rsidRDefault="002640BA" w:rsidP="004716B3">
            <w:pPr>
              <w:jc w:val="both"/>
            </w:pPr>
          </w:p>
          <w:p w14:paraId="2A32D0CD" w14:textId="7A811D70" w:rsidR="002640BA" w:rsidRDefault="002640BA" w:rsidP="004716B3">
            <w:pPr>
              <w:jc w:val="both"/>
            </w:pPr>
          </w:p>
          <w:p w14:paraId="238B38B4" w14:textId="22BCFCE4" w:rsidR="00902F2B" w:rsidRPr="006927A6" w:rsidRDefault="00902F2B" w:rsidP="00902F2B">
            <w:pPr>
              <w:tabs>
                <w:tab w:val="left" w:pos="1134"/>
              </w:tabs>
              <w:ind w:firstLine="567"/>
              <w:contextualSpacing/>
              <w:jc w:val="both"/>
            </w:pPr>
            <w:bookmarkStart w:id="0" w:name="_Hlk206196475"/>
            <w:r w:rsidRPr="009D69DF">
              <w:t xml:space="preserve">Земельный участок располагается </w:t>
            </w:r>
            <w:r>
              <w:t xml:space="preserve">в Актюбинской области, </w:t>
            </w:r>
            <w:proofErr w:type="spellStart"/>
            <w:r w:rsidR="00CB068E">
              <w:t>Мартукский</w:t>
            </w:r>
            <w:proofErr w:type="spellEnd"/>
            <w:r w:rsidR="00CB068E">
              <w:t xml:space="preserve"> </w:t>
            </w:r>
            <w:r>
              <w:t>район.</w:t>
            </w:r>
          </w:p>
          <w:p w14:paraId="2F0B2756" w14:textId="366E1A31" w:rsidR="00902F2B" w:rsidRPr="009D69DF" w:rsidRDefault="00902F2B" w:rsidP="00902F2B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>Акт на землю №</w:t>
            </w:r>
            <w:r>
              <w:t>202</w:t>
            </w:r>
            <w:r w:rsidR="00CB068E">
              <w:t>4</w:t>
            </w:r>
            <w:r>
              <w:t>-</w:t>
            </w:r>
            <w:r w:rsidR="00CB068E">
              <w:t xml:space="preserve">1455744 </w:t>
            </w:r>
            <w:r w:rsidRPr="009D69DF">
              <w:t xml:space="preserve">от </w:t>
            </w:r>
            <w:r>
              <w:t>2</w:t>
            </w:r>
            <w:r w:rsidR="00CB068E">
              <w:t>8</w:t>
            </w:r>
            <w:r>
              <w:t>.0</w:t>
            </w:r>
            <w:r w:rsidR="00CB068E">
              <w:t>3</w:t>
            </w:r>
            <w:r>
              <w:t>.202</w:t>
            </w:r>
            <w:r w:rsidR="00CB068E">
              <w:t>4</w:t>
            </w:r>
            <w:r w:rsidRPr="00BE670B">
              <w:t xml:space="preserve"> г.</w:t>
            </w:r>
          </w:p>
          <w:p w14:paraId="59F0CED4" w14:textId="52A3A640" w:rsidR="00902F2B" w:rsidRPr="009D69DF" w:rsidRDefault="00902F2B" w:rsidP="00902F2B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>Кадастровый номер</w:t>
            </w:r>
            <w:r>
              <w:t xml:space="preserve"> 02:0</w:t>
            </w:r>
            <w:r w:rsidR="003D4482">
              <w:t>29</w:t>
            </w:r>
            <w:r>
              <w:t>:0</w:t>
            </w:r>
            <w:r w:rsidR="003D4482">
              <w:t>39</w:t>
            </w:r>
            <w:r>
              <w:t>:</w:t>
            </w:r>
            <w:r w:rsidR="003D4482">
              <w:t>265</w:t>
            </w:r>
            <w:r w:rsidRPr="009D69DF">
              <w:t>.</w:t>
            </w:r>
          </w:p>
          <w:p w14:paraId="063B8AE3" w14:textId="64E41A84" w:rsidR="00902F2B" w:rsidRDefault="00902F2B" w:rsidP="00902F2B">
            <w:pPr>
              <w:tabs>
                <w:tab w:val="left" w:pos="1134"/>
              </w:tabs>
              <w:ind w:firstLine="567"/>
              <w:contextualSpacing/>
              <w:jc w:val="both"/>
            </w:pPr>
            <w:r>
              <w:t xml:space="preserve">Вид право на земельный участок: временное возмездное долгосрочное </w:t>
            </w:r>
            <w:r w:rsidR="003D4482">
              <w:t>земле</w:t>
            </w:r>
            <w:r>
              <w:t>поль</w:t>
            </w:r>
            <w:r w:rsidR="003D4482">
              <w:t>з</w:t>
            </w:r>
            <w:r>
              <w:t>ование.</w:t>
            </w:r>
          </w:p>
          <w:p w14:paraId="354BE136" w14:textId="2442C8C9" w:rsidR="00902F2B" w:rsidRDefault="00902F2B" w:rsidP="00902F2B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 xml:space="preserve">Площадь </w:t>
            </w:r>
            <w:r>
              <w:t>земельного участка</w:t>
            </w:r>
            <w:r w:rsidRPr="009D69DF">
              <w:t xml:space="preserve"> составляет </w:t>
            </w:r>
            <w:r w:rsidR="003D4482">
              <w:t>22,9067</w:t>
            </w:r>
            <w:r w:rsidRPr="009D69DF">
              <w:t xml:space="preserve"> га.</w:t>
            </w:r>
          </w:p>
          <w:p w14:paraId="3B0B97AE" w14:textId="42DCF9E3" w:rsidR="00902F2B" w:rsidRPr="009D69DF" w:rsidRDefault="00902F2B" w:rsidP="00902F2B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>Категория земель</w:t>
            </w:r>
            <w:r>
              <w:t>:</w:t>
            </w:r>
            <w:r w:rsidRPr="009D69DF">
              <w:t xml:space="preserve"> </w:t>
            </w:r>
            <w:r>
              <w:t xml:space="preserve">земли </w:t>
            </w:r>
            <w:r w:rsidR="003D4482">
              <w:t>запаса</w:t>
            </w:r>
          </w:p>
          <w:p w14:paraId="46C6B77E" w14:textId="58CEDD6F" w:rsidR="00902F2B" w:rsidRDefault="00902F2B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 xml:space="preserve">Целевое назначение: </w:t>
            </w:r>
            <w:r w:rsidR="003D4482">
              <w:t xml:space="preserve">Для размещения и эксплуатации промышленной площадки горно-обогатительного комплекса, карьеров для добычи твердых полезных ископаемых </w:t>
            </w:r>
            <w:proofErr w:type="gramStart"/>
            <w:r w:rsidR="003D4482">
              <w:t>( титан</w:t>
            </w:r>
            <w:proofErr w:type="gramEnd"/>
            <w:r w:rsidR="003D4482">
              <w:t>-цирконий) с подъездными дорогами на месторождении «</w:t>
            </w:r>
            <w:proofErr w:type="spellStart"/>
            <w:r w:rsidR="003D4482">
              <w:t>Шокаш</w:t>
            </w:r>
            <w:proofErr w:type="spellEnd"/>
            <w:r w:rsidR="003D4482">
              <w:t>»(участок № 1)</w:t>
            </w:r>
          </w:p>
          <w:p w14:paraId="507A28FA" w14:textId="77777777" w:rsidR="00902F2B" w:rsidRPr="009D69DF" w:rsidRDefault="00902F2B" w:rsidP="00902F2B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 xml:space="preserve">Ограничений в использовании и обременения земельного участка: нет. </w:t>
            </w:r>
          </w:p>
          <w:p w14:paraId="7982CE3E" w14:textId="471F7EB5" w:rsidR="00902F2B" w:rsidRPr="009D69DF" w:rsidRDefault="00902F2B" w:rsidP="00902F2B">
            <w:pPr>
              <w:tabs>
                <w:tab w:val="left" w:pos="1134"/>
              </w:tabs>
              <w:ind w:firstLine="567"/>
              <w:contextualSpacing/>
              <w:jc w:val="both"/>
            </w:pPr>
            <w:r>
              <w:lastRenderedPageBreak/>
              <w:t xml:space="preserve">Делимость земельного участка: </w:t>
            </w:r>
            <w:r w:rsidRPr="009D69DF">
              <w:t>делимый</w:t>
            </w:r>
            <w:r>
              <w:t>.</w:t>
            </w:r>
          </w:p>
          <w:bookmarkEnd w:id="0"/>
          <w:p w14:paraId="4A0F0AD9" w14:textId="77777777" w:rsidR="003D4482" w:rsidRDefault="003D4482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</w:p>
          <w:p w14:paraId="72C3B16D" w14:textId="37A18243" w:rsidR="003D4482" w:rsidRPr="006927A6" w:rsidRDefault="003D4482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 xml:space="preserve">Земельный участок располагается </w:t>
            </w:r>
            <w:r>
              <w:t xml:space="preserve">в Актюбинской области, </w:t>
            </w:r>
            <w:proofErr w:type="spellStart"/>
            <w:r>
              <w:t>Мартукский</w:t>
            </w:r>
            <w:proofErr w:type="spellEnd"/>
            <w:r>
              <w:t xml:space="preserve"> район.</w:t>
            </w:r>
          </w:p>
          <w:p w14:paraId="587A9CCE" w14:textId="575B86AB" w:rsidR="003D4482" w:rsidRPr="009D69DF" w:rsidRDefault="003D4482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>Акт на землю №</w:t>
            </w:r>
            <w:r>
              <w:t xml:space="preserve">2024-1460903 </w:t>
            </w:r>
            <w:r w:rsidRPr="009D69DF">
              <w:t xml:space="preserve">от </w:t>
            </w:r>
            <w:r>
              <w:t>28.03.2024</w:t>
            </w:r>
            <w:r w:rsidRPr="00BE670B">
              <w:t xml:space="preserve"> г.</w:t>
            </w:r>
          </w:p>
          <w:p w14:paraId="72DE6E90" w14:textId="77777777" w:rsidR="003D4482" w:rsidRPr="009D69DF" w:rsidRDefault="003D4482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>Кадастровый номер</w:t>
            </w:r>
            <w:r>
              <w:t xml:space="preserve"> 02:029:039:264</w:t>
            </w:r>
            <w:r w:rsidRPr="009D69DF">
              <w:t>.</w:t>
            </w:r>
          </w:p>
          <w:p w14:paraId="5A448172" w14:textId="77777777" w:rsidR="003D4482" w:rsidRDefault="003D4482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  <w:r>
              <w:t>Вид право на земельный участок: временное возмездное долгосрочное землепользование.</w:t>
            </w:r>
          </w:p>
          <w:p w14:paraId="1126EB6D" w14:textId="77777777" w:rsidR="003D4482" w:rsidRDefault="003D4482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 xml:space="preserve">Площадь </w:t>
            </w:r>
            <w:r>
              <w:t>земельного участка</w:t>
            </w:r>
            <w:r w:rsidRPr="009D69DF">
              <w:t xml:space="preserve"> составляет </w:t>
            </w:r>
            <w:r>
              <w:t>285,</w:t>
            </w:r>
            <w:proofErr w:type="gramStart"/>
            <w:r>
              <w:t xml:space="preserve">5819 </w:t>
            </w:r>
            <w:r w:rsidRPr="009D69DF">
              <w:t xml:space="preserve"> га</w:t>
            </w:r>
            <w:proofErr w:type="gramEnd"/>
            <w:r w:rsidRPr="009D69DF">
              <w:t>.</w:t>
            </w:r>
          </w:p>
          <w:p w14:paraId="1D22757D" w14:textId="77777777" w:rsidR="003D4482" w:rsidRPr="009D69DF" w:rsidRDefault="003D4482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>Категория земель</w:t>
            </w:r>
            <w:r>
              <w:t>:</w:t>
            </w:r>
            <w:r w:rsidRPr="009D69DF">
              <w:t xml:space="preserve"> </w:t>
            </w:r>
            <w:r>
              <w:t>земли запаса</w:t>
            </w:r>
          </w:p>
          <w:p w14:paraId="4E01FB6D" w14:textId="77777777" w:rsidR="003D4482" w:rsidRDefault="003D4482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 xml:space="preserve">Целевое назначение: </w:t>
            </w:r>
            <w:r>
              <w:t xml:space="preserve">Для размещения и эксплуатации промышленной площадки горно-обогатительного комплекса, карьеров для добычи твердых полезных ископаемых </w:t>
            </w:r>
            <w:proofErr w:type="gramStart"/>
            <w:r>
              <w:t>( титан</w:t>
            </w:r>
            <w:proofErr w:type="gramEnd"/>
            <w:r>
              <w:t>-цирконий) с подъездными дорогами на месторождении «</w:t>
            </w:r>
            <w:proofErr w:type="spellStart"/>
            <w:r>
              <w:t>Шокаш</w:t>
            </w:r>
            <w:proofErr w:type="spellEnd"/>
            <w:r>
              <w:t>»(участок № 1)</w:t>
            </w:r>
          </w:p>
          <w:p w14:paraId="3D175539" w14:textId="77777777" w:rsidR="003D4482" w:rsidRPr="009D69DF" w:rsidRDefault="003D4482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 xml:space="preserve">Ограничений в использовании и обременения земельного участка: нет. </w:t>
            </w:r>
          </w:p>
          <w:p w14:paraId="432D3044" w14:textId="77777777" w:rsidR="003D4482" w:rsidRPr="009D69DF" w:rsidRDefault="003D4482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  <w:r>
              <w:t xml:space="preserve">Делимость земельного участка: </w:t>
            </w:r>
            <w:r w:rsidRPr="009D69DF">
              <w:t>делимый</w:t>
            </w:r>
            <w:r>
              <w:t>.</w:t>
            </w:r>
          </w:p>
          <w:p w14:paraId="3EC016D4" w14:textId="7CBAF71F" w:rsidR="00C7742D" w:rsidRDefault="00C7742D" w:rsidP="004716B3">
            <w:pPr>
              <w:ind w:right="140"/>
              <w:contextualSpacing/>
              <w:jc w:val="both"/>
              <w:rPr>
                <w:rFonts w:eastAsia="Arial"/>
              </w:rPr>
            </w:pPr>
          </w:p>
          <w:p w14:paraId="50B37563" w14:textId="77777777" w:rsidR="003D4482" w:rsidRPr="006927A6" w:rsidRDefault="003D4482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 xml:space="preserve">Земельный участок располагается </w:t>
            </w:r>
            <w:r>
              <w:t xml:space="preserve">в Актюбинской области, </w:t>
            </w:r>
            <w:proofErr w:type="spellStart"/>
            <w:r>
              <w:t>Мартукский</w:t>
            </w:r>
            <w:proofErr w:type="spellEnd"/>
            <w:r>
              <w:t xml:space="preserve"> район.</w:t>
            </w:r>
          </w:p>
          <w:p w14:paraId="0FAB4650" w14:textId="3DD84722" w:rsidR="003D4482" w:rsidRPr="009D69DF" w:rsidRDefault="003D4482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>Акт на землю №</w:t>
            </w:r>
            <w:r>
              <w:t xml:space="preserve">2024-1465970 </w:t>
            </w:r>
            <w:r w:rsidRPr="009D69DF">
              <w:t xml:space="preserve">от </w:t>
            </w:r>
            <w:r>
              <w:t>29.03.2024</w:t>
            </w:r>
            <w:r w:rsidRPr="00BE670B">
              <w:t xml:space="preserve"> г.</w:t>
            </w:r>
          </w:p>
          <w:p w14:paraId="38B51B64" w14:textId="47532373" w:rsidR="003D4482" w:rsidRPr="009D69DF" w:rsidRDefault="003D4482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>Кадастровый номер</w:t>
            </w:r>
            <w:r>
              <w:t xml:space="preserve"> 02:029:039:266</w:t>
            </w:r>
            <w:r w:rsidRPr="009D69DF">
              <w:t>.</w:t>
            </w:r>
          </w:p>
          <w:p w14:paraId="16E8AB3D" w14:textId="77777777" w:rsidR="003D4482" w:rsidRDefault="003D4482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  <w:r>
              <w:t>Вид право на земельный участок: временное возмездное долгосрочное землепользование.</w:t>
            </w:r>
          </w:p>
          <w:p w14:paraId="76FE09D1" w14:textId="1C2B8F14" w:rsidR="003D4482" w:rsidRDefault="003D4482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 xml:space="preserve">Площадь </w:t>
            </w:r>
            <w:r>
              <w:t>земельного участка</w:t>
            </w:r>
            <w:r w:rsidRPr="009D69DF">
              <w:t xml:space="preserve"> составляет </w:t>
            </w:r>
            <w:r>
              <w:t>19,9075</w:t>
            </w:r>
            <w:r w:rsidRPr="009D69DF">
              <w:t xml:space="preserve"> га.</w:t>
            </w:r>
          </w:p>
          <w:p w14:paraId="0ACB7BC8" w14:textId="77777777" w:rsidR="003D4482" w:rsidRPr="009D69DF" w:rsidRDefault="003D4482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>Категория земель</w:t>
            </w:r>
            <w:r>
              <w:t>:</w:t>
            </w:r>
            <w:r w:rsidRPr="009D69DF">
              <w:t xml:space="preserve"> </w:t>
            </w:r>
            <w:r>
              <w:t>земли запаса</w:t>
            </w:r>
          </w:p>
          <w:p w14:paraId="3B586E04" w14:textId="77777777" w:rsidR="003D4482" w:rsidRDefault="003D4482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 xml:space="preserve">Целевое назначение: </w:t>
            </w:r>
            <w:r>
              <w:t xml:space="preserve">Для размещения и эксплуатации промышленной площадки горно-обогатительного комплекса, карьеров для добычи твердых полезных ископаемых </w:t>
            </w:r>
            <w:proofErr w:type="gramStart"/>
            <w:r>
              <w:t>( титан</w:t>
            </w:r>
            <w:proofErr w:type="gramEnd"/>
            <w:r>
              <w:t>-цирконий) с подъездными дорогами на месторождении «</w:t>
            </w:r>
            <w:proofErr w:type="spellStart"/>
            <w:r>
              <w:t>Шокаш</w:t>
            </w:r>
            <w:proofErr w:type="spellEnd"/>
            <w:r>
              <w:t>»(участок № 1)</w:t>
            </w:r>
          </w:p>
          <w:p w14:paraId="4A81586F" w14:textId="77777777" w:rsidR="003D4482" w:rsidRPr="009D69DF" w:rsidRDefault="003D4482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  <w:r w:rsidRPr="009D69DF">
              <w:t xml:space="preserve">Ограничений в использовании и обременения земельного участка: нет. </w:t>
            </w:r>
          </w:p>
          <w:p w14:paraId="5F2A7104" w14:textId="77777777" w:rsidR="003D4482" w:rsidRPr="009D69DF" w:rsidRDefault="003D4482" w:rsidP="003D4482">
            <w:pPr>
              <w:tabs>
                <w:tab w:val="left" w:pos="1134"/>
              </w:tabs>
              <w:ind w:firstLine="567"/>
              <w:contextualSpacing/>
              <w:jc w:val="both"/>
            </w:pPr>
            <w:r>
              <w:t xml:space="preserve">Делимость земельного участка: </w:t>
            </w:r>
            <w:r w:rsidRPr="009D69DF">
              <w:t>делимый</w:t>
            </w:r>
            <w:r>
              <w:t>.</w:t>
            </w:r>
          </w:p>
          <w:p w14:paraId="2BA76AA8" w14:textId="77777777" w:rsidR="003D4482" w:rsidRDefault="003D4482" w:rsidP="004716B3">
            <w:pPr>
              <w:ind w:right="140"/>
              <w:contextualSpacing/>
              <w:jc w:val="both"/>
              <w:rPr>
                <w:rFonts w:eastAsia="Arial"/>
              </w:rPr>
            </w:pPr>
          </w:p>
          <w:p w14:paraId="718A08DF" w14:textId="77777777" w:rsidR="002640BA" w:rsidRDefault="002640BA" w:rsidP="004716B3">
            <w:pPr>
              <w:ind w:right="140"/>
              <w:contextualSpacing/>
              <w:jc w:val="both"/>
              <w:rPr>
                <w:rFonts w:eastAsia="Arial"/>
              </w:rPr>
            </w:pPr>
          </w:p>
          <w:p w14:paraId="21193502" w14:textId="77777777" w:rsidR="003D4482" w:rsidRDefault="003D4482" w:rsidP="003D4482">
            <w:pPr>
              <w:contextualSpacing/>
              <w:jc w:val="both"/>
            </w:pPr>
            <w:r>
              <w:t xml:space="preserve">На предприятии имеются 6 наблюдательных скважин и 16 </w:t>
            </w:r>
            <w:proofErr w:type="spellStart"/>
            <w:r>
              <w:t>гидроскважин</w:t>
            </w:r>
            <w:proofErr w:type="spellEnd"/>
            <w:r>
              <w:t xml:space="preserve"> используемых в технологическом процессе. Есть разрешение на </w:t>
            </w:r>
            <w:proofErr w:type="spellStart"/>
            <w:r>
              <w:t>спецводпользование</w:t>
            </w:r>
            <w:proofErr w:type="spellEnd"/>
            <w:r>
              <w:t xml:space="preserve"> – прилагаем отдельно.</w:t>
            </w:r>
          </w:p>
          <w:p w14:paraId="5F136385" w14:textId="77777777" w:rsidR="003D4482" w:rsidRPr="003E048B" w:rsidRDefault="003D4482" w:rsidP="003D4482">
            <w:pPr>
              <w:pStyle w:val="Default"/>
              <w:ind w:firstLine="567"/>
              <w:jc w:val="both"/>
            </w:pPr>
            <w:r w:rsidRPr="003E048B">
              <w:t xml:space="preserve">Предприятие обеспечивает всех работающих доброкачественной питьевой водовозками. водой, удовлетворяющей требованиям СанПиН 2.1.4.1116-02 «Питьевая вода. Гигиенические требования к качеству воды, расфасованной в емкости. Контроль качества». Расход воды на одного работающего не менее 25л/смену. </w:t>
            </w:r>
          </w:p>
          <w:p w14:paraId="05DDBE56" w14:textId="77777777" w:rsidR="003D4482" w:rsidRPr="003E048B" w:rsidRDefault="003D4482" w:rsidP="003D4482">
            <w:pPr>
              <w:pStyle w:val="Default"/>
              <w:ind w:firstLine="567"/>
              <w:jc w:val="both"/>
            </w:pPr>
            <w:r w:rsidRPr="003E048B">
              <w:t xml:space="preserve">Водоснабжение месторождения осуществляется за счет привозной воды водовозками. На рабочих местах питьевая вода хранится в специальных термосах емкостью 30л. </w:t>
            </w:r>
            <w:r>
              <w:t>Есть договор, прилагаем отдельно.</w:t>
            </w:r>
          </w:p>
          <w:p w14:paraId="26DB94A1" w14:textId="77777777" w:rsidR="003D4482" w:rsidRPr="003E048B" w:rsidRDefault="003D4482" w:rsidP="003D4482">
            <w:pPr>
              <w:pStyle w:val="Default"/>
              <w:ind w:firstLine="567"/>
              <w:jc w:val="both"/>
            </w:pPr>
            <w:r w:rsidRPr="003E048B">
              <w:t xml:space="preserve">Сосуды для питьевой воды изготавливаются из материалов, легко очищаемых и дезинфицируемых, снабжены кранами фонтанного типа и защищаются от загрязнений крышками, запертыми на замок, и не реже одного раза в неделю промываться горячей водой или дезинфицироваться. </w:t>
            </w:r>
          </w:p>
          <w:p w14:paraId="50E19E7B" w14:textId="77777777" w:rsidR="003D4482" w:rsidRPr="003E048B" w:rsidRDefault="003D4482" w:rsidP="003D4482">
            <w:pPr>
              <w:pStyle w:val="Default"/>
              <w:ind w:firstLine="567"/>
              <w:jc w:val="both"/>
            </w:pPr>
            <w:r w:rsidRPr="003E048B">
              <w:lastRenderedPageBreak/>
              <w:t xml:space="preserve">Сосуды с питьевой водой размещаются на участках работ таким образом, чтобы обеспечить водой рабочих предприятия. </w:t>
            </w:r>
          </w:p>
          <w:p w14:paraId="3F827C19" w14:textId="7DE3B7C9" w:rsidR="003B02C9" w:rsidRPr="00902F2B" w:rsidRDefault="007E2AC3" w:rsidP="004716B3">
            <w:pPr>
              <w:jc w:val="both"/>
              <w:rPr>
                <w:highlight w:val="yellow"/>
              </w:rPr>
            </w:pPr>
            <w:r>
              <w:rPr>
                <w:sz w:val="23"/>
                <w:szCs w:val="23"/>
              </w:rPr>
              <w:t xml:space="preserve">Ближайший постоянно действующий водоток – река Кара-Хобда находится в 16 км юго-западнее месторождения. </w:t>
            </w:r>
            <w:r w:rsidR="003D4482">
              <w:rPr>
                <w:sz w:val="23"/>
                <w:szCs w:val="23"/>
              </w:rPr>
              <w:t xml:space="preserve">Объект не попадает в </w:t>
            </w:r>
            <w:proofErr w:type="spellStart"/>
            <w:r w:rsidR="003D4482">
              <w:rPr>
                <w:sz w:val="23"/>
                <w:szCs w:val="23"/>
              </w:rPr>
              <w:t>водоохранные</w:t>
            </w:r>
            <w:proofErr w:type="spellEnd"/>
            <w:r w:rsidR="003D4482">
              <w:rPr>
                <w:sz w:val="23"/>
                <w:szCs w:val="23"/>
              </w:rPr>
              <w:t xml:space="preserve"> зоны и полосы.</w:t>
            </w:r>
          </w:p>
          <w:p w14:paraId="1F143468" w14:textId="455B7E1F" w:rsidR="003B02C9" w:rsidRPr="00902F2B" w:rsidRDefault="003B02C9" w:rsidP="004716B3">
            <w:pPr>
              <w:jc w:val="both"/>
              <w:rPr>
                <w:highlight w:val="yellow"/>
              </w:rPr>
            </w:pPr>
          </w:p>
          <w:p w14:paraId="652B417C" w14:textId="77B5E76E" w:rsidR="003B02C9" w:rsidRPr="00902F2B" w:rsidRDefault="003B02C9" w:rsidP="004716B3">
            <w:pPr>
              <w:jc w:val="both"/>
              <w:rPr>
                <w:highlight w:val="yellow"/>
              </w:rPr>
            </w:pPr>
          </w:p>
          <w:p w14:paraId="529DC642" w14:textId="09CBA0CE" w:rsidR="00B416B4" w:rsidRDefault="00B416B4" w:rsidP="004716B3">
            <w:pPr>
              <w:jc w:val="both"/>
              <w:rPr>
                <w:rFonts w:eastAsia="TimesNewRoman"/>
                <w:highlight w:val="yellow"/>
              </w:rPr>
            </w:pPr>
          </w:p>
          <w:p w14:paraId="56974B93" w14:textId="77777777" w:rsidR="00B416B4" w:rsidRDefault="00B416B4" w:rsidP="00B416B4">
            <w:pPr>
              <w:jc w:val="both"/>
              <w:rPr>
                <w:rFonts w:cs="Arial"/>
              </w:rPr>
            </w:pPr>
            <w:r w:rsidRPr="00685B75">
              <w:t>Вид водопользования</w:t>
            </w:r>
            <w:r w:rsidRPr="00685B75">
              <w:rPr>
                <w:rFonts w:cs="Arial"/>
              </w:rPr>
              <w:t xml:space="preserve">: общее. Качество питьевая и не </w:t>
            </w:r>
            <w:r>
              <w:rPr>
                <w:rFonts w:cs="Arial"/>
              </w:rPr>
              <w:t>питьевая.</w:t>
            </w:r>
          </w:p>
          <w:p w14:paraId="6B76EFD4" w14:textId="77777777" w:rsidR="00B416B4" w:rsidRPr="00902F2B" w:rsidRDefault="00B416B4" w:rsidP="004716B3">
            <w:pPr>
              <w:jc w:val="both"/>
              <w:rPr>
                <w:bCs/>
                <w:highlight w:val="yellow"/>
              </w:rPr>
            </w:pPr>
          </w:p>
          <w:p w14:paraId="48108D41" w14:textId="3AA03AF1" w:rsidR="00D372AC" w:rsidRDefault="00D372AC" w:rsidP="004716B3">
            <w:pPr>
              <w:jc w:val="both"/>
              <w:rPr>
                <w:bCs/>
                <w:highlight w:val="yellow"/>
              </w:rPr>
            </w:pPr>
          </w:p>
          <w:p w14:paraId="3001F5D6" w14:textId="5640D4C1" w:rsidR="003D4482" w:rsidRDefault="003D4482" w:rsidP="004716B3">
            <w:pPr>
              <w:jc w:val="both"/>
              <w:rPr>
                <w:bCs/>
                <w:highlight w:val="yellow"/>
              </w:rPr>
            </w:pPr>
          </w:p>
          <w:p w14:paraId="102ECAEE" w14:textId="77777777" w:rsidR="003D4482" w:rsidRPr="00902F2B" w:rsidRDefault="003D4482" w:rsidP="004716B3">
            <w:pPr>
              <w:jc w:val="both"/>
              <w:rPr>
                <w:bCs/>
                <w:highlight w:val="yellow"/>
              </w:rPr>
            </w:pPr>
          </w:p>
          <w:p w14:paraId="3C42912C" w14:textId="77777777" w:rsidR="00EA3A62" w:rsidRPr="00902F2B" w:rsidRDefault="00EA3A62" w:rsidP="00EA3A62">
            <w:pPr>
              <w:jc w:val="both"/>
              <w:rPr>
                <w:bCs/>
                <w:highlight w:val="yellow"/>
              </w:rPr>
            </w:pPr>
          </w:p>
          <w:p w14:paraId="78D2ACD9" w14:textId="77777777" w:rsidR="00B416B4" w:rsidRDefault="00B416B4" w:rsidP="00B416B4">
            <w:pPr>
              <w:tabs>
                <w:tab w:val="left" w:pos="9498"/>
              </w:tabs>
              <w:ind w:right="-31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Объем использования технической воды на объекте:</w:t>
            </w:r>
          </w:p>
          <w:p w14:paraId="3D3C79A3" w14:textId="589A90B7" w:rsidR="007E2AC3" w:rsidRDefault="007E2AC3" w:rsidP="003D4482">
            <w:pPr>
              <w:contextualSpacing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 xml:space="preserve"> Питьевые нужды – 50.4 м3/год</w:t>
            </w:r>
          </w:p>
          <w:p w14:paraId="01A30EDF" w14:textId="0F0D4A12" w:rsidR="007E2AC3" w:rsidRDefault="007E2AC3" w:rsidP="003D4482">
            <w:pPr>
              <w:contextualSpacing/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bCs/>
                <w:sz w:val="22"/>
                <w:szCs w:val="22"/>
                <w:shd w:val="clear" w:color="auto" w:fill="FFFFFF"/>
              </w:rPr>
              <w:t>Хоз</w:t>
            </w:r>
            <w:proofErr w:type="spellEnd"/>
            <w:r>
              <w:rPr>
                <w:bCs/>
                <w:sz w:val="22"/>
                <w:szCs w:val="22"/>
                <w:shd w:val="clear" w:color="auto" w:fill="FFFFFF"/>
              </w:rPr>
              <w:t>-бытовые нужды – 277,2 м3/год.</w:t>
            </w:r>
          </w:p>
          <w:p w14:paraId="3486099C" w14:textId="15198AC6" w:rsidR="003D4482" w:rsidRDefault="007E2AC3" w:rsidP="003D4482">
            <w:pPr>
              <w:contextualSpacing/>
              <w:jc w:val="both"/>
              <w:rPr>
                <w:color w:val="000000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 xml:space="preserve">Технические нужды </w:t>
            </w:r>
            <w:r w:rsidR="00B416B4">
              <w:rPr>
                <w:bCs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- </w:t>
            </w:r>
            <w:r w:rsidR="003D4482">
              <w:rPr>
                <w:color w:val="000000"/>
              </w:rPr>
              <w:t xml:space="preserve">384 000 м3/год. </w:t>
            </w:r>
          </w:p>
          <w:p w14:paraId="5BABF7B6" w14:textId="77777777" w:rsidR="00B416B4" w:rsidRDefault="00B416B4" w:rsidP="00DB24E5">
            <w:pPr>
              <w:autoSpaceDE w:val="0"/>
              <w:autoSpaceDN w:val="0"/>
              <w:adjustRightInd w:val="0"/>
              <w:rPr>
                <w:rFonts w:eastAsia="TimesNewRoman"/>
                <w:highlight w:val="yellow"/>
              </w:rPr>
            </w:pPr>
          </w:p>
          <w:p w14:paraId="2540405E" w14:textId="77777777" w:rsidR="00B416B4" w:rsidRDefault="00B416B4" w:rsidP="00DB24E5">
            <w:pPr>
              <w:autoSpaceDE w:val="0"/>
              <w:autoSpaceDN w:val="0"/>
              <w:adjustRightInd w:val="0"/>
              <w:rPr>
                <w:rFonts w:eastAsia="TimesNewRoman"/>
                <w:highlight w:val="yellow"/>
              </w:rPr>
            </w:pPr>
          </w:p>
          <w:p w14:paraId="6089E134" w14:textId="77777777" w:rsidR="00B416B4" w:rsidRDefault="00B416B4" w:rsidP="00DB24E5">
            <w:pPr>
              <w:autoSpaceDE w:val="0"/>
              <w:autoSpaceDN w:val="0"/>
              <w:adjustRightInd w:val="0"/>
              <w:rPr>
                <w:rFonts w:eastAsia="TimesNewRoman"/>
                <w:highlight w:val="yellow"/>
              </w:rPr>
            </w:pPr>
          </w:p>
          <w:p w14:paraId="13533C3C" w14:textId="77777777" w:rsidR="007E2AC3" w:rsidRDefault="007E2AC3" w:rsidP="00B416B4">
            <w:pPr>
              <w:jc w:val="both"/>
            </w:pPr>
          </w:p>
          <w:p w14:paraId="6696272F" w14:textId="77777777" w:rsidR="007E2AC3" w:rsidRPr="001F4152" w:rsidRDefault="00B416B4" w:rsidP="007E2AC3">
            <w:pPr>
              <w:tabs>
                <w:tab w:val="left" w:pos="6946"/>
              </w:tabs>
              <w:contextualSpacing/>
              <w:jc w:val="both"/>
            </w:pPr>
            <w:r w:rsidRPr="003B12BA">
              <w:t>На период эксплуатации</w:t>
            </w:r>
            <w:r>
              <w:t xml:space="preserve"> </w:t>
            </w:r>
            <w:r w:rsidRPr="00685B75">
              <w:t>вода будет использоваться для питьевых</w:t>
            </w:r>
            <w:r>
              <w:t>,</w:t>
            </w:r>
            <w:r w:rsidRPr="00685B75">
              <w:t xml:space="preserve"> хозяйственно-бытовых</w:t>
            </w:r>
            <w:r>
              <w:t xml:space="preserve"> и технических нужд</w:t>
            </w:r>
            <w:r w:rsidRPr="00685B75">
              <w:t xml:space="preserve">. </w:t>
            </w:r>
            <w:r w:rsidR="007E2AC3" w:rsidRPr="001F4152">
              <w:t>Производственное (техническое) водоснабжение</w:t>
            </w:r>
            <w:r w:rsidR="007E2AC3" w:rsidRPr="001F4152">
              <w:rPr>
                <w:b/>
              </w:rPr>
              <w:t xml:space="preserve"> </w:t>
            </w:r>
            <w:r w:rsidR="007E2AC3" w:rsidRPr="001F4152">
              <w:t>предусмотрено на оро</w:t>
            </w:r>
            <w:r w:rsidR="007E2AC3">
              <w:t>ш</w:t>
            </w:r>
            <w:r w:rsidR="007E2AC3" w:rsidRPr="001F4152">
              <w:t>ение дорог и складов.</w:t>
            </w:r>
          </w:p>
          <w:p w14:paraId="76408BC6" w14:textId="3CAEA741" w:rsidR="00B416B4" w:rsidRPr="007E2AC3" w:rsidRDefault="00B416B4" w:rsidP="00B416B4">
            <w:pPr>
              <w:jc w:val="both"/>
            </w:pPr>
          </w:p>
          <w:p w14:paraId="21FB0942" w14:textId="77777777" w:rsidR="00DB24E5" w:rsidRPr="00902F2B" w:rsidRDefault="00DB24E5" w:rsidP="004716B3">
            <w:pPr>
              <w:jc w:val="both"/>
              <w:rPr>
                <w:highlight w:val="yellow"/>
              </w:rPr>
            </w:pPr>
          </w:p>
          <w:p w14:paraId="0B1F75EA" w14:textId="77777777" w:rsidR="00DB24E5" w:rsidRPr="00902F2B" w:rsidRDefault="00DB24E5" w:rsidP="004716B3">
            <w:pPr>
              <w:jc w:val="both"/>
              <w:rPr>
                <w:highlight w:val="yellow"/>
              </w:rPr>
            </w:pPr>
          </w:p>
          <w:p w14:paraId="4E1A9695" w14:textId="77777777" w:rsidR="00DB24E5" w:rsidRPr="00087CD4" w:rsidRDefault="00DB24E5" w:rsidP="00AC07C8">
            <w:pPr>
              <w:jc w:val="both"/>
            </w:pPr>
            <w:r w:rsidRPr="00087CD4">
              <w:t>Намечаемая деятельность не является объектом недропользования.</w:t>
            </w:r>
          </w:p>
          <w:p w14:paraId="2AD18BCA" w14:textId="13878ED0" w:rsidR="00AC07C8" w:rsidRPr="00087CD4" w:rsidRDefault="00AC07C8" w:rsidP="00AC07C8">
            <w:pPr>
              <w:jc w:val="both"/>
            </w:pPr>
            <w:r w:rsidRPr="00087CD4">
              <w:t xml:space="preserve">Координаты земельного участка </w:t>
            </w:r>
            <w:r w:rsidR="007E2AC3">
              <w:rPr>
                <w:sz w:val="23"/>
                <w:szCs w:val="23"/>
              </w:rPr>
              <w:t>50° 25' 28,00</w:t>
            </w:r>
            <w:proofErr w:type="gramStart"/>
            <w:r w:rsidR="007E2AC3">
              <w:rPr>
                <w:sz w:val="23"/>
                <w:szCs w:val="23"/>
              </w:rPr>
              <w:t xml:space="preserve">"  </w:t>
            </w:r>
            <w:proofErr w:type="spellStart"/>
            <w:r w:rsidR="00DB24E5" w:rsidRPr="00087CD4">
              <w:rPr>
                <w:sz w:val="22"/>
                <w:szCs w:val="22"/>
                <w:shd w:val="clear" w:color="auto" w:fill="FFFFFF"/>
              </w:rPr>
              <w:t>с.ш</w:t>
            </w:r>
            <w:proofErr w:type="spellEnd"/>
            <w:r w:rsidR="00DB24E5" w:rsidRPr="00087CD4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DB24E5" w:rsidRPr="00087CD4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7E2AC3">
              <w:rPr>
                <w:sz w:val="23"/>
                <w:szCs w:val="23"/>
              </w:rPr>
              <w:t xml:space="preserve">56° 18' 01,01" </w:t>
            </w:r>
            <w:proofErr w:type="spellStart"/>
            <w:r w:rsidR="00DB24E5" w:rsidRPr="00087CD4">
              <w:rPr>
                <w:sz w:val="22"/>
                <w:szCs w:val="22"/>
                <w:shd w:val="clear" w:color="auto" w:fill="FFFFFF"/>
              </w:rPr>
              <w:t>в.д</w:t>
            </w:r>
            <w:proofErr w:type="spellEnd"/>
            <w:r w:rsidR="00DB24E5" w:rsidRPr="00087CD4"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="007E2AC3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7E2AC3">
              <w:rPr>
                <w:sz w:val="23"/>
                <w:szCs w:val="23"/>
              </w:rPr>
              <w:t xml:space="preserve">50° 23' 12,56" </w:t>
            </w:r>
            <w:proofErr w:type="spellStart"/>
            <w:r w:rsidR="007E2AC3" w:rsidRPr="00087CD4">
              <w:rPr>
                <w:sz w:val="22"/>
                <w:szCs w:val="22"/>
                <w:shd w:val="clear" w:color="auto" w:fill="FFFFFF"/>
              </w:rPr>
              <w:t>с.ш</w:t>
            </w:r>
            <w:proofErr w:type="spellEnd"/>
            <w:r w:rsidR="007E2AC3" w:rsidRPr="00087CD4">
              <w:rPr>
                <w:sz w:val="22"/>
                <w:szCs w:val="22"/>
                <w:shd w:val="clear" w:color="auto" w:fill="FFFFFF"/>
              </w:rPr>
              <w:t>.</w:t>
            </w:r>
            <w:r w:rsidR="007E2AC3">
              <w:rPr>
                <w:sz w:val="23"/>
                <w:szCs w:val="23"/>
              </w:rPr>
              <w:t xml:space="preserve"> 56° 17' 54,19</w:t>
            </w:r>
            <w:proofErr w:type="gramStart"/>
            <w:r w:rsidR="007E2AC3">
              <w:rPr>
                <w:sz w:val="23"/>
                <w:szCs w:val="23"/>
              </w:rPr>
              <w:t xml:space="preserve">" </w:t>
            </w:r>
            <w:r w:rsidR="007E2AC3" w:rsidRPr="00087CD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7E2AC3" w:rsidRPr="00087CD4">
              <w:rPr>
                <w:sz w:val="22"/>
                <w:szCs w:val="22"/>
                <w:shd w:val="clear" w:color="auto" w:fill="FFFFFF"/>
              </w:rPr>
              <w:t>в.д</w:t>
            </w:r>
            <w:proofErr w:type="spellEnd"/>
            <w:r w:rsidR="007E2AC3" w:rsidRPr="00087CD4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7E2AC3">
              <w:rPr>
                <w:sz w:val="23"/>
                <w:szCs w:val="23"/>
              </w:rPr>
              <w:t xml:space="preserve">  50° 25' 07,00" </w:t>
            </w:r>
            <w:proofErr w:type="spellStart"/>
            <w:r w:rsidR="007E2AC3" w:rsidRPr="00087CD4">
              <w:rPr>
                <w:sz w:val="22"/>
                <w:szCs w:val="22"/>
                <w:shd w:val="clear" w:color="auto" w:fill="FFFFFF"/>
              </w:rPr>
              <w:t>с.ш</w:t>
            </w:r>
            <w:proofErr w:type="spellEnd"/>
            <w:r w:rsidR="007E2AC3" w:rsidRPr="00087CD4"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="007E2AC3">
              <w:rPr>
                <w:sz w:val="23"/>
                <w:szCs w:val="23"/>
              </w:rPr>
              <w:t xml:space="preserve">56° 16' 28,01" </w:t>
            </w:r>
            <w:proofErr w:type="spellStart"/>
            <w:r w:rsidR="007E2AC3" w:rsidRPr="00087CD4">
              <w:rPr>
                <w:sz w:val="22"/>
                <w:szCs w:val="22"/>
                <w:shd w:val="clear" w:color="auto" w:fill="FFFFFF"/>
              </w:rPr>
              <w:t>в.д</w:t>
            </w:r>
            <w:proofErr w:type="spellEnd"/>
            <w:r w:rsidR="007E2AC3" w:rsidRPr="00087CD4">
              <w:rPr>
                <w:sz w:val="22"/>
                <w:szCs w:val="22"/>
                <w:shd w:val="clear" w:color="auto" w:fill="FFFFFF"/>
              </w:rPr>
              <w:t>.</w:t>
            </w:r>
            <w:r w:rsidR="007E2AC3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7E2AC3">
              <w:rPr>
                <w:sz w:val="23"/>
                <w:szCs w:val="23"/>
              </w:rPr>
              <w:t xml:space="preserve">50° 26' 02,72" </w:t>
            </w:r>
            <w:proofErr w:type="spellStart"/>
            <w:r w:rsidR="007E2AC3" w:rsidRPr="00087CD4">
              <w:rPr>
                <w:sz w:val="22"/>
                <w:szCs w:val="22"/>
                <w:shd w:val="clear" w:color="auto" w:fill="FFFFFF"/>
              </w:rPr>
              <w:t>с.ш</w:t>
            </w:r>
            <w:proofErr w:type="spellEnd"/>
            <w:r w:rsidR="007E2AC3" w:rsidRPr="00087CD4"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="007E2AC3">
              <w:rPr>
                <w:sz w:val="23"/>
                <w:szCs w:val="23"/>
              </w:rPr>
              <w:t xml:space="preserve">56° 16' 35,44" </w:t>
            </w:r>
            <w:proofErr w:type="spellStart"/>
            <w:r w:rsidR="007E2AC3" w:rsidRPr="00087CD4">
              <w:rPr>
                <w:sz w:val="22"/>
                <w:szCs w:val="22"/>
                <w:shd w:val="clear" w:color="auto" w:fill="FFFFFF"/>
              </w:rPr>
              <w:t>в.д</w:t>
            </w:r>
            <w:proofErr w:type="spellEnd"/>
            <w:r w:rsidR="007E2AC3" w:rsidRPr="00087CD4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69648C3E" w14:textId="77777777" w:rsidR="003B02C9" w:rsidRPr="00902F2B" w:rsidRDefault="003B02C9" w:rsidP="004716B3">
            <w:pPr>
              <w:jc w:val="both"/>
              <w:rPr>
                <w:highlight w:val="yellow"/>
              </w:rPr>
            </w:pPr>
          </w:p>
          <w:p w14:paraId="51650874" w14:textId="153BF04A" w:rsidR="003B02C9" w:rsidRPr="00902F2B" w:rsidRDefault="003B02C9" w:rsidP="004716B3">
            <w:pPr>
              <w:jc w:val="both"/>
              <w:rPr>
                <w:highlight w:val="yellow"/>
              </w:rPr>
            </w:pPr>
          </w:p>
          <w:p w14:paraId="377E16E8" w14:textId="6A3C35A0" w:rsidR="00DB24E5" w:rsidRDefault="00DB24E5" w:rsidP="004716B3">
            <w:pPr>
              <w:jc w:val="both"/>
              <w:rPr>
                <w:highlight w:val="yellow"/>
              </w:rPr>
            </w:pPr>
          </w:p>
          <w:p w14:paraId="22E22AEC" w14:textId="77777777" w:rsidR="00087CD4" w:rsidRPr="00902F2B" w:rsidRDefault="00087CD4" w:rsidP="004716B3">
            <w:pPr>
              <w:jc w:val="both"/>
              <w:rPr>
                <w:highlight w:val="yellow"/>
              </w:rPr>
            </w:pPr>
          </w:p>
          <w:p w14:paraId="55DD206F" w14:textId="62C24E28" w:rsidR="007E2AC3" w:rsidRDefault="007E2AC3" w:rsidP="007E2AC3">
            <w:pPr>
              <w:pStyle w:val="Default"/>
              <w:rPr>
                <w:sz w:val="23"/>
                <w:szCs w:val="23"/>
              </w:rPr>
            </w:pPr>
            <w:r w:rsidRPr="007E2AC3">
              <w:rPr>
                <w:iCs/>
                <w:sz w:val="23"/>
                <w:szCs w:val="23"/>
              </w:rPr>
              <w:t>Растительность представлена степными формами трав (ковыль, типчак, полынь). К склонам долин и пониженным участкам рельефа приурочены кустарники; по берегам реки произрастает камыш, тальник и рогоз.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Район площадь месторождения занят сенокосными угодьями и пастбищами. </w:t>
            </w:r>
          </w:p>
          <w:p w14:paraId="70789B78" w14:textId="1F322BAD" w:rsidR="003B02C9" w:rsidRPr="00C51BB3" w:rsidRDefault="007E2AC3" w:rsidP="007E2AC3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 описываемом регионе животный мир представлен одним видом земноводных (зеленая жаба) и 12-тью видами пресмыкающихся </w:t>
            </w:r>
            <w:proofErr w:type="spellStart"/>
            <w:r>
              <w:rPr>
                <w:sz w:val="23"/>
                <w:szCs w:val="23"/>
              </w:rPr>
              <w:t>пустыного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космплекса</w:t>
            </w:r>
            <w:proofErr w:type="spellEnd"/>
            <w:r>
              <w:rPr>
                <w:sz w:val="23"/>
                <w:szCs w:val="23"/>
              </w:rPr>
              <w:t xml:space="preserve"> - среднеазиатская черепаха, </w:t>
            </w:r>
            <w:proofErr w:type="spellStart"/>
            <w:r>
              <w:rPr>
                <w:sz w:val="23"/>
                <w:szCs w:val="23"/>
              </w:rPr>
              <w:t>гекконы</w:t>
            </w:r>
            <w:proofErr w:type="spellEnd"/>
            <w:r>
              <w:rPr>
                <w:sz w:val="23"/>
                <w:szCs w:val="23"/>
              </w:rPr>
              <w:t xml:space="preserve"> – пискливый, серый и каспийский, </w:t>
            </w:r>
            <w:proofErr w:type="spellStart"/>
            <w:r>
              <w:rPr>
                <w:sz w:val="23"/>
                <w:szCs w:val="23"/>
              </w:rPr>
              <w:t>такырная</w:t>
            </w:r>
            <w:proofErr w:type="spellEnd"/>
            <w:r>
              <w:rPr>
                <w:sz w:val="23"/>
                <w:szCs w:val="23"/>
              </w:rPr>
              <w:t xml:space="preserve">, ушастая и круглоголовка-вертихвостка, степная агама, быстрая ящурка, песчаный и </w:t>
            </w:r>
            <w:r>
              <w:rPr>
                <w:sz w:val="23"/>
                <w:szCs w:val="23"/>
              </w:rPr>
              <w:lastRenderedPageBreak/>
              <w:t xml:space="preserve">восточный </w:t>
            </w:r>
            <w:proofErr w:type="spellStart"/>
            <w:r>
              <w:rPr>
                <w:sz w:val="23"/>
                <w:szCs w:val="23"/>
              </w:rPr>
              <w:t>удавчики</w:t>
            </w:r>
            <w:proofErr w:type="spellEnd"/>
            <w:r>
              <w:rPr>
                <w:sz w:val="23"/>
                <w:szCs w:val="23"/>
              </w:rPr>
              <w:t xml:space="preserve"> и стрела-змея. В то же время прослеживается неравномерность заселения пустынь различного типа. Наиболее массовыми в глинистых пустынях и отчасти песчаных является </w:t>
            </w:r>
            <w:proofErr w:type="spellStart"/>
            <w:r>
              <w:rPr>
                <w:sz w:val="23"/>
                <w:szCs w:val="23"/>
              </w:rPr>
              <w:t>разноветная</w:t>
            </w:r>
            <w:proofErr w:type="spellEnd"/>
            <w:r>
              <w:rPr>
                <w:sz w:val="23"/>
                <w:szCs w:val="23"/>
              </w:rPr>
              <w:t xml:space="preserve"> ящурка, а на развеянных песках – быстрая ящурка и ушастая круглоголовка-вертихвостка. </w:t>
            </w:r>
            <w:r w:rsidR="00DB24E5" w:rsidRPr="00C51BB3">
              <w:rPr>
                <w:sz w:val="24"/>
                <w:szCs w:val="24"/>
              </w:rPr>
              <w:t xml:space="preserve">Вырубка существующих зеленых насаждений проектом – </w:t>
            </w:r>
            <w:r w:rsidR="003563B8" w:rsidRPr="00C51BB3">
              <w:rPr>
                <w:sz w:val="24"/>
                <w:szCs w:val="24"/>
              </w:rPr>
              <w:t>не предусматривается, в связи с тем, что объект действующий</w:t>
            </w:r>
          </w:p>
          <w:p w14:paraId="5DF13CDC" w14:textId="77777777" w:rsidR="003B02C9" w:rsidRPr="00902F2B" w:rsidRDefault="003B02C9" w:rsidP="004716B3">
            <w:pPr>
              <w:pStyle w:val="ae"/>
              <w:jc w:val="both"/>
              <w:rPr>
                <w:sz w:val="24"/>
                <w:szCs w:val="24"/>
                <w:highlight w:val="yellow"/>
              </w:rPr>
            </w:pPr>
          </w:p>
          <w:p w14:paraId="73D0B394" w14:textId="77777777" w:rsidR="00A276D4" w:rsidRPr="00902F2B" w:rsidRDefault="00A276D4" w:rsidP="004716B3">
            <w:pPr>
              <w:pStyle w:val="ae"/>
              <w:jc w:val="both"/>
              <w:rPr>
                <w:sz w:val="24"/>
                <w:szCs w:val="24"/>
                <w:highlight w:val="yellow"/>
              </w:rPr>
            </w:pPr>
          </w:p>
          <w:p w14:paraId="64AAF9AB" w14:textId="77777777" w:rsidR="007E2AC3" w:rsidRDefault="007E2AC3" w:rsidP="007E2A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Видовой состав гнездящихся в пустынных ландшафтах птиц невелик, здесь встречаются 5-ти видов хищных птиц – </w:t>
            </w:r>
            <w:proofErr w:type="spellStart"/>
            <w:r>
              <w:rPr>
                <w:sz w:val="23"/>
                <w:szCs w:val="23"/>
              </w:rPr>
              <w:t>курганник</w:t>
            </w:r>
            <w:proofErr w:type="spellEnd"/>
            <w:r>
              <w:rPr>
                <w:sz w:val="23"/>
                <w:szCs w:val="23"/>
              </w:rPr>
              <w:t xml:space="preserve">, степной орел, могильник, </w:t>
            </w:r>
            <w:proofErr w:type="spellStart"/>
            <w:r>
              <w:rPr>
                <w:sz w:val="23"/>
                <w:szCs w:val="23"/>
              </w:rPr>
              <w:t>балобан</w:t>
            </w:r>
            <w:proofErr w:type="spellEnd"/>
            <w:r>
              <w:rPr>
                <w:sz w:val="23"/>
                <w:szCs w:val="23"/>
              </w:rPr>
              <w:t xml:space="preserve"> и обыкновенная пустельга; 2 вида </w:t>
            </w:r>
            <w:proofErr w:type="spellStart"/>
            <w:r>
              <w:rPr>
                <w:sz w:val="23"/>
                <w:szCs w:val="23"/>
              </w:rPr>
              <w:t>журавлеобразных</w:t>
            </w:r>
            <w:proofErr w:type="spellEnd"/>
            <w:r>
              <w:rPr>
                <w:sz w:val="23"/>
                <w:szCs w:val="23"/>
              </w:rPr>
              <w:t xml:space="preserve">, 2 вида куликов, 2 вида рябков, 4 вида </w:t>
            </w:r>
            <w:proofErr w:type="spellStart"/>
            <w:r>
              <w:rPr>
                <w:sz w:val="23"/>
                <w:szCs w:val="23"/>
              </w:rPr>
              <w:t>ракшеобразных</w:t>
            </w:r>
            <w:proofErr w:type="spellEnd"/>
            <w:r>
              <w:rPr>
                <w:sz w:val="23"/>
                <w:szCs w:val="23"/>
              </w:rPr>
              <w:t xml:space="preserve">, 2 вида сов, 2 вида </w:t>
            </w:r>
            <w:proofErr w:type="spellStart"/>
            <w:r>
              <w:rPr>
                <w:sz w:val="23"/>
                <w:szCs w:val="23"/>
              </w:rPr>
              <w:t>воробъев</w:t>
            </w:r>
            <w:proofErr w:type="spellEnd"/>
            <w:r>
              <w:rPr>
                <w:sz w:val="23"/>
                <w:szCs w:val="23"/>
              </w:rPr>
              <w:t>, один вид овсянок. У временных водоемов поселяются 2 вида уток (</w:t>
            </w:r>
            <w:proofErr w:type="spellStart"/>
            <w:r>
              <w:rPr>
                <w:sz w:val="23"/>
                <w:szCs w:val="23"/>
              </w:rPr>
              <w:t>огарь</w:t>
            </w:r>
            <w:proofErr w:type="spellEnd"/>
            <w:r>
              <w:rPr>
                <w:sz w:val="23"/>
                <w:szCs w:val="23"/>
              </w:rPr>
              <w:t xml:space="preserve"> и пеганка). </w:t>
            </w:r>
          </w:p>
          <w:p w14:paraId="0E390811" w14:textId="77777777" w:rsidR="007E2AC3" w:rsidRDefault="007E2AC3" w:rsidP="007E2A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период миграций (апрель-май, август-октябрь) численность птиц взрастает до 70 -100 птиц/км. Причем здесь встречаются, как типичные обитатели пустынь, так и птицы </w:t>
            </w:r>
            <w:proofErr w:type="spellStart"/>
            <w:r>
              <w:rPr>
                <w:sz w:val="23"/>
                <w:szCs w:val="23"/>
              </w:rPr>
              <w:t>древесно</w:t>
            </w:r>
            <w:proofErr w:type="spellEnd"/>
            <w:r>
              <w:rPr>
                <w:sz w:val="23"/>
                <w:szCs w:val="23"/>
              </w:rPr>
              <w:t xml:space="preserve"> - кустарниковых насаждений и околоводные птицы (особенно в весенний период). Особое место в период миграции представляют временные водоемы в понижениях рельефа и вдоль чинков. В зависимости от </w:t>
            </w:r>
            <w:proofErr w:type="spellStart"/>
            <w:r>
              <w:rPr>
                <w:sz w:val="23"/>
                <w:szCs w:val="23"/>
              </w:rPr>
              <w:t>обводненности</w:t>
            </w:r>
            <w:proofErr w:type="spellEnd"/>
            <w:r>
              <w:rPr>
                <w:sz w:val="23"/>
                <w:szCs w:val="23"/>
              </w:rPr>
              <w:t xml:space="preserve"> птицы могут задерживаться здесь до конца мая- середины июня. </w:t>
            </w:r>
          </w:p>
          <w:p w14:paraId="6D4B35C2" w14:textId="3CF719B7" w:rsidR="003B02C9" w:rsidRPr="00C51BB3" w:rsidRDefault="007E2AC3" w:rsidP="007E2AC3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В Актюбинском районе птицы, занесенные в Красную книгу Казахстана, встречаются только на пролете в апреле и августе-сентябре. Ближайшие места гнездования - это система озер Тургайской впадины, т.е. на значительном расстоянии от места нахождения объекта недропользования – Участка 1 месторождения </w:t>
            </w:r>
            <w:proofErr w:type="spellStart"/>
            <w:r>
              <w:rPr>
                <w:sz w:val="23"/>
                <w:szCs w:val="23"/>
              </w:rPr>
              <w:t>Шокаш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r w:rsidR="00DB24E5" w:rsidRPr="00C51BB3">
              <w:rPr>
                <w:sz w:val="24"/>
                <w:szCs w:val="24"/>
              </w:rPr>
              <w:t>Использование объектов животного мира из природы для реализации намечаемой деятельности не требуется</w:t>
            </w:r>
          </w:p>
          <w:p w14:paraId="6FD2526E" w14:textId="72B14124" w:rsidR="00DB24E5" w:rsidRPr="00C51BB3" w:rsidRDefault="00DB24E5" w:rsidP="00DB24E5">
            <w:pPr>
              <w:pStyle w:val="ae"/>
              <w:jc w:val="both"/>
              <w:rPr>
                <w:sz w:val="24"/>
                <w:szCs w:val="24"/>
              </w:rPr>
            </w:pPr>
          </w:p>
          <w:p w14:paraId="25629FA3" w14:textId="77777777" w:rsidR="00E72B7E" w:rsidRDefault="00E72B7E" w:rsidP="004716B3">
            <w:pPr>
              <w:jc w:val="both"/>
            </w:pPr>
          </w:p>
          <w:p w14:paraId="795A48D0" w14:textId="4689893C" w:rsidR="003B02C9" w:rsidRPr="00C51BB3" w:rsidRDefault="003B02C9" w:rsidP="004716B3">
            <w:pPr>
              <w:jc w:val="both"/>
            </w:pPr>
            <w:r w:rsidRPr="00C51BB3">
              <w:t>При реализации проекта не планируется использование объектов животного мира.</w:t>
            </w:r>
          </w:p>
          <w:p w14:paraId="17A83ECA" w14:textId="77777777" w:rsidR="003B02C9" w:rsidRPr="00C51BB3" w:rsidRDefault="003B02C9" w:rsidP="004716B3">
            <w:pPr>
              <w:pStyle w:val="ae"/>
              <w:jc w:val="both"/>
              <w:rPr>
                <w:sz w:val="24"/>
                <w:szCs w:val="24"/>
              </w:rPr>
            </w:pPr>
          </w:p>
          <w:p w14:paraId="2C7D7C2A" w14:textId="77777777" w:rsidR="003B02C9" w:rsidRPr="00C51BB3" w:rsidRDefault="003B02C9" w:rsidP="004716B3">
            <w:pPr>
              <w:pStyle w:val="ae"/>
              <w:jc w:val="both"/>
              <w:rPr>
                <w:sz w:val="24"/>
                <w:szCs w:val="24"/>
              </w:rPr>
            </w:pPr>
          </w:p>
          <w:p w14:paraId="6511143F" w14:textId="77777777" w:rsidR="003B02C9" w:rsidRPr="00C51BB3" w:rsidRDefault="003B02C9" w:rsidP="004716B3">
            <w:pPr>
              <w:jc w:val="both"/>
            </w:pPr>
            <w:r w:rsidRPr="00C51BB3">
              <w:t>Животный мир намечаемой хозяйственной деятельностью не затрагивается.</w:t>
            </w:r>
          </w:p>
          <w:p w14:paraId="5B42AF8B" w14:textId="77777777" w:rsidR="003B02C9" w:rsidRPr="00C51BB3" w:rsidRDefault="003B02C9" w:rsidP="004716B3">
            <w:pPr>
              <w:pStyle w:val="ae"/>
              <w:jc w:val="both"/>
              <w:rPr>
                <w:sz w:val="24"/>
                <w:szCs w:val="24"/>
              </w:rPr>
            </w:pPr>
          </w:p>
          <w:p w14:paraId="28554E99" w14:textId="30F13C8C" w:rsidR="003B02C9" w:rsidRDefault="003B02C9" w:rsidP="004716B3">
            <w:pPr>
              <w:pStyle w:val="ae"/>
              <w:jc w:val="both"/>
              <w:rPr>
                <w:sz w:val="24"/>
                <w:szCs w:val="24"/>
              </w:rPr>
            </w:pPr>
          </w:p>
          <w:p w14:paraId="31AC9D7A" w14:textId="46222A43" w:rsidR="00C51BB3" w:rsidRDefault="00C51BB3" w:rsidP="004716B3">
            <w:pPr>
              <w:pStyle w:val="ae"/>
              <w:jc w:val="both"/>
              <w:rPr>
                <w:sz w:val="24"/>
                <w:szCs w:val="24"/>
              </w:rPr>
            </w:pPr>
          </w:p>
          <w:p w14:paraId="1DDA8E0C" w14:textId="05B5CBFE" w:rsidR="003B02C9" w:rsidRPr="00C51BB3" w:rsidRDefault="003B02C9" w:rsidP="004716B3">
            <w:pPr>
              <w:pStyle w:val="ae"/>
              <w:jc w:val="both"/>
              <w:rPr>
                <w:sz w:val="24"/>
                <w:szCs w:val="24"/>
              </w:rPr>
            </w:pPr>
            <w:r w:rsidRPr="00C51BB3">
              <w:rPr>
                <w:sz w:val="24"/>
                <w:szCs w:val="24"/>
              </w:rPr>
              <w:t xml:space="preserve">Проектом не предусмотрено использование иных </w:t>
            </w:r>
            <w:r w:rsidRPr="00C51BB3">
              <w:rPr>
                <w:rStyle w:val="s0"/>
                <w:sz w:val="24"/>
                <w:szCs w:val="24"/>
              </w:rPr>
              <w:t>источников приобретения объектов животного мира, их частей, дериватов и продуктов жизнедеятельности животных.</w:t>
            </w:r>
          </w:p>
          <w:p w14:paraId="64882651" w14:textId="77777777" w:rsidR="003B02C9" w:rsidRPr="00902F2B" w:rsidRDefault="003B02C9" w:rsidP="004716B3">
            <w:pPr>
              <w:pStyle w:val="ae"/>
              <w:jc w:val="both"/>
              <w:rPr>
                <w:sz w:val="24"/>
                <w:szCs w:val="24"/>
                <w:highlight w:val="yellow"/>
              </w:rPr>
            </w:pPr>
          </w:p>
          <w:p w14:paraId="5632E7F6" w14:textId="26BC5974" w:rsidR="003B02C9" w:rsidRDefault="003B02C9" w:rsidP="004716B3">
            <w:pPr>
              <w:pStyle w:val="ae"/>
              <w:jc w:val="both"/>
              <w:rPr>
                <w:sz w:val="24"/>
                <w:szCs w:val="24"/>
                <w:highlight w:val="yellow"/>
              </w:rPr>
            </w:pPr>
          </w:p>
          <w:p w14:paraId="665399B1" w14:textId="303C1848" w:rsidR="007E2AC3" w:rsidRDefault="007E2AC3" w:rsidP="004716B3">
            <w:pPr>
              <w:pStyle w:val="ae"/>
              <w:jc w:val="both"/>
              <w:rPr>
                <w:sz w:val="24"/>
                <w:szCs w:val="24"/>
                <w:highlight w:val="yellow"/>
              </w:rPr>
            </w:pPr>
          </w:p>
          <w:p w14:paraId="0C7C5B19" w14:textId="12510EFE" w:rsidR="007E2AC3" w:rsidRDefault="007E2AC3" w:rsidP="004716B3">
            <w:pPr>
              <w:pStyle w:val="ae"/>
              <w:jc w:val="both"/>
              <w:rPr>
                <w:sz w:val="24"/>
                <w:szCs w:val="24"/>
                <w:highlight w:val="yellow"/>
              </w:rPr>
            </w:pPr>
            <w:r w:rsidRPr="00C51BB3">
              <w:rPr>
                <w:sz w:val="24"/>
                <w:szCs w:val="24"/>
              </w:rPr>
              <w:t>Использование объектов животного мира из природы для реализации намечаемой деятельности не требуется</w:t>
            </w:r>
          </w:p>
          <w:p w14:paraId="66581466" w14:textId="5C137D25" w:rsidR="007E2AC3" w:rsidRDefault="007E2AC3" w:rsidP="004716B3">
            <w:pPr>
              <w:pStyle w:val="ae"/>
              <w:jc w:val="both"/>
              <w:rPr>
                <w:sz w:val="24"/>
                <w:szCs w:val="24"/>
                <w:highlight w:val="yellow"/>
              </w:rPr>
            </w:pPr>
          </w:p>
          <w:p w14:paraId="389606EF" w14:textId="4AB8D601" w:rsidR="003B02C9" w:rsidRDefault="003B02C9" w:rsidP="004716B3">
            <w:pPr>
              <w:jc w:val="both"/>
              <w:rPr>
                <w:rStyle w:val="s0"/>
                <w:highlight w:val="yellow"/>
              </w:rPr>
            </w:pPr>
          </w:p>
          <w:p w14:paraId="2FF6B2E4" w14:textId="4418F0C1" w:rsidR="007E2AC3" w:rsidRPr="007E2AC3" w:rsidRDefault="007E2AC3" w:rsidP="004716B3">
            <w:pPr>
              <w:jc w:val="both"/>
              <w:rPr>
                <w:rStyle w:val="s0"/>
              </w:rPr>
            </w:pPr>
            <w:r w:rsidRPr="007E2AC3">
              <w:rPr>
                <w:rStyle w:val="s0"/>
              </w:rPr>
              <w:lastRenderedPageBreak/>
              <w:t>Электроэнергия.</w:t>
            </w:r>
          </w:p>
          <w:p w14:paraId="7F747B9E" w14:textId="727E080A" w:rsidR="007E2AC3" w:rsidRDefault="007E2AC3" w:rsidP="007E2A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Район месторождения достаточно обеспечен электроэнергией и располагается на месте со следующими источниками электроснабжения: </w:t>
            </w:r>
          </w:p>
          <w:p w14:paraId="32B7521D" w14:textId="77777777" w:rsidR="007E2AC3" w:rsidRDefault="007E2AC3" w:rsidP="007E2A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одноцепная</w:t>
            </w:r>
            <w:proofErr w:type="spellEnd"/>
            <w:r>
              <w:rPr>
                <w:sz w:val="23"/>
                <w:szCs w:val="23"/>
              </w:rPr>
              <w:t xml:space="preserve"> ВЛ-35 Квт с подстанцией в </w:t>
            </w:r>
            <w:proofErr w:type="spellStart"/>
            <w:r>
              <w:rPr>
                <w:sz w:val="23"/>
                <w:szCs w:val="23"/>
              </w:rPr>
              <w:t>с.Курмансай</w:t>
            </w:r>
            <w:proofErr w:type="spellEnd"/>
            <w:r>
              <w:rPr>
                <w:sz w:val="23"/>
                <w:szCs w:val="23"/>
              </w:rPr>
              <w:t xml:space="preserve"> в 15 км от месторождения; </w:t>
            </w:r>
          </w:p>
          <w:p w14:paraId="3DD5E3CC" w14:textId="77777777" w:rsidR="007E2AC3" w:rsidRDefault="007E2AC3" w:rsidP="007E2A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ПС 110 кВт совхоза «Прогресс», расположенная в 40 км к юго-востоку от месторождения; </w:t>
            </w:r>
          </w:p>
          <w:p w14:paraId="5190EAF7" w14:textId="77777777" w:rsidR="007E2AC3" w:rsidRDefault="007E2AC3" w:rsidP="007E2A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одноцепная</w:t>
            </w:r>
            <w:proofErr w:type="spellEnd"/>
            <w:r>
              <w:rPr>
                <w:sz w:val="23"/>
                <w:szCs w:val="23"/>
              </w:rPr>
              <w:t xml:space="preserve"> ВЛ-35 кВт, проходящая в 15 км северо-западнее месторождения; </w:t>
            </w:r>
          </w:p>
          <w:p w14:paraId="3F92E81D" w14:textId="77777777" w:rsidR="007E2AC3" w:rsidRDefault="007E2AC3" w:rsidP="007E2A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</w:rPr>
              <w:t>одноцепная</w:t>
            </w:r>
            <w:proofErr w:type="spellEnd"/>
            <w:r>
              <w:rPr>
                <w:sz w:val="23"/>
                <w:szCs w:val="23"/>
              </w:rPr>
              <w:t xml:space="preserve"> ВЛ-10 кВт, проходящая через северный фланг месторождения; </w:t>
            </w:r>
          </w:p>
          <w:p w14:paraId="0BD8ED7D" w14:textId="01DF66F9" w:rsidR="007E2AC3" w:rsidRDefault="007E2AC3" w:rsidP="007E2AC3">
            <w:pPr>
              <w:jc w:val="both"/>
              <w:rPr>
                <w:rStyle w:val="s0"/>
                <w:highlight w:val="yellow"/>
              </w:rPr>
            </w:pPr>
            <w:r>
              <w:rPr>
                <w:sz w:val="23"/>
                <w:szCs w:val="23"/>
              </w:rPr>
              <w:t xml:space="preserve">- в 3-х км севернее месторождения проходит ВЛ-10 Квт, соединяющая ПС Степановки и </w:t>
            </w:r>
            <w:proofErr w:type="spellStart"/>
            <w:r>
              <w:rPr>
                <w:sz w:val="23"/>
                <w:szCs w:val="23"/>
              </w:rPr>
              <w:t>Горноводского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14:paraId="0A3FD237" w14:textId="4D7043FF" w:rsidR="007E2AC3" w:rsidRDefault="007E2AC3" w:rsidP="004716B3">
            <w:pPr>
              <w:jc w:val="both"/>
              <w:rPr>
                <w:rStyle w:val="s0"/>
                <w:highlight w:val="yellow"/>
              </w:rPr>
            </w:pPr>
          </w:p>
          <w:p w14:paraId="5EBE65DD" w14:textId="77777777" w:rsidR="007E2AC3" w:rsidRPr="00902F2B" w:rsidRDefault="007E2AC3" w:rsidP="004716B3">
            <w:pPr>
              <w:jc w:val="both"/>
              <w:rPr>
                <w:rStyle w:val="s0"/>
                <w:highlight w:val="yellow"/>
              </w:rPr>
            </w:pPr>
          </w:p>
          <w:p w14:paraId="416B9C62" w14:textId="77777777" w:rsidR="00C510AF" w:rsidRDefault="00C510AF" w:rsidP="00C510AF">
            <w:pPr>
              <w:pStyle w:val="Default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 xml:space="preserve">Вероятные (геологические) запасы, подсчитанные по стандартам KAZRC, приняты на учет Государственным балансом по Участку 1 месторождения </w:t>
            </w:r>
            <w:proofErr w:type="spellStart"/>
            <w:r>
              <w:rPr>
                <w:sz w:val="23"/>
                <w:szCs w:val="23"/>
              </w:rPr>
              <w:t>Шокаш</w:t>
            </w:r>
            <w:proofErr w:type="spellEnd"/>
            <w:r>
              <w:rPr>
                <w:sz w:val="23"/>
                <w:szCs w:val="23"/>
              </w:rPr>
              <w:t xml:space="preserve"> в количестве 8128,19 </w:t>
            </w:r>
            <w:proofErr w:type="gramStart"/>
            <w:r>
              <w:rPr>
                <w:sz w:val="23"/>
                <w:szCs w:val="23"/>
              </w:rPr>
              <w:t>тыс.м</w:t>
            </w:r>
            <w:proofErr w:type="gramEnd"/>
            <w:r>
              <w:rPr>
                <w:sz w:val="23"/>
                <w:szCs w:val="23"/>
              </w:rPr>
              <w:t xml:space="preserve">3 руды (песка), содержащей 848,83 </w:t>
            </w:r>
            <w:proofErr w:type="spellStart"/>
            <w:r>
              <w:rPr>
                <w:sz w:val="23"/>
                <w:szCs w:val="23"/>
              </w:rPr>
              <w:t>тыс.тонн</w:t>
            </w:r>
            <w:proofErr w:type="spellEnd"/>
            <w:r>
              <w:rPr>
                <w:sz w:val="23"/>
                <w:szCs w:val="23"/>
              </w:rPr>
              <w:t xml:space="preserve"> TiO</w:t>
            </w:r>
            <w:r>
              <w:rPr>
                <w:sz w:val="16"/>
                <w:szCs w:val="16"/>
              </w:rPr>
              <w:t xml:space="preserve">2 и 132,52 тыс. тонн </w:t>
            </w:r>
            <w:r>
              <w:rPr>
                <w:sz w:val="23"/>
                <w:szCs w:val="23"/>
              </w:rPr>
              <w:t>ZrO</w:t>
            </w:r>
            <w:r>
              <w:rPr>
                <w:sz w:val="16"/>
                <w:szCs w:val="16"/>
              </w:rPr>
              <w:t xml:space="preserve">2. </w:t>
            </w:r>
          </w:p>
          <w:p w14:paraId="585B33CA" w14:textId="349B4D4C" w:rsidR="00C510AF" w:rsidRDefault="00C510AF" w:rsidP="00C510AF">
            <w:pPr>
              <w:pStyle w:val="Default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По состоянию на 01.01.2026 г. вероятные запасы месторождения, которые будут разрабатываться в лицензи</w:t>
            </w:r>
            <w:r w:rsidR="0055136B">
              <w:rPr>
                <w:sz w:val="23"/>
                <w:szCs w:val="23"/>
              </w:rPr>
              <w:t>о</w:t>
            </w:r>
            <w:r>
              <w:rPr>
                <w:sz w:val="23"/>
                <w:szCs w:val="23"/>
              </w:rPr>
              <w:t xml:space="preserve">нный срок составляют 7581,32 </w:t>
            </w:r>
            <w:proofErr w:type="gramStart"/>
            <w:r>
              <w:rPr>
                <w:sz w:val="23"/>
                <w:szCs w:val="23"/>
              </w:rPr>
              <w:t>тыс.м</w:t>
            </w:r>
            <w:proofErr w:type="gramEnd"/>
            <w:r>
              <w:rPr>
                <w:sz w:val="23"/>
                <w:szCs w:val="23"/>
              </w:rPr>
              <w:t xml:space="preserve">3. содержащие 791,72 </w:t>
            </w:r>
            <w:proofErr w:type="spellStart"/>
            <w:r>
              <w:rPr>
                <w:sz w:val="23"/>
                <w:szCs w:val="23"/>
              </w:rPr>
              <w:t>тыс.тонн</w:t>
            </w:r>
            <w:proofErr w:type="spellEnd"/>
            <w:r>
              <w:rPr>
                <w:sz w:val="23"/>
                <w:szCs w:val="23"/>
              </w:rPr>
              <w:t xml:space="preserve"> TiO</w:t>
            </w:r>
            <w:r>
              <w:rPr>
                <w:sz w:val="16"/>
                <w:szCs w:val="16"/>
              </w:rPr>
              <w:t xml:space="preserve">2 и 123,605 тыс. тонн </w:t>
            </w:r>
            <w:r>
              <w:rPr>
                <w:sz w:val="23"/>
                <w:szCs w:val="23"/>
              </w:rPr>
              <w:t>ZrO</w:t>
            </w:r>
            <w:r>
              <w:rPr>
                <w:sz w:val="16"/>
                <w:szCs w:val="16"/>
              </w:rPr>
              <w:t xml:space="preserve">2. </w:t>
            </w:r>
          </w:p>
          <w:p w14:paraId="3DDEC491" w14:textId="77777777" w:rsidR="00C510AF" w:rsidRDefault="00C510AF" w:rsidP="00C510A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Потери полезного ископаемого </w:t>
            </w:r>
          </w:p>
          <w:p w14:paraId="2627D601" w14:textId="77777777" w:rsidR="00C510AF" w:rsidRDefault="00C510AF" w:rsidP="00C510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площади утвержденных запасов отсутствуют объекты: </w:t>
            </w:r>
          </w:p>
          <w:p w14:paraId="6149AA58" w14:textId="77777777" w:rsidR="00C510AF" w:rsidRDefault="00C510AF" w:rsidP="00C510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жилищного и гражданского строительства; </w:t>
            </w:r>
          </w:p>
          <w:p w14:paraId="6218E4D5" w14:textId="77777777" w:rsidR="00C510AF" w:rsidRDefault="00C510AF" w:rsidP="00C510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линии электропередач. </w:t>
            </w:r>
          </w:p>
          <w:p w14:paraId="700FAAAC" w14:textId="77777777" w:rsidR="00C510AF" w:rsidRDefault="00C510AF" w:rsidP="00C510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Через Участок 1 месторождения </w:t>
            </w:r>
            <w:proofErr w:type="spellStart"/>
            <w:r>
              <w:rPr>
                <w:sz w:val="23"/>
                <w:szCs w:val="23"/>
              </w:rPr>
              <w:t>Шокаш</w:t>
            </w:r>
            <w:proofErr w:type="spellEnd"/>
            <w:r>
              <w:rPr>
                <w:sz w:val="23"/>
                <w:szCs w:val="23"/>
              </w:rPr>
              <w:t xml:space="preserve"> проходит грейдерная дорога, которая является инфраструктурным объектом, </w:t>
            </w:r>
            <w:proofErr w:type="spellStart"/>
            <w:r>
              <w:rPr>
                <w:sz w:val="23"/>
                <w:szCs w:val="23"/>
              </w:rPr>
              <w:t>т.е</w:t>
            </w:r>
            <w:proofErr w:type="spellEnd"/>
            <w:r>
              <w:rPr>
                <w:sz w:val="23"/>
                <w:szCs w:val="23"/>
              </w:rPr>
              <w:t xml:space="preserve"> запасы полезного ископаемого непосредственно под дорогой и в 15 м от обеих сторон дороги относятся к общественным потерям и, при площади 19960 м2, средней мощности полезной толщи 2, 76 м, = 5096,0 м3 или 5,1 </w:t>
            </w:r>
            <w:proofErr w:type="gramStart"/>
            <w:r>
              <w:rPr>
                <w:sz w:val="23"/>
                <w:szCs w:val="23"/>
              </w:rPr>
              <w:t>тыс.м</w:t>
            </w:r>
            <w:proofErr w:type="gramEnd"/>
            <w:r>
              <w:rPr>
                <w:sz w:val="23"/>
                <w:szCs w:val="23"/>
              </w:rPr>
              <w:t xml:space="preserve">3. </w:t>
            </w:r>
          </w:p>
          <w:p w14:paraId="24138CE2" w14:textId="3321D954" w:rsidR="00C510AF" w:rsidRDefault="00C510AF" w:rsidP="00C510A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Экспл</w:t>
            </w:r>
            <w:r w:rsidR="0055136B">
              <w:rPr>
                <w:b/>
                <w:bCs/>
                <w:sz w:val="23"/>
                <w:szCs w:val="23"/>
              </w:rPr>
              <w:t>у</w:t>
            </w:r>
            <w:r>
              <w:rPr>
                <w:b/>
                <w:bCs/>
                <w:sz w:val="23"/>
                <w:szCs w:val="23"/>
              </w:rPr>
              <w:t xml:space="preserve">атационные потери первой группы складываются из потерь в кровле и в подошве рудной залежи, и в бортах карьера. </w:t>
            </w:r>
          </w:p>
          <w:p w14:paraId="1D109272" w14:textId="77777777" w:rsidR="00C510AF" w:rsidRDefault="00C510AF" w:rsidP="00C510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Эксплуатационные потери следует ожидать: </w:t>
            </w:r>
          </w:p>
          <w:p w14:paraId="1FCED8D0" w14:textId="77777777" w:rsidR="00C510AF" w:rsidRDefault="00C510AF" w:rsidP="00C510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 местах выклинивания залежей; </w:t>
            </w:r>
          </w:p>
          <w:p w14:paraId="5D605C48" w14:textId="77777777" w:rsidR="00C510AF" w:rsidRDefault="00C510AF" w:rsidP="00C510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 зоне торцового контакта залежи полезного ископаемого с вмещающими породами (потери возникают из-за несовпадения положения откоса уступа на границе перехода от вскрышных к добычным работам, с положением торцевой и контактной поверхности залежи). </w:t>
            </w:r>
          </w:p>
          <w:p w14:paraId="12F2C790" w14:textId="04F64202" w:rsidR="00C510AF" w:rsidRDefault="00C510AF" w:rsidP="00C510A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Указанные причины потерь полезного ископаемого в условиях недостаточной достоверности геологических данных затрудняют их точный подсчет. В этой связи величина потерь принята на основе анализа фактических данных месторождения.</w:t>
            </w:r>
            <w:r>
              <w:t xml:space="preserve"> </w:t>
            </w:r>
            <w:r>
              <w:rPr>
                <w:sz w:val="23"/>
                <w:szCs w:val="23"/>
              </w:rPr>
              <w:t xml:space="preserve">Проведены расчеты потерь и разубоживания, результатом этих расчетов являются показатели значения потерь – 2%, разубоживания 8,6 %. </w:t>
            </w:r>
          </w:p>
          <w:p w14:paraId="08036824" w14:textId="06DEADD7" w:rsidR="003B02C9" w:rsidRPr="00C510AF" w:rsidRDefault="00C510AF" w:rsidP="00C510AF">
            <w:pPr>
              <w:jc w:val="both"/>
            </w:pPr>
            <w:r>
              <w:rPr>
                <w:sz w:val="23"/>
                <w:szCs w:val="23"/>
              </w:rPr>
              <w:t>Исходя из объема вероятных запасов эксплуатационные потери первой группы составят (7581,32 х2:100) = 151,62 тыс.м3.</w:t>
            </w:r>
          </w:p>
        </w:tc>
      </w:tr>
      <w:tr w:rsidR="0094673D" w:rsidRPr="00685B75" w14:paraId="548EA5FE" w14:textId="77777777" w:rsidTr="00B77C8C">
        <w:trPr>
          <w:jc w:val="center"/>
        </w:trPr>
        <w:tc>
          <w:tcPr>
            <w:tcW w:w="4508" w:type="dxa"/>
          </w:tcPr>
          <w:p w14:paraId="3E0F6472" w14:textId="77777777" w:rsidR="0094673D" w:rsidRPr="00C7742D" w:rsidRDefault="0094673D" w:rsidP="0094673D">
            <w:pPr>
              <w:pStyle w:val="pj"/>
              <w:ind w:firstLine="0"/>
              <w:rPr>
                <w:rStyle w:val="s0"/>
                <w:highlight w:val="yellow"/>
              </w:rPr>
            </w:pPr>
            <w:r w:rsidRPr="0094673D">
              <w:rPr>
                <w:rStyle w:val="s0"/>
              </w:rPr>
              <w:lastRenderedPageBreak/>
              <w:t xml:space="preserve">9. Описание ожидаемых выбросов загрязняющих веществ в атмосферу: наименования загрязняющих веществ, их классы опасности, предполагаемые </w:t>
            </w:r>
            <w:r w:rsidRPr="0094673D">
              <w:rPr>
                <w:rStyle w:val="s0"/>
              </w:rPr>
              <w:lastRenderedPageBreak/>
              <w:t>объемы выбросов, сведения о веществах, входящих в перечень загрязнителей, данные по которым подлежат внесению в регистр выбросов и переноса загрязнителей в соответствии с правилами ведения регистра выбросов и переноса загрязнителей, утвержденными уполномоченным органом (далее - правила ведения регистра выбросов и переноса загрязнителей).</w:t>
            </w:r>
          </w:p>
        </w:tc>
        <w:tc>
          <w:tcPr>
            <w:tcW w:w="11080" w:type="dxa"/>
          </w:tcPr>
          <w:p w14:paraId="5085285E" w14:textId="09DD6B89" w:rsidR="00FD13EB" w:rsidRPr="00E72B7E" w:rsidRDefault="00FD13EB" w:rsidP="004B522A">
            <w:pPr>
              <w:widowControl w:val="0"/>
              <w:autoSpaceDE w:val="0"/>
              <w:autoSpaceDN w:val="0"/>
              <w:adjustRightInd w:val="0"/>
            </w:pPr>
            <w:r w:rsidRPr="00E72B7E">
              <w:rPr>
                <w:b/>
              </w:rPr>
              <w:lastRenderedPageBreak/>
              <w:t xml:space="preserve">В период эксплуатации </w:t>
            </w:r>
            <w:r w:rsidRPr="00E72B7E">
              <w:t xml:space="preserve">объекта намечаемой деятельности в атмосферный воздух </w:t>
            </w:r>
            <w:r w:rsidR="00AC2628" w:rsidRPr="00E72B7E">
              <w:t xml:space="preserve">от источников выбросов включая передвижные </w:t>
            </w:r>
            <w:r w:rsidRPr="00E72B7E">
              <w:t>выбра</w:t>
            </w:r>
            <w:r w:rsidR="00E72B7E" w:rsidRPr="00E72B7E">
              <w:t>сываются загрязняющие вещества 7</w:t>
            </w:r>
            <w:r w:rsidRPr="00E72B7E">
              <w:t xml:space="preserve"> наименований:</w:t>
            </w:r>
          </w:p>
          <w:p w14:paraId="174BDDF4" w14:textId="2B780401" w:rsidR="0094673D" w:rsidRPr="00E72B7E" w:rsidRDefault="00FD13EB" w:rsidP="00E72B7E">
            <w:pPr>
              <w:rPr>
                <w:b/>
              </w:rPr>
            </w:pPr>
            <w:r w:rsidRPr="00E72B7E">
              <w:t>Азота (IV) диоксид (кл.о.2)</w:t>
            </w:r>
            <w:r w:rsidR="00505CA6" w:rsidRPr="00E72B7E">
              <w:t xml:space="preserve"> - </w:t>
            </w:r>
            <w:r w:rsidR="00E72B7E" w:rsidRPr="00E72B7E">
              <w:t xml:space="preserve">0.0012496 </w:t>
            </w:r>
            <w:r w:rsidR="00505CA6" w:rsidRPr="00E72B7E">
              <w:t>т/г.</w:t>
            </w:r>
            <w:r w:rsidRPr="00E72B7E">
              <w:t>; Азот (II)</w:t>
            </w:r>
            <w:r w:rsidR="00505CA6" w:rsidRPr="00E72B7E">
              <w:t xml:space="preserve"> </w:t>
            </w:r>
            <w:r w:rsidRPr="00E72B7E">
              <w:t>оксид (кл.о.3)</w:t>
            </w:r>
            <w:r w:rsidR="00505CA6" w:rsidRPr="00E72B7E">
              <w:t xml:space="preserve"> - </w:t>
            </w:r>
            <w:r w:rsidR="00E72B7E" w:rsidRPr="00E72B7E">
              <w:t xml:space="preserve">0.00020306 </w:t>
            </w:r>
            <w:r w:rsidR="00505CA6" w:rsidRPr="00E72B7E">
              <w:t>т/г.</w:t>
            </w:r>
            <w:r w:rsidRPr="00E72B7E">
              <w:t xml:space="preserve">; </w:t>
            </w:r>
            <w:r w:rsidR="00E72B7E" w:rsidRPr="00E72B7E">
              <w:t>Углерод</w:t>
            </w:r>
            <w:r w:rsidR="00505CA6" w:rsidRPr="00E72B7E">
              <w:t xml:space="preserve"> (</w:t>
            </w:r>
            <w:proofErr w:type="spellStart"/>
            <w:r w:rsidR="00505CA6" w:rsidRPr="00E72B7E">
              <w:t>кл.о</w:t>
            </w:r>
            <w:proofErr w:type="spellEnd"/>
            <w:r w:rsidR="00505CA6" w:rsidRPr="00E72B7E">
              <w:t xml:space="preserve">. 3) - </w:t>
            </w:r>
            <w:proofErr w:type="gramStart"/>
            <w:r w:rsidR="00E72B7E" w:rsidRPr="00E72B7E">
              <w:t xml:space="preserve">0.00008552  </w:t>
            </w:r>
            <w:r w:rsidR="00505CA6" w:rsidRPr="00E72B7E">
              <w:t>т</w:t>
            </w:r>
            <w:proofErr w:type="gramEnd"/>
            <w:r w:rsidR="00505CA6" w:rsidRPr="00E72B7E">
              <w:t xml:space="preserve">/г., </w:t>
            </w:r>
            <w:r w:rsidR="00E72B7E" w:rsidRPr="00E72B7E">
              <w:t>Сера диоксид</w:t>
            </w:r>
            <w:r w:rsidR="00AC2628" w:rsidRPr="00E72B7E">
              <w:t xml:space="preserve"> (кл.о.</w:t>
            </w:r>
            <w:r w:rsidR="00E72B7E" w:rsidRPr="00E72B7E">
              <w:t>3</w:t>
            </w:r>
            <w:r w:rsidR="00AC2628" w:rsidRPr="00E72B7E">
              <w:t xml:space="preserve">) - </w:t>
            </w:r>
            <w:r w:rsidR="00E72B7E" w:rsidRPr="00E72B7E">
              <w:t xml:space="preserve">0.0002705 </w:t>
            </w:r>
            <w:r w:rsidR="00AC2628" w:rsidRPr="00E72B7E">
              <w:t xml:space="preserve">т/г.; </w:t>
            </w:r>
            <w:r w:rsidRPr="00E72B7E">
              <w:t>Углерод оксид (кл.о.4)</w:t>
            </w:r>
            <w:r w:rsidR="00505CA6" w:rsidRPr="00E72B7E">
              <w:t xml:space="preserve"> - </w:t>
            </w:r>
            <w:r w:rsidR="00E72B7E" w:rsidRPr="00E72B7E">
              <w:t xml:space="preserve">0.0033892 </w:t>
            </w:r>
            <w:r w:rsidR="00505CA6" w:rsidRPr="00E72B7E">
              <w:t>т/г</w:t>
            </w:r>
            <w:r w:rsidR="00AC2628" w:rsidRPr="00E72B7E">
              <w:t>.</w:t>
            </w:r>
            <w:r w:rsidRPr="00E72B7E">
              <w:t xml:space="preserve">; </w:t>
            </w:r>
            <w:r w:rsidR="00E72B7E" w:rsidRPr="00E72B7E">
              <w:t>Керосин</w:t>
            </w:r>
            <w:r w:rsidR="00505CA6" w:rsidRPr="00E72B7E">
              <w:t xml:space="preserve"> - </w:t>
            </w:r>
            <w:r w:rsidR="00E72B7E" w:rsidRPr="00E72B7E">
              <w:lastRenderedPageBreak/>
              <w:t xml:space="preserve">0.0013206 </w:t>
            </w:r>
            <w:r w:rsidR="00505CA6" w:rsidRPr="00E72B7E">
              <w:t>т/г.</w:t>
            </w:r>
            <w:r w:rsidRPr="00E72B7E">
              <w:t xml:space="preserve">; </w:t>
            </w:r>
            <w:r w:rsidR="00AC2628" w:rsidRPr="00E72B7E">
              <w:t>Керосин</w:t>
            </w:r>
            <w:r w:rsidR="00505CA6" w:rsidRPr="00E72B7E">
              <w:t xml:space="preserve"> - </w:t>
            </w:r>
            <w:r w:rsidR="00AC2628" w:rsidRPr="00E72B7E">
              <w:t xml:space="preserve">0.0021188 </w:t>
            </w:r>
            <w:r w:rsidR="00505CA6" w:rsidRPr="00E72B7E">
              <w:t>т/г.</w:t>
            </w:r>
            <w:r w:rsidRPr="00E72B7E">
              <w:t xml:space="preserve">; Пыль неорганическая, содержащая двуокись кремния в </w:t>
            </w:r>
            <w:r w:rsidR="00E462DC" w:rsidRPr="00E72B7E">
              <w:t xml:space="preserve">%: 70-20 (кл.о.3) - </w:t>
            </w:r>
            <w:r w:rsidR="00E72B7E" w:rsidRPr="00E72B7E">
              <w:t xml:space="preserve">102.404533 </w:t>
            </w:r>
            <w:r w:rsidR="00E462DC" w:rsidRPr="00E72B7E">
              <w:t xml:space="preserve">т/г. </w:t>
            </w:r>
            <w:r w:rsidRPr="00E72B7E">
              <w:t xml:space="preserve"> Общая масса выбросов </w:t>
            </w:r>
            <w:r w:rsidR="00AC2628" w:rsidRPr="00E72B7E">
              <w:t xml:space="preserve">составит – </w:t>
            </w:r>
            <w:r w:rsidR="00E72B7E" w:rsidRPr="00E72B7E">
              <w:t xml:space="preserve">6.5172018  </w:t>
            </w:r>
            <w:r w:rsidR="00AC2628" w:rsidRPr="00E72B7E">
              <w:t xml:space="preserve">г/сек., </w:t>
            </w:r>
            <w:r w:rsidR="00E72B7E" w:rsidRPr="00E72B7E">
              <w:t xml:space="preserve">102.41105148 </w:t>
            </w:r>
            <w:r w:rsidR="00AC2628" w:rsidRPr="00E72B7E">
              <w:t>т/год</w:t>
            </w:r>
            <w:r w:rsidR="00E462DC" w:rsidRPr="00E72B7E">
              <w:t>.</w:t>
            </w:r>
          </w:p>
        </w:tc>
      </w:tr>
      <w:tr w:rsidR="0094673D" w:rsidRPr="00685B75" w14:paraId="01C0661E" w14:textId="77777777" w:rsidTr="00B77C8C">
        <w:trPr>
          <w:jc w:val="center"/>
        </w:trPr>
        <w:tc>
          <w:tcPr>
            <w:tcW w:w="4508" w:type="dxa"/>
          </w:tcPr>
          <w:p w14:paraId="7F82DEA1" w14:textId="77777777" w:rsidR="0094673D" w:rsidRPr="00685B75" w:rsidRDefault="0094673D" w:rsidP="0094673D">
            <w:pPr>
              <w:pStyle w:val="pj"/>
              <w:ind w:firstLine="0"/>
              <w:rPr>
                <w:rStyle w:val="s0"/>
              </w:rPr>
            </w:pPr>
            <w:r w:rsidRPr="00685B75">
              <w:rPr>
                <w:rStyle w:val="s0"/>
              </w:rPr>
              <w:lastRenderedPageBreak/>
              <w:t>10. Описание сбросов загрязняющих веществ: наименования загрязняющих веществ, их классы опасности, предполагаемые объемы сбросов, сведения о веществах, входящих в перечень загрязнителей, данные по которым подлежат внесению в регистр выбросов и переноса загрязнителей в соответствии с правилами ведения регистра выбросов и переноса загрязнителей.</w:t>
            </w:r>
          </w:p>
        </w:tc>
        <w:tc>
          <w:tcPr>
            <w:tcW w:w="11080" w:type="dxa"/>
          </w:tcPr>
          <w:p w14:paraId="3885D81B" w14:textId="50291FD2" w:rsidR="0094673D" w:rsidRPr="00EC3686" w:rsidRDefault="00FD13EB" w:rsidP="00C510AF">
            <w:pPr>
              <w:widowControl w:val="0"/>
              <w:tabs>
                <w:tab w:val="left" w:pos="4035"/>
              </w:tabs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EC3686">
              <w:rPr>
                <w:rFonts w:eastAsia="TimesNewRoman"/>
              </w:rPr>
              <w:t xml:space="preserve">При </w:t>
            </w:r>
            <w:r w:rsidR="00EC3686" w:rsidRPr="00EC3686">
              <w:rPr>
                <w:rFonts w:eastAsia="TimesNewRoman"/>
              </w:rPr>
              <w:t xml:space="preserve">эксплуатации </w:t>
            </w:r>
            <w:r w:rsidRPr="00EC3686">
              <w:rPr>
                <w:rFonts w:eastAsia="TimesNewRoman"/>
              </w:rPr>
              <w:t>объекта</w:t>
            </w:r>
            <w:r w:rsidR="00EC3686" w:rsidRPr="00EC3686">
              <w:rPr>
                <w:rFonts w:eastAsia="TimesNewRoman"/>
              </w:rPr>
              <w:t xml:space="preserve"> отсутствуют сбросы загрязняющих веществ.</w:t>
            </w:r>
          </w:p>
        </w:tc>
      </w:tr>
      <w:tr w:rsidR="0094673D" w:rsidRPr="00685B75" w14:paraId="6FF03909" w14:textId="77777777" w:rsidTr="00EA3A62">
        <w:trPr>
          <w:trHeight w:val="416"/>
          <w:jc w:val="center"/>
        </w:trPr>
        <w:tc>
          <w:tcPr>
            <w:tcW w:w="4508" w:type="dxa"/>
          </w:tcPr>
          <w:p w14:paraId="4D1A4C5D" w14:textId="77777777" w:rsidR="0094673D" w:rsidRPr="00222460" w:rsidRDefault="0094673D" w:rsidP="0094673D">
            <w:pPr>
              <w:pStyle w:val="pj"/>
              <w:ind w:firstLine="0"/>
              <w:rPr>
                <w:rStyle w:val="s0"/>
              </w:rPr>
            </w:pPr>
            <w:r w:rsidRPr="00222460">
              <w:rPr>
                <w:rStyle w:val="s0"/>
              </w:rPr>
              <w:t>11. Описание отходов, управление которыми относится к намечаемой деятельности: наименования отходов, их виды, предполагаемые объемы, операции, в результате которых они образуются, сведения о наличии или отсутствии возможности превышения пороговых значений, установленных для переноса отходов правилами ведения регистра выбросов и переноса загрязнителей.</w:t>
            </w:r>
          </w:p>
        </w:tc>
        <w:tc>
          <w:tcPr>
            <w:tcW w:w="11080" w:type="dxa"/>
          </w:tcPr>
          <w:p w14:paraId="71F0091E" w14:textId="2A3E0F36" w:rsidR="00821B3A" w:rsidRPr="00222460" w:rsidRDefault="00FD13EB" w:rsidP="00821B3A">
            <w:pPr>
              <w:tabs>
                <w:tab w:val="left" w:pos="9498"/>
              </w:tabs>
              <w:ind w:right="-31"/>
              <w:rPr>
                <w:bCs/>
                <w:sz w:val="22"/>
                <w:szCs w:val="22"/>
                <w:shd w:val="clear" w:color="auto" w:fill="FFFFFF"/>
              </w:rPr>
            </w:pPr>
            <w:r w:rsidRPr="00222460">
              <w:rPr>
                <w:b/>
              </w:rPr>
              <w:t>Отходы на период эксплуатации:</w:t>
            </w:r>
            <w:r w:rsidRPr="00222460">
              <w:t xml:space="preserve"> </w:t>
            </w:r>
            <w:r w:rsidR="00821B3A" w:rsidRPr="00222460">
              <w:t xml:space="preserve">Виды и объемы образующихся отходов: смешанные коммунальные отходы – </w:t>
            </w:r>
            <w:r w:rsidR="00222460" w:rsidRPr="00222460">
              <w:t>3,18</w:t>
            </w:r>
            <w:r w:rsidR="00821B3A" w:rsidRPr="00222460">
              <w:t xml:space="preserve"> т/год; </w:t>
            </w:r>
            <w:r w:rsidR="00222460" w:rsidRPr="00222460">
              <w:rPr>
                <w:bCs/>
                <w:sz w:val="22"/>
                <w:szCs w:val="22"/>
                <w:shd w:val="clear" w:color="auto" w:fill="FFFFFF"/>
              </w:rPr>
              <w:t xml:space="preserve">Отработанные аккумуляторы – </w:t>
            </w:r>
            <w:r w:rsidR="00222460" w:rsidRPr="00222460">
              <w:rPr>
                <w:bCs/>
                <w:shd w:val="clear" w:color="auto" w:fill="FFFFFF"/>
              </w:rPr>
              <w:t xml:space="preserve">0,277 т/г, </w:t>
            </w:r>
            <w:r w:rsidR="00222460" w:rsidRPr="00222460">
              <w:rPr>
                <w:bCs/>
                <w:sz w:val="22"/>
                <w:szCs w:val="22"/>
                <w:shd w:val="clear" w:color="auto" w:fill="FFFFFF"/>
              </w:rPr>
              <w:t>Отработанные автошины</w:t>
            </w:r>
            <w:r w:rsidR="00222460" w:rsidRPr="00222460">
              <w:rPr>
                <w:bCs/>
                <w:shd w:val="clear" w:color="auto" w:fill="FFFFFF"/>
              </w:rPr>
              <w:t xml:space="preserve"> </w:t>
            </w:r>
            <w:r w:rsidR="00222460" w:rsidRPr="00222460">
              <w:rPr>
                <w:bCs/>
                <w:sz w:val="22"/>
                <w:szCs w:val="22"/>
                <w:shd w:val="clear" w:color="auto" w:fill="FFFFFF"/>
              </w:rPr>
              <w:t xml:space="preserve">– </w:t>
            </w:r>
            <w:r w:rsidR="00222460" w:rsidRPr="00222460">
              <w:rPr>
                <w:bCs/>
                <w:shd w:val="clear" w:color="auto" w:fill="FFFFFF"/>
              </w:rPr>
              <w:t>9,6 т/г</w:t>
            </w:r>
            <w:r w:rsidR="00222460" w:rsidRPr="00222460">
              <w:rPr>
                <w:bCs/>
                <w:sz w:val="22"/>
                <w:szCs w:val="22"/>
                <w:shd w:val="clear" w:color="auto" w:fill="FFFFFF"/>
              </w:rPr>
              <w:t>; металлолом – 0,68256 т/г, Отработанные фильтра</w:t>
            </w:r>
            <w:r w:rsidR="00222460" w:rsidRPr="00222460">
              <w:rPr>
                <w:bCs/>
                <w:shd w:val="clear" w:color="auto" w:fill="FFFFFF"/>
              </w:rPr>
              <w:t xml:space="preserve"> </w:t>
            </w:r>
            <w:r w:rsidR="00222460" w:rsidRPr="00222460">
              <w:rPr>
                <w:bCs/>
                <w:sz w:val="22"/>
                <w:szCs w:val="22"/>
                <w:shd w:val="clear" w:color="auto" w:fill="FFFFFF"/>
              </w:rPr>
              <w:t xml:space="preserve">– </w:t>
            </w:r>
            <w:r w:rsidR="00222460" w:rsidRPr="00222460">
              <w:rPr>
                <w:bCs/>
                <w:shd w:val="clear" w:color="auto" w:fill="FFFFFF"/>
              </w:rPr>
              <w:t>0,0988 т/г,</w:t>
            </w:r>
            <w:r w:rsidR="00222460" w:rsidRPr="00222460">
              <w:t xml:space="preserve"> </w:t>
            </w:r>
            <w:r w:rsidR="00821B3A" w:rsidRPr="00222460">
              <w:rPr>
                <w:bCs/>
                <w:sz w:val="22"/>
                <w:szCs w:val="22"/>
                <w:shd w:val="clear" w:color="auto" w:fill="FFFFFF"/>
              </w:rPr>
              <w:t>Отработанные масла</w:t>
            </w:r>
            <w:r w:rsidR="00222460" w:rsidRPr="00222460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821B3A" w:rsidRPr="00222460">
              <w:rPr>
                <w:bCs/>
                <w:sz w:val="22"/>
                <w:szCs w:val="22"/>
                <w:shd w:val="clear" w:color="auto" w:fill="FFFFFF"/>
              </w:rPr>
              <w:t xml:space="preserve">– </w:t>
            </w:r>
            <w:r w:rsidR="00222460" w:rsidRPr="00222460">
              <w:rPr>
                <w:bCs/>
                <w:shd w:val="clear" w:color="auto" w:fill="FFFFFF"/>
              </w:rPr>
              <w:t>1,7607</w:t>
            </w:r>
            <w:r w:rsidR="00821B3A" w:rsidRPr="00222460">
              <w:rPr>
                <w:bCs/>
                <w:shd w:val="clear" w:color="auto" w:fill="FFFFFF"/>
              </w:rPr>
              <w:t xml:space="preserve">, </w:t>
            </w:r>
            <w:r w:rsidR="00222460" w:rsidRPr="00222460">
              <w:t>Промасленная ветошь</w:t>
            </w:r>
            <w:r w:rsidR="00222460" w:rsidRPr="00222460">
              <w:rPr>
                <w:bCs/>
                <w:sz w:val="22"/>
                <w:szCs w:val="22"/>
              </w:rPr>
              <w:t xml:space="preserve"> </w:t>
            </w:r>
            <w:r w:rsidR="00222460" w:rsidRPr="00222460">
              <w:t>– 1</w:t>
            </w:r>
            <w:r w:rsidR="00222460">
              <w:t xml:space="preserve"> т/г.</w:t>
            </w:r>
          </w:p>
          <w:p w14:paraId="6C92DC56" w14:textId="101F0FC0" w:rsidR="00821B3A" w:rsidRPr="00222460" w:rsidRDefault="00821B3A" w:rsidP="00821B3A">
            <w:pPr>
              <w:rPr>
                <w:b/>
                <w:bCs/>
                <w:i/>
                <w:iCs/>
              </w:rPr>
            </w:pPr>
          </w:p>
          <w:p w14:paraId="5971705B" w14:textId="261B4DDA" w:rsidR="0094673D" w:rsidRPr="00222460" w:rsidRDefault="00821B3A" w:rsidP="00821B3A">
            <w:r w:rsidRPr="00222460">
              <w:t>В</w:t>
            </w:r>
            <w:r w:rsidR="00FD13EB" w:rsidRPr="00222460">
              <w:t>озможност</w:t>
            </w:r>
            <w:r w:rsidRPr="00222460">
              <w:t>ь</w:t>
            </w:r>
            <w:r w:rsidR="00FD13EB" w:rsidRPr="00222460">
              <w:t xml:space="preserve"> превышения пороговых значений, установленных для переноса отходов правилами ведения регистра выбросов и переноса загрязнителей отсутству</w:t>
            </w:r>
            <w:r w:rsidRPr="00222460">
              <w:t>е</w:t>
            </w:r>
            <w:r w:rsidR="00FD13EB" w:rsidRPr="00222460">
              <w:t>т</w:t>
            </w:r>
            <w:r w:rsidRPr="00222460">
              <w:t>.</w:t>
            </w:r>
            <w:r w:rsidR="00FD13EB" w:rsidRPr="00222460">
              <w:t xml:space="preserve"> Инициатор намечаемой деятельности,  ежегодно до 1 апреля будет предоставлять в территориальный орган информацию по отходам в соответствии с Правилами ведения Государственного регистра выбросов и переноса загрязнителей.</w:t>
            </w:r>
          </w:p>
        </w:tc>
      </w:tr>
      <w:tr w:rsidR="0094673D" w:rsidRPr="00685B75" w14:paraId="7704AA1E" w14:textId="77777777" w:rsidTr="00B77C8C">
        <w:trPr>
          <w:jc w:val="center"/>
        </w:trPr>
        <w:tc>
          <w:tcPr>
            <w:tcW w:w="4508" w:type="dxa"/>
          </w:tcPr>
          <w:p w14:paraId="6DC8F046" w14:textId="77777777" w:rsidR="0094673D" w:rsidRPr="00685B75" w:rsidRDefault="0094673D" w:rsidP="0094673D">
            <w:pPr>
              <w:pStyle w:val="pj"/>
              <w:ind w:firstLine="0"/>
              <w:rPr>
                <w:rStyle w:val="s0"/>
              </w:rPr>
            </w:pPr>
            <w:r w:rsidRPr="00685B75">
              <w:rPr>
                <w:rStyle w:val="s0"/>
              </w:rPr>
              <w:t>12. Перечень разрешений, наличие которых предположительно потребуется для осуществления намечаемой деятельности, и государственных органов, в чью компетенцию входит выдача таких разрешений.</w:t>
            </w:r>
          </w:p>
        </w:tc>
        <w:tc>
          <w:tcPr>
            <w:tcW w:w="11080" w:type="dxa"/>
          </w:tcPr>
          <w:p w14:paraId="08CE8D05" w14:textId="2D5CF49F" w:rsidR="0094673D" w:rsidRPr="00902F2B" w:rsidRDefault="00FD13EB" w:rsidP="00FD13EB">
            <w:pPr>
              <w:pStyle w:val="pc"/>
              <w:jc w:val="left"/>
              <w:rPr>
                <w:highlight w:val="yellow"/>
                <w:lang w:val="kk-KZ"/>
              </w:rPr>
            </w:pPr>
            <w:r w:rsidRPr="00542164">
              <w:t>Для осуществления намечаемой деятельности предположительно потребуются сведения или согласования: - заключения об определении сферы охвата оценки воздействия на окружающую среду и (или) скрининга воздействий намечаемой деятельности; - экологическое разрешение на воздействие.</w:t>
            </w:r>
          </w:p>
        </w:tc>
      </w:tr>
      <w:tr w:rsidR="0094673D" w:rsidRPr="00685B75" w14:paraId="70E7466D" w14:textId="77777777" w:rsidTr="00B77C8C">
        <w:trPr>
          <w:jc w:val="center"/>
        </w:trPr>
        <w:tc>
          <w:tcPr>
            <w:tcW w:w="4508" w:type="dxa"/>
          </w:tcPr>
          <w:p w14:paraId="08FF2EAC" w14:textId="77777777" w:rsidR="0094673D" w:rsidRPr="00685B75" w:rsidRDefault="0094673D" w:rsidP="0094673D">
            <w:pPr>
              <w:pStyle w:val="pj"/>
              <w:ind w:firstLine="0"/>
              <w:rPr>
                <w:rStyle w:val="s0"/>
              </w:rPr>
            </w:pPr>
            <w:r w:rsidRPr="00685B75">
              <w:rPr>
                <w:rStyle w:val="s0"/>
              </w:rPr>
              <w:lastRenderedPageBreak/>
              <w:t>13. Краткое описание текущего состояния компонентов окружающей среды на территории и (или) в акватории, на которых предполагается осуществление намечаемой деятельности, в сравнении с экологическими нормативами или целевыми показателями качества окружающей среды, а при их отсутствии - с гигиеническими нормативами; результаты фоновых исследований, если таковые имеются у инициатора; вывод о необходимости или отсутствии необходимости проведения полевых исследований (при отсутствии или недостаточности результатов фоновых исследований, наличии в предполагаемом месте осуществления намечаемой деятельности объектов, воздействие которых на окружающую среду не изучено или изучено недостаточно, включая объекты исторических загрязнений, бывшие военные полигоны и другие объекты).</w:t>
            </w:r>
          </w:p>
        </w:tc>
        <w:tc>
          <w:tcPr>
            <w:tcW w:w="11080" w:type="dxa"/>
          </w:tcPr>
          <w:p w14:paraId="1165291F" w14:textId="04448953" w:rsidR="0094673D" w:rsidRPr="00902F2B" w:rsidRDefault="00FD13EB" w:rsidP="00073199">
            <w:pPr>
              <w:autoSpaceDE w:val="0"/>
              <w:autoSpaceDN w:val="0"/>
              <w:adjustRightInd w:val="0"/>
              <w:rPr>
                <w:color w:val="000000"/>
                <w:highlight w:val="yellow"/>
              </w:rPr>
            </w:pPr>
            <w:r w:rsidRPr="00821B3A">
              <w:rPr>
                <w:rFonts w:eastAsia="TimesNewRoman"/>
              </w:rPr>
              <w:t xml:space="preserve">Согласно справки от </w:t>
            </w:r>
            <w:r w:rsidR="00073199">
              <w:rPr>
                <w:rFonts w:eastAsia="TimesNewRoman"/>
              </w:rPr>
              <w:t>15</w:t>
            </w:r>
            <w:r w:rsidRPr="00821B3A">
              <w:rPr>
                <w:rFonts w:eastAsia="TimesNewRoman"/>
              </w:rPr>
              <w:t>.1</w:t>
            </w:r>
            <w:r w:rsidR="00073199">
              <w:rPr>
                <w:rFonts w:eastAsia="TimesNewRoman"/>
              </w:rPr>
              <w:t>2</w:t>
            </w:r>
            <w:r w:rsidRPr="00821B3A">
              <w:rPr>
                <w:rFonts w:eastAsia="TimesNewRoman"/>
              </w:rPr>
              <w:t>.202</w:t>
            </w:r>
            <w:r w:rsidR="00821B3A" w:rsidRPr="00821B3A">
              <w:rPr>
                <w:rFonts w:eastAsia="TimesNewRoman"/>
              </w:rPr>
              <w:t>5</w:t>
            </w:r>
            <w:r w:rsidRPr="00821B3A">
              <w:rPr>
                <w:rFonts w:eastAsia="TimesNewRoman"/>
              </w:rPr>
              <w:t xml:space="preserve"> года о фоновом состоянии </w:t>
            </w:r>
            <w:proofErr w:type="spellStart"/>
            <w:r w:rsidR="00073199">
              <w:rPr>
                <w:rFonts w:eastAsia="TimesNewRoman"/>
              </w:rPr>
              <w:t>Мартукского</w:t>
            </w:r>
            <w:proofErr w:type="spellEnd"/>
            <w:r w:rsidR="00821B3A" w:rsidRPr="00821B3A">
              <w:rPr>
                <w:rFonts w:eastAsia="TimesNewRoman"/>
              </w:rPr>
              <w:t xml:space="preserve"> района, села </w:t>
            </w:r>
            <w:proofErr w:type="spellStart"/>
            <w:r w:rsidR="00073199">
              <w:rPr>
                <w:rFonts w:eastAsia="TimesNewRoman"/>
              </w:rPr>
              <w:t>Курмансай</w:t>
            </w:r>
            <w:proofErr w:type="spellEnd"/>
            <w:r w:rsidR="00821B3A" w:rsidRPr="00821B3A">
              <w:rPr>
                <w:rFonts w:eastAsia="TimesNewRoman"/>
              </w:rPr>
              <w:t>.</w:t>
            </w:r>
            <w:r w:rsidR="00821B3A" w:rsidRPr="00821B3A">
              <w:t xml:space="preserve"> </w:t>
            </w:r>
            <w:r w:rsidR="00821B3A" w:rsidRPr="00821B3A">
              <w:rPr>
                <w:rFonts w:eastAsia="TimesNewRoman"/>
              </w:rPr>
              <w:t xml:space="preserve">В связи с отсутствием наблюдений за состоянием атмосферного воздуха в Актюбинская область, </w:t>
            </w:r>
            <w:proofErr w:type="spellStart"/>
            <w:r w:rsidR="00073199">
              <w:rPr>
                <w:rFonts w:eastAsia="TimesNewRoman"/>
              </w:rPr>
              <w:t>Мартукский</w:t>
            </w:r>
            <w:proofErr w:type="spellEnd"/>
            <w:r w:rsidR="00073199">
              <w:rPr>
                <w:rFonts w:eastAsia="TimesNewRoman"/>
              </w:rPr>
              <w:t xml:space="preserve"> </w:t>
            </w:r>
            <w:r w:rsidR="00821B3A" w:rsidRPr="00821B3A">
              <w:rPr>
                <w:rFonts w:eastAsia="TimesNewRoman"/>
              </w:rPr>
              <w:t xml:space="preserve">район, село </w:t>
            </w:r>
            <w:proofErr w:type="spellStart"/>
            <w:r w:rsidR="00073199">
              <w:rPr>
                <w:rFonts w:eastAsia="TimesNewRoman"/>
              </w:rPr>
              <w:t>Курмансай</w:t>
            </w:r>
            <w:proofErr w:type="spellEnd"/>
            <w:r w:rsidR="00821B3A" w:rsidRPr="00821B3A">
              <w:rPr>
                <w:rFonts w:eastAsia="TimesNewRoman"/>
              </w:rPr>
              <w:t xml:space="preserve"> выдача справки о фоновых концентрациях загрязняющих веществ в атмосферном воздухе не представляется возможным.</w:t>
            </w:r>
          </w:p>
        </w:tc>
      </w:tr>
      <w:tr w:rsidR="0094673D" w:rsidRPr="00685B75" w14:paraId="69B8DC25" w14:textId="77777777" w:rsidTr="00B77C8C">
        <w:trPr>
          <w:jc w:val="center"/>
        </w:trPr>
        <w:tc>
          <w:tcPr>
            <w:tcW w:w="4508" w:type="dxa"/>
          </w:tcPr>
          <w:p w14:paraId="7385BE54" w14:textId="7F7774A9" w:rsidR="0094673D" w:rsidRPr="00685B75" w:rsidRDefault="0094673D" w:rsidP="0094673D">
            <w:pPr>
              <w:pStyle w:val="pj"/>
              <w:ind w:firstLine="0"/>
              <w:rPr>
                <w:rStyle w:val="s0"/>
              </w:rPr>
            </w:pPr>
            <w:r w:rsidRPr="00685B75">
              <w:rPr>
                <w:rStyle w:val="s0"/>
              </w:rPr>
              <w:t>14. Характеристика возможных форм негативного и положительного воздействий на окружающую среду в результате осуществления намечаемой деятельности, их характер и ожидаемые масштабы с учетом их вероятности, продолжительности, частоты и обратимости, предварительная оценка их существенности.</w:t>
            </w:r>
          </w:p>
        </w:tc>
        <w:tc>
          <w:tcPr>
            <w:tcW w:w="11080" w:type="dxa"/>
          </w:tcPr>
          <w:p w14:paraId="56724740" w14:textId="5F64C56F" w:rsidR="00FD13EB" w:rsidRPr="00AF65E5" w:rsidRDefault="00FD13EB" w:rsidP="00FD13EB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</w:rPr>
            </w:pPr>
            <w:r w:rsidRPr="00AF65E5">
              <w:rPr>
                <w:color w:val="000000"/>
              </w:rPr>
              <w:t>Намечаемая деятельность не приведет к изменению рельефа местности, истощению, опустыниванию, водной и ветровой эрозии, селям, подтоплению, заболачиванию, вторичному засолению, иссушению, уплотнению, другим процессам нарушению почв, и не повлияет на состояние водных объектов.</w:t>
            </w:r>
          </w:p>
          <w:p w14:paraId="7CAF3CB5" w14:textId="5CFB7755" w:rsidR="0094673D" w:rsidRPr="00902F2B" w:rsidRDefault="00FD13EB" w:rsidP="00BA4C93">
            <w:pPr>
              <w:autoSpaceDE w:val="0"/>
              <w:autoSpaceDN w:val="0"/>
              <w:adjustRightInd w:val="0"/>
              <w:contextualSpacing/>
              <w:jc w:val="both"/>
              <w:rPr>
                <w:highlight w:val="yellow"/>
              </w:rPr>
            </w:pPr>
            <w:r w:rsidRPr="00AF65E5">
              <w:rPr>
                <w:color w:val="000000"/>
              </w:rPr>
              <w:t>Намечаемая деятельность не приведет к экологически обусловленным изменениям демографической ситуации, рынка труда, условий проживания населения и его деятельности, включая традиционные народные промыслы. При реализации намечаемой деятельности источники вибрационного и радиационного воздействия отсутствуют. Намечаемая деятель</w:t>
            </w:r>
            <w:r w:rsidR="00AF65E5" w:rsidRPr="00AF65E5">
              <w:rPr>
                <w:color w:val="000000"/>
              </w:rPr>
              <w:t>н</w:t>
            </w:r>
            <w:r w:rsidRPr="00AF65E5">
              <w:rPr>
                <w:color w:val="000000"/>
              </w:rPr>
              <w:t>ость воздействия на транспортные маршруты, подверженные рискам возникновения заторов или создающие экологические проблемы – не окажет.</w:t>
            </w:r>
          </w:p>
        </w:tc>
      </w:tr>
      <w:tr w:rsidR="0094673D" w:rsidRPr="00685B75" w14:paraId="1E2A24C1" w14:textId="77777777" w:rsidTr="00B77C8C">
        <w:trPr>
          <w:jc w:val="center"/>
        </w:trPr>
        <w:tc>
          <w:tcPr>
            <w:tcW w:w="4508" w:type="dxa"/>
          </w:tcPr>
          <w:p w14:paraId="73E262F6" w14:textId="77777777" w:rsidR="0094673D" w:rsidRPr="00685B75" w:rsidRDefault="0094673D" w:rsidP="0094673D">
            <w:pPr>
              <w:pStyle w:val="pj"/>
              <w:ind w:firstLine="0"/>
              <w:rPr>
                <w:rStyle w:val="s0"/>
              </w:rPr>
            </w:pPr>
            <w:r w:rsidRPr="00685B75">
              <w:rPr>
                <w:rStyle w:val="s0"/>
              </w:rPr>
              <w:t>15. Характеристика возможных форм трансграничных воздействий на окружающую среду, их характер и ожидаемые масштабы с учетом их вероятности, продолжительности, частоты и обратимости.</w:t>
            </w:r>
          </w:p>
        </w:tc>
        <w:tc>
          <w:tcPr>
            <w:tcW w:w="11080" w:type="dxa"/>
          </w:tcPr>
          <w:p w14:paraId="4C16C0CE" w14:textId="68D00A72" w:rsidR="00AF65E5" w:rsidRPr="00902F2B" w:rsidRDefault="00FD13EB" w:rsidP="00AF65E5">
            <w:pPr>
              <w:pStyle w:val="pc"/>
              <w:jc w:val="left"/>
            </w:pPr>
            <w:r w:rsidRPr="00AF65E5">
              <w:t xml:space="preserve">Осуществление намечаемой деятельности трансграничного воздействия на окружающую среду на территории другого государства не окажет. </w:t>
            </w:r>
          </w:p>
          <w:p w14:paraId="4EFB6A4E" w14:textId="4E2D2C00" w:rsidR="0094673D" w:rsidRPr="00902F2B" w:rsidRDefault="0094673D" w:rsidP="00FD13EB">
            <w:pPr>
              <w:pStyle w:val="pc"/>
              <w:jc w:val="left"/>
              <w:rPr>
                <w:highlight w:val="yellow"/>
              </w:rPr>
            </w:pPr>
          </w:p>
        </w:tc>
      </w:tr>
      <w:tr w:rsidR="0094673D" w:rsidRPr="00685B75" w14:paraId="1F1B46E5" w14:textId="77777777" w:rsidTr="00B77C8C">
        <w:trPr>
          <w:jc w:val="center"/>
        </w:trPr>
        <w:tc>
          <w:tcPr>
            <w:tcW w:w="4508" w:type="dxa"/>
          </w:tcPr>
          <w:p w14:paraId="51D0C19A" w14:textId="77777777" w:rsidR="0094673D" w:rsidRPr="00685B75" w:rsidRDefault="0094673D" w:rsidP="0094673D">
            <w:pPr>
              <w:pStyle w:val="pj"/>
              <w:ind w:firstLine="0"/>
              <w:rPr>
                <w:rStyle w:val="s0"/>
              </w:rPr>
            </w:pPr>
            <w:r w:rsidRPr="00685B75">
              <w:rPr>
                <w:rStyle w:val="s0"/>
              </w:rPr>
              <w:lastRenderedPageBreak/>
              <w:t>16. Предлагаемые меры по предупреждению, исключению и снижению возможных форм неблагоприятного воздействия на окружающую среду, а также по устранению его последствий.</w:t>
            </w:r>
          </w:p>
        </w:tc>
        <w:tc>
          <w:tcPr>
            <w:tcW w:w="11080" w:type="dxa"/>
          </w:tcPr>
          <w:p w14:paraId="28B767F1" w14:textId="5BBC4147" w:rsidR="0094673D" w:rsidRPr="00902F2B" w:rsidRDefault="00FD13EB" w:rsidP="00073199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AF65E5">
              <w:rPr>
                <w:rFonts w:eastAsia="TimesNewRoman"/>
              </w:rPr>
              <w:t xml:space="preserve">Проектом предусматриваются следующие мероприятия: укрытие автотранспорта при перевозке инертных материалов и увлажнение </w:t>
            </w:r>
            <w:r w:rsidR="00073199">
              <w:rPr>
                <w:rFonts w:eastAsia="TimesNewRoman"/>
              </w:rPr>
              <w:t>дорог</w:t>
            </w:r>
            <w:r w:rsidRPr="00AF65E5">
              <w:rPr>
                <w:rFonts w:eastAsia="TimesNewRoman"/>
              </w:rPr>
              <w:t>; снижающие распространение пылящих материалов; передача отходов будет осуществляться специализированным организациям по договору по мере накопления (не более 6-ти месяцев); применение землеройно-транспортной и строительной техники с двигателями внутреннего сгорания, отвечающими требованиям ГОСТ и параметрам заводов-изготовителей по выбросам загрязняющих веществ в атмосферу; организация технического обслуживания и ремонта дорожно-строительной техники и автотранспорта на территории производственной базы подрядной организации; организация внутрипостроечного движения транспортной техники по существующим дорогам и проездам с твердым покрытием; заправка ГСМ автотранспорта на специализированных автозаправочных станциях; сокращение или прекращение работ при неблагоприятных метеорологических условиях; хранение производственных отходов в строго определенных местах. Размещение бытовых и производственных отходов в контейнеры и емкости для хранения только на специально отведенных площадках с последующей транспортировкой в специализированные организации согласно</w:t>
            </w:r>
            <w:r w:rsidR="00AF65E5" w:rsidRPr="00AF65E5">
              <w:rPr>
                <w:rFonts w:eastAsia="TimesNewRoman"/>
              </w:rPr>
              <w:t xml:space="preserve"> </w:t>
            </w:r>
            <w:r w:rsidRPr="00AF65E5">
              <w:rPr>
                <w:rFonts w:eastAsia="TimesNewRoman"/>
              </w:rPr>
              <w:t>договорам.</w:t>
            </w:r>
          </w:p>
        </w:tc>
      </w:tr>
      <w:tr w:rsidR="0094673D" w:rsidRPr="00685B75" w14:paraId="64994D49" w14:textId="77777777" w:rsidTr="00B77C8C">
        <w:trPr>
          <w:jc w:val="center"/>
        </w:trPr>
        <w:tc>
          <w:tcPr>
            <w:tcW w:w="4508" w:type="dxa"/>
          </w:tcPr>
          <w:p w14:paraId="747B7776" w14:textId="77777777" w:rsidR="0094673D" w:rsidRPr="00685B75" w:rsidRDefault="0094673D" w:rsidP="0094673D">
            <w:pPr>
              <w:pStyle w:val="pj"/>
              <w:ind w:firstLine="0"/>
              <w:rPr>
                <w:rStyle w:val="s0"/>
              </w:rPr>
            </w:pPr>
            <w:r w:rsidRPr="00685B75">
              <w:rPr>
                <w:rStyle w:val="s0"/>
              </w:rPr>
              <w:t>17. Описание возможных альтернатив достижения целей указанной намечаемой деятельности и вариантов ее осуществления (включая использование альтернативных технических и технологических решений и мест расположения объекта).</w:t>
            </w:r>
          </w:p>
        </w:tc>
        <w:tc>
          <w:tcPr>
            <w:tcW w:w="11080" w:type="dxa"/>
          </w:tcPr>
          <w:p w14:paraId="3FA2D384" w14:textId="5F7035EA" w:rsidR="0094673D" w:rsidRPr="00AF65E5" w:rsidRDefault="00FD13EB" w:rsidP="00AF65E5">
            <w:pPr>
              <w:autoSpaceDE w:val="0"/>
              <w:autoSpaceDN w:val="0"/>
              <w:adjustRightInd w:val="0"/>
            </w:pPr>
            <w:bookmarkStart w:id="1" w:name="_GoBack"/>
            <w:r w:rsidRPr="00AF65E5">
              <w:rPr>
                <w:rFonts w:eastAsia="TimesNewRoman"/>
              </w:rPr>
              <w:t xml:space="preserve">Технические альтернативы достижению целей указанной намечаемой деятельности и варианты её осуществления (включая использование альтернативных технических и технологических решений и мест расположения объекта) при </w:t>
            </w:r>
            <w:proofErr w:type="spellStart"/>
            <w:r w:rsidRPr="00AF65E5">
              <w:rPr>
                <w:rFonts w:eastAsia="TimesNewRoman"/>
              </w:rPr>
              <w:t>предпроектной</w:t>
            </w:r>
            <w:proofErr w:type="spellEnd"/>
            <w:r w:rsidRPr="00AF65E5">
              <w:rPr>
                <w:rFonts w:eastAsia="TimesNewRoman"/>
              </w:rPr>
              <w:t xml:space="preserve"> проработке не выявлены. </w:t>
            </w:r>
            <w:bookmarkEnd w:id="1"/>
          </w:p>
        </w:tc>
      </w:tr>
    </w:tbl>
    <w:p w14:paraId="6836DDA8" w14:textId="77777777" w:rsidR="005D70B4" w:rsidRDefault="005D70B4" w:rsidP="000A5DD4">
      <w:pPr>
        <w:pStyle w:val="pc"/>
      </w:pPr>
    </w:p>
    <w:p w14:paraId="63120C1F" w14:textId="77777777" w:rsidR="00AC0478" w:rsidRDefault="00AC0478" w:rsidP="000A5DD4">
      <w:pPr>
        <w:pStyle w:val="pc"/>
      </w:pPr>
    </w:p>
    <w:p w14:paraId="4667DC00" w14:textId="77777777" w:rsidR="00AC0478" w:rsidRDefault="00AC0478" w:rsidP="000A5DD4">
      <w:pPr>
        <w:pStyle w:val="pc"/>
      </w:pPr>
    </w:p>
    <w:p w14:paraId="196FC491" w14:textId="77777777" w:rsidR="00AC0478" w:rsidRDefault="00AC0478" w:rsidP="000A5DD4">
      <w:pPr>
        <w:pStyle w:val="pc"/>
      </w:pPr>
    </w:p>
    <w:p w14:paraId="6FD4BCF9" w14:textId="77777777" w:rsidR="00AC0478" w:rsidRDefault="00AC0478" w:rsidP="000A5DD4">
      <w:pPr>
        <w:pStyle w:val="pc"/>
      </w:pPr>
    </w:p>
    <w:p w14:paraId="4F62958A" w14:textId="77777777" w:rsidR="00AC0478" w:rsidRDefault="00AC0478" w:rsidP="000A5DD4">
      <w:pPr>
        <w:pStyle w:val="pc"/>
      </w:pPr>
    </w:p>
    <w:p w14:paraId="140FBD5B" w14:textId="77777777" w:rsidR="00AC0478" w:rsidRPr="000A5DD4" w:rsidRDefault="00AC0478" w:rsidP="000A5DD4">
      <w:pPr>
        <w:pStyle w:val="pc"/>
      </w:pPr>
    </w:p>
    <w:p w14:paraId="1BE264B4" w14:textId="77777777" w:rsidR="00B178FA" w:rsidRPr="000A5DD4" w:rsidRDefault="00B178FA" w:rsidP="000A5DD4">
      <w:pPr>
        <w:tabs>
          <w:tab w:val="left" w:pos="3560"/>
        </w:tabs>
        <w:rPr>
          <w:b/>
          <w:spacing w:val="-4"/>
          <w:lang w:val="kk-KZ"/>
        </w:rPr>
      </w:pPr>
    </w:p>
    <w:p w14:paraId="24A82856" w14:textId="77777777" w:rsidR="00447040" w:rsidRDefault="00447040" w:rsidP="000A5DD4">
      <w:pPr>
        <w:tabs>
          <w:tab w:val="left" w:pos="1260"/>
        </w:tabs>
      </w:pPr>
    </w:p>
    <w:p w14:paraId="232DBB40" w14:textId="77777777" w:rsidR="00447040" w:rsidRDefault="00447040" w:rsidP="000A5DD4">
      <w:pPr>
        <w:tabs>
          <w:tab w:val="left" w:pos="1260"/>
        </w:tabs>
      </w:pPr>
    </w:p>
    <w:p w14:paraId="2C7547F7" w14:textId="77777777" w:rsidR="00447040" w:rsidRDefault="00447040" w:rsidP="000A5DD4">
      <w:pPr>
        <w:tabs>
          <w:tab w:val="left" w:pos="1260"/>
        </w:tabs>
      </w:pPr>
    </w:p>
    <w:p w14:paraId="2A568DAC" w14:textId="77777777" w:rsidR="00447040" w:rsidRDefault="00447040" w:rsidP="000A5DD4">
      <w:pPr>
        <w:tabs>
          <w:tab w:val="left" w:pos="1260"/>
        </w:tabs>
      </w:pPr>
    </w:p>
    <w:p w14:paraId="5585C923" w14:textId="77777777" w:rsidR="00447040" w:rsidRDefault="00447040" w:rsidP="000A5DD4">
      <w:pPr>
        <w:tabs>
          <w:tab w:val="left" w:pos="1260"/>
        </w:tabs>
      </w:pPr>
    </w:p>
    <w:p w14:paraId="088232C3" w14:textId="77777777" w:rsidR="00447040" w:rsidRPr="00133772" w:rsidRDefault="00447040" w:rsidP="000A5DD4">
      <w:pPr>
        <w:tabs>
          <w:tab w:val="left" w:pos="1260"/>
        </w:tabs>
      </w:pPr>
    </w:p>
    <w:sectPr w:rsidR="00447040" w:rsidRPr="00133772" w:rsidSect="00672D70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4FC5"/>
    <w:multiLevelType w:val="hybridMultilevel"/>
    <w:tmpl w:val="FF7CFF1A"/>
    <w:lvl w:ilvl="0" w:tplc="7B0A9FA4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E4080"/>
    <w:multiLevelType w:val="multilevel"/>
    <w:tmpl w:val="6576CAD8"/>
    <w:lvl w:ilvl="0">
      <w:start w:val="1"/>
      <w:numFmt w:val="bullet"/>
      <w:lvlText w:val="−"/>
      <w:lvlJc w:val="left"/>
      <w:pPr>
        <w:ind w:left="357" w:hanging="35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7D3545A"/>
    <w:multiLevelType w:val="hybridMultilevel"/>
    <w:tmpl w:val="E1B6A940"/>
    <w:lvl w:ilvl="0" w:tplc="CC348B78">
      <w:start w:val="1"/>
      <w:numFmt w:val="decimal"/>
      <w:lvlText w:val="%1."/>
      <w:lvlJc w:val="left"/>
      <w:pPr>
        <w:ind w:left="10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091945F4"/>
    <w:multiLevelType w:val="multilevel"/>
    <w:tmpl w:val="EC56588E"/>
    <w:lvl w:ilvl="0">
      <w:numFmt w:val="bullet"/>
      <w:lvlText w:val="−"/>
      <w:lvlJc w:val="left"/>
      <w:pPr>
        <w:ind w:left="357" w:hanging="35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B86546D"/>
    <w:multiLevelType w:val="hybridMultilevel"/>
    <w:tmpl w:val="BF42E6AA"/>
    <w:lvl w:ilvl="0" w:tplc="7B0A9FA4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F6BE2"/>
    <w:multiLevelType w:val="multilevel"/>
    <w:tmpl w:val="2B3E32F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9" w:hanging="384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65" w:hanging="1440"/>
      </w:pPr>
      <w:rPr>
        <w:rFonts w:hint="default"/>
        <w:sz w:val="22"/>
      </w:rPr>
    </w:lvl>
  </w:abstractNum>
  <w:abstractNum w:abstractNumId="6" w15:restartNumberingAfterBreak="0">
    <w:nsid w:val="1B9146F5"/>
    <w:multiLevelType w:val="multilevel"/>
    <w:tmpl w:val="AEBE21DE"/>
    <w:lvl w:ilvl="0">
      <w:start w:val="1"/>
      <w:numFmt w:val="bullet"/>
      <w:lvlText w:val="−"/>
      <w:lvlJc w:val="left"/>
      <w:pPr>
        <w:ind w:left="357" w:hanging="35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C800DFB"/>
    <w:multiLevelType w:val="multilevel"/>
    <w:tmpl w:val="1668125C"/>
    <w:lvl w:ilvl="0">
      <w:numFmt w:val="bullet"/>
      <w:lvlText w:val="−"/>
      <w:lvlJc w:val="left"/>
      <w:pPr>
        <w:ind w:left="357" w:hanging="35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1E6653FB"/>
    <w:multiLevelType w:val="multilevel"/>
    <w:tmpl w:val="384AF602"/>
    <w:lvl w:ilvl="0">
      <w:start w:val="1"/>
      <w:numFmt w:val="bullet"/>
      <w:lvlText w:val="−"/>
      <w:lvlJc w:val="left"/>
      <w:pPr>
        <w:ind w:left="357" w:hanging="35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17D7E12"/>
    <w:multiLevelType w:val="multilevel"/>
    <w:tmpl w:val="8738126A"/>
    <w:lvl w:ilvl="0">
      <w:start w:val="1"/>
      <w:numFmt w:val="bullet"/>
      <w:lvlText w:val="−"/>
      <w:lvlJc w:val="left"/>
      <w:pPr>
        <w:ind w:left="357" w:hanging="35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23C27A13"/>
    <w:multiLevelType w:val="multilevel"/>
    <w:tmpl w:val="17CA0680"/>
    <w:lvl w:ilvl="0">
      <w:numFmt w:val="bullet"/>
      <w:lvlText w:val="−"/>
      <w:lvlJc w:val="left"/>
      <w:pPr>
        <w:ind w:left="357" w:hanging="35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B7150FA"/>
    <w:multiLevelType w:val="multilevel"/>
    <w:tmpl w:val="AC025984"/>
    <w:lvl w:ilvl="0">
      <w:start w:val="1"/>
      <w:numFmt w:val="bullet"/>
      <w:lvlText w:val="−"/>
      <w:lvlJc w:val="left"/>
      <w:pPr>
        <w:ind w:left="357" w:hanging="35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2FD944FC"/>
    <w:multiLevelType w:val="hybridMultilevel"/>
    <w:tmpl w:val="5D5E5F0A"/>
    <w:lvl w:ilvl="0" w:tplc="451E143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45676"/>
    <w:multiLevelType w:val="hybridMultilevel"/>
    <w:tmpl w:val="7AF8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4B53"/>
    <w:multiLevelType w:val="hybridMultilevel"/>
    <w:tmpl w:val="7222082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E307193"/>
    <w:multiLevelType w:val="hybridMultilevel"/>
    <w:tmpl w:val="72DE2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217"/>
    <w:multiLevelType w:val="hybridMultilevel"/>
    <w:tmpl w:val="8408C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15647"/>
    <w:multiLevelType w:val="multilevel"/>
    <w:tmpl w:val="3652740A"/>
    <w:lvl w:ilvl="0">
      <w:start w:val="1"/>
      <w:numFmt w:val="bullet"/>
      <w:lvlText w:val="−"/>
      <w:lvlJc w:val="left"/>
      <w:pPr>
        <w:ind w:left="357" w:hanging="35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295700C"/>
    <w:multiLevelType w:val="hybridMultilevel"/>
    <w:tmpl w:val="758E5A16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E1A534A"/>
    <w:multiLevelType w:val="hybridMultilevel"/>
    <w:tmpl w:val="9620E9F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618C73EB"/>
    <w:multiLevelType w:val="hybridMultilevel"/>
    <w:tmpl w:val="7AF80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6753F0"/>
    <w:multiLevelType w:val="multilevel"/>
    <w:tmpl w:val="ED78AE7E"/>
    <w:lvl w:ilvl="0">
      <w:start w:val="1"/>
      <w:numFmt w:val="bullet"/>
      <w:lvlText w:val="−"/>
      <w:lvlJc w:val="left"/>
      <w:pPr>
        <w:ind w:left="357" w:hanging="35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66BB70DE"/>
    <w:multiLevelType w:val="hybridMultilevel"/>
    <w:tmpl w:val="36DC2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F5B62"/>
    <w:multiLevelType w:val="hybridMultilevel"/>
    <w:tmpl w:val="35603044"/>
    <w:lvl w:ilvl="0" w:tplc="451E1434">
      <w:start w:val="1"/>
      <w:numFmt w:val="bullet"/>
      <w:lvlText w:val="-"/>
      <w:lvlJc w:val="left"/>
      <w:pPr>
        <w:ind w:left="1429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CB71FBB"/>
    <w:multiLevelType w:val="hybridMultilevel"/>
    <w:tmpl w:val="D631C4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8EC4B6F"/>
    <w:multiLevelType w:val="hybridMultilevel"/>
    <w:tmpl w:val="0AAA8226"/>
    <w:lvl w:ilvl="0" w:tplc="36D8710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ABD0AB0"/>
    <w:multiLevelType w:val="hybridMultilevel"/>
    <w:tmpl w:val="73F85B58"/>
    <w:lvl w:ilvl="0" w:tplc="7B0A9FA4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1654E3"/>
    <w:multiLevelType w:val="multilevel"/>
    <w:tmpl w:val="BD2CC7E2"/>
    <w:lvl w:ilvl="0">
      <w:start w:val="1"/>
      <w:numFmt w:val="bullet"/>
      <w:lvlText w:val="−"/>
      <w:lvlJc w:val="left"/>
      <w:pPr>
        <w:ind w:left="357" w:hanging="357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26"/>
  </w:num>
  <w:num w:numId="5">
    <w:abstractNumId w:val="23"/>
  </w:num>
  <w:num w:numId="6">
    <w:abstractNumId w:val="12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13"/>
  </w:num>
  <w:num w:numId="12">
    <w:abstractNumId w:val="6"/>
  </w:num>
  <w:num w:numId="13">
    <w:abstractNumId w:val="9"/>
  </w:num>
  <w:num w:numId="14">
    <w:abstractNumId w:val="8"/>
  </w:num>
  <w:num w:numId="15">
    <w:abstractNumId w:val="17"/>
  </w:num>
  <w:num w:numId="16">
    <w:abstractNumId w:val="21"/>
  </w:num>
  <w:num w:numId="17">
    <w:abstractNumId w:val="27"/>
  </w:num>
  <w:num w:numId="18">
    <w:abstractNumId w:val="11"/>
  </w:num>
  <w:num w:numId="19">
    <w:abstractNumId w:val="20"/>
  </w:num>
  <w:num w:numId="20">
    <w:abstractNumId w:val="15"/>
  </w:num>
  <w:num w:numId="21">
    <w:abstractNumId w:val="16"/>
  </w:num>
  <w:num w:numId="22">
    <w:abstractNumId w:val="5"/>
  </w:num>
  <w:num w:numId="23">
    <w:abstractNumId w:val="22"/>
  </w:num>
  <w:num w:numId="24">
    <w:abstractNumId w:val="25"/>
  </w:num>
  <w:num w:numId="25">
    <w:abstractNumId w:val="19"/>
  </w:num>
  <w:num w:numId="26">
    <w:abstractNumId w:val="14"/>
  </w:num>
  <w:num w:numId="27">
    <w:abstractNumId w:val="18"/>
  </w:num>
  <w:num w:numId="28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B4"/>
    <w:rsid w:val="00000ED0"/>
    <w:rsid w:val="00004661"/>
    <w:rsid w:val="00005D5D"/>
    <w:rsid w:val="00005F14"/>
    <w:rsid w:val="000211E2"/>
    <w:rsid w:val="000333C0"/>
    <w:rsid w:val="00035A88"/>
    <w:rsid w:val="00037481"/>
    <w:rsid w:val="000377B8"/>
    <w:rsid w:val="000440AE"/>
    <w:rsid w:val="00046E4B"/>
    <w:rsid w:val="00051D9C"/>
    <w:rsid w:val="000533D7"/>
    <w:rsid w:val="000542D3"/>
    <w:rsid w:val="0006752C"/>
    <w:rsid w:val="0006761C"/>
    <w:rsid w:val="0007179E"/>
    <w:rsid w:val="00073199"/>
    <w:rsid w:val="0007430F"/>
    <w:rsid w:val="00087CD4"/>
    <w:rsid w:val="00087CF9"/>
    <w:rsid w:val="000903D3"/>
    <w:rsid w:val="000928FC"/>
    <w:rsid w:val="00093671"/>
    <w:rsid w:val="00093F97"/>
    <w:rsid w:val="000979A7"/>
    <w:rsid w:val="000A5DD4"/>
    <w:rsid w:val="000B3DDF"/>
    <w:rsid w:val="000B5167"/>
    <w:rsid w:val="000C1FEF"/>
    <w:rsid w:val="000D2934"/>
    <w:rsid w:val="000D2AE9"/>
    <w:rsid w:val="000D4744"/>
    <w:rsid w:val="000D704A"/>
    <w:rsid w:val="000E17C8"/>
    <w:rsid w:val="000E2404"/>
    <w:rsid w:val="000E2F04"/>
    <w:rsid w:val="000E38E7"/>
    <w:rsid w:val="000E5A3B"/>
    <w:rsid w:val="000E777C"/>
    <w:rsid w:val="000E7B25"/>
    <w:rsid w:val="000E7FE8"/>
    <w:rsid w:val="000F1CF0"/>
    <w:rsid w:val="000F7BA5"/>
    <w:rsid w:val="001149CB"/>
    <w:rsid w:val="001201A3"/>
    <w:rsid w:val="00120965"/>
    <w:rsid w:val="00121BC7"/>
    <w:rsid w:val="0012528A"/>
    <w:rsid w:val="00127401"/>
    <w:rsid w:val="00133772"/>
    <w:rsid w:val="001379D3"/>
    <w:rsid w:val="00140329"/>
    <w:rsid w:val="00143A7D"/>
    <w:rsid w:val="00146F13"/>
    <w:rsid w:val="00152C0A"/>
    <w:rsid w:val="0015344A"/>
    <w:rsid w:val="00155CEC"/>
    <w:rsid w:val="00162C21"/>
    <w:rsid w:val="0016401F"/>
    <w:rsid w:val="001678F6"/>
    <w:rsid w:val="0017025F"/>
    <w:rsid w:val="00182A8A"/>
    <w:rsid w:val="00184EFA"/>
    <w:rsid w:val="00186E17"/>
    <w:rsid w:val="0018703F"/>
    <w:rsid w:val="00194CBC"/>
    <w:rsid w:val="00197927"/>
    <w:rsid w:val="001979C6"/>
    <w:rsid w:val="001A15A7"/>
    <w:rsid w:val="001A51EF"/>
    <w:rsid w:val="001A5204"/>
    <w:rsid w:val="001B47B8"/>
    <w:rsid w:val="001B5503"/>
    <w:rsid w:val="001B6B33"/>
    <w:rsid w:val="001C2530"/>
    <w:rsid w:val="001C3D07"/>
    <w:rsid w:val="001C43AE"/>
    <w:rsid w:val="001D4D7B"/>
    <w:rsid w:val="001E161B"/>
    <w:rsid w:val="001E62BD"/>
    <w:rsid w:val="00200023"/>
    <w:rsid w:val="00202EAA"/>
    <w:rsid w:val="00205977"/>
    <w:rsid w:val="00214183"/>
    <w:rsid w:val="00214E50"/>
    <w:rsid w:val="0022104C"/>
    <w:rsid w:val="00222460"/>
    <w:rsid w:val="00224806"/>
    <w:rsid w:val="00232D0E"/>
    <w:rsid w:val="00235693"/>
    <w:rsid w:val="00237B6F"/>
    <w:rsid w:val="0024002D"/>
    <w:rsid w:val="002518EB"/>
    <w:rsid w:val="002640BA"/>
    <w:rsid w:val="00265047"/>
    <w:rsid w:val="002756C5"/>
    <w:rsid w:val="00276807"/>
    <w:rsid w:val="00281034"/>
    <w:rsid w:val="00281D58"/>
    <w:rsid w:val="00286090"/>
    <w:rsid w:val="0028734F"/>
    <w:rsid w:val="0029174D"/>
    <w:rsid w:val="00294FF8"/>
    <w:rsid w:val="002A0FEE"/>
    <w:rsid w:val="002A4802"/>
    <w:rsid w:val="002A5473"/>
    <w:rsid w:val="002B2B43"/>
    <w:rsid w:val="002B3802"/>
    <w:rsid w:val="002B3BE9"/>
    <w:rsid w:val="002C4235"/>
    <w:rsid w:val="002C5F1B"/>
    <w:rsid w:val="002D0F55"/>
    <w:rsid w:val="002D2502"/>
    <w:rsid w:val="002D3625"/>
    <w:rsid w:val="002D6EB9"/>
    <w:rsid w:val="002D7E5F"/>
    <w:rsid w:val="002E079E"/>
    <w:rsid w:val="002E0FA5"/>
    <w:rsid w:val="002E1533"/>
    <w:rsid w:val="002E37BB"/>
    <w:rsid w:val="002F2121"/>
    <w:rsid w:val="002F55DA"/>
    <w:rsid w:val="00302B04"/>
    <w:rsid w:val="0030352B"/>
    <w:rsid w:val="00310C8B"/>
    <w:rsid w:val="00315ADE"/>
    <w:rsid w:val="00315DC7"/>
    <w:rsid w:val="003217DB"/>
    <w:rsid w:val="00323288"/>
    <w:rsid w:val="003336E2"/>
    <w:rsid w:val="00337456"/>
    <w:rsid w:val="003472E6"/>
    <w:rsid w:val="00350331"/>
    <w:rsid w:val="00351A0E"/>
    <w:rsid w:val="00354140"/>
    <w:rsid w:val="003563B8"/>
    <w:rsid w:val="0035706A"/>
    <w:rsid w:val="003614B8"/>
    <w:rsid w:val="00361A97"/>
    <w:rsid w:val="0036368D"/>
    <w:rsid w:val="00364C22"/>
    <w:rsid w:val="00365FEA"/>
    <w:rsid w:val="00370A4C"/>
    <w:rsid w:val="0037121D"/>
    <w:rsid w:val="003716C1"/>
    <w:rsid w:val="00373D24"/>
    <w:rsid w:val="0037400B"/>
    <w:rsid w:val="003825B4"/>
    <w:rsid w:val="003924EB"/>
    <w:rsid w:val="003A3481"/>
    <w:rsid w:val="003A6A10"/>
    <w:rsid w:val="003B02C9"/>
    <w:rsid w:val="003B12BA"/>
    <w:rsid w:val="003B402B"/>
    <w:rsid w:val="003C08F6"/>
    <w:rsid w:val="003C2FB1"/>
    <w:rsid w:val="003C41B1"/>
    <w:rsid w:val="003C5EDB"/>
    <w:rsid w:val="003C7B45"/>
    <w:rsid w:val="003D4482"/>
    <w:rsid w:val="003D5BFC"/>
    <w:rsid w:val="003D6E45"/>
    <w:rsid w:val="003D76C3"/>
    <w:rsid w:val="003E0F1C"/>
    <w:rsid w:val="003E3078"/>
    <w:rsid w:val="003F3365"/>
    <w:rsid w:val="0040502A"/>
    <w:rsid w:val="00412B21"/>
    <w:rsid w:val="004165C0"/>
    <w:rsid w:val="00427C87"/>
    <w:rsid w:val="00437873"/>
    <w:rsid w:val="004410CD"/>
    <w:rsid w:val="00441C06"/>
    <w:rsid w:val="00442154"/>
    <w:rsid w:val="004430E4"/>
    <w:rsid w:val="00444DA6"/>
    <w:rsid w:val="0044592F"/>
    <w:rsid w:val="00447040"/>
    <w:rsid w:val="00453D46"/>
    <w:rsid w:val="004603EA"/>
    <w:rsid w:val="004645AA"/>
    <w:rsid w:val="00470F4F"/>
    <w:rsid w:val="004716B3"/>
    <w:rsid w:val="0047258E"/>
    <w:rsid w:val="00472FF9"/>
    <w:rsid w:val="0047402A"/>
    <w:rsid w:val="004763C6"/>
    <w:rsid w:val="0048444F"/>
    <w:rsid w:val="00495856"/>
    <w:rsid w:val="004A23D8"/>
    <w:rsid w:val="004A6256"/>
    <w:rsid w:val="004A6525"/>
    <w:rsid w:val="004B522A"/>
    <w:rsid w:val="004C0BDE"/>
    <w:rsid w:val="004C0E96"/>
    <w:rsid w:val="004C2EAD"/>
    <w:rsid w:val="004C300B"/>
    <w:rsid w:val="004E00BE"/>
    <w:rsid w:val="004F7300"/>
    <w:rsid w:val="00503261"/>
    <w:rsid w:val="00503514"/>
    <w:rsid w:val="0050585F"/>
    <w:rsid w:val="00505CA6"/>
    <w:rsid w:val="00507A1C"/>
    <w:rsid w:val="005108CA"/>
    <w:rsid w:val="00521E3C"/>
    <w:rsid w:val="0052440B"/>
    <w:rsid w:val="00524CFC"/>
    <w:rsid w:val="00527B87"/>
    <w:rsid w:val="00534C9B"/>
    <w:rsid w:val="005414F3"/>
    <w:rsid w:val="00542164"/>
    <w:rsid w:val="0054620E"/>
    <w:rsid w:val="005462F9"/>
    <w:rsid w:val="00550E3F"/>
    <w:rsid w:val="0055136B"/>
    <w:rsid w:val="00552A05"/>
    <w:rsid w:val="005546CE"/>
    <w:rsid w:val="005576B5"/>
    <w:rsid w:val="005649F7"/>
    <w:rsid w:val="005704AD"/>
    <w:rsid w:val="00574C6E"/>
    <w:rsid w:val="005770A1"/>
    <w:rsid w:val="005779FE"/>
    <w:rsid w:val="00580431"/>
    <w:rsid w:val="00581F7B"/>
    <w:rsid w:val="005821D3"/>
    <w:rsid w:val="00582AC9"/>
    <w:rsid w:val="00584C53"/>
    <w:rsid w:val="00585F61"/>
    <w:rsid w:val="00597125"/>
    <w:rsid w:val="005A0CB2"/>
    <w:rsid w:val="005A1205"/>
    <w:rsid w:val="005B05E4"/>
    <w:rsid w:val="005B412C"/>
    <w:rsid w:val="005B63A6"/>
    <w:rsid w:val="005C1DFA"/>
    <w:rsid w:val="005D58CA"/>
    <w:rsid w:val="005D70B4"/>
    <w:rsid w:val="005E334A"/>
    <w:rsid w:val="005E3BE8"/>
    <w:rsid w:val="0060398A"/>
    <w:rsid w:val="00604822"/>
    <w:rsid w:val="00605E0D"/>
    <w:rsid w:val="00613546"/>
    <w:rsid w:val="0061389E"/>
    <w:rsid w:val="00636E77"/>
    <w:rsid w:val="00640A45"/>
    <w:rsid w:val="006445CD"/>
    <w:rsid w:val="00644A80"/>
    <w:rsid w:val="006470F0"/>
    <w:rsid w:val="0065094C"/>
    <w:rsid w:val="00655B22"/>
    <w:rsid w:val="00662852"/>
    <w:rsid w:val="00670CDD"/>
    <w:rsid w:val="00672D70"/>
    <w:rsid w:val="00675238"/>
    <w:rsid w:val="006763EE"/>
    <w:rsid w:val="00681CDA"/>
    <w:rsid w:val="00683337"/>
    <w:rsid w:val="00685637"/>
    <w:rsid w:val="00685B75"/>
    <w:rsid w:val="00690BC2"/>
    <w:rsid w:val="00694788"/>
    <w:rsid w:val="00696D6F"/>
    <w:rsid w:val="006973EF"/>
    <w:rsid w:val="006A125F"/>
    <w:rsid w:val="006C23F4"/>
    <w:rsid w:val="006C2B96"/>
    <w:rsid w:val="006C2C3B"/>
    <w:rsid w:val="006C38AA"/>
    <w:rsid w:val="006D5406"/>
    <w:rsid w:val="006D69AF"/>
    <w:rsid w:val="006E2409"/>
    <w:rsid w:val="006E5919"/>
    <w:rsid w:val="006E7C10"/>
    <w:rsid w:val="006F19D0"/>
    <w:rsid w:val="006F3D19"/>
    <w:rsid w:val="006F475A"/>
    <w:rsid w:val="007003C7"/>
    <w:rsid w:val="00703151"/>
    <w:rsid w:val="007057CA"/>
    <w:rsid w:val="00706158"/>
    <w:rsid w:val="00706BBF"/>
    <w:rsid w:val="00711739"/>
    <w:rsid w:val="00713EB3"/>
    <w:rsid w:val="007153DE"/>
    <w:rsid w:val="00722B7D"/>
    <w:rsid w:val="00724B7A"/>
    <w:rsid w:val="007250F3"/>
    <w:rsid w:val="00726131"/>
    <w:rsid w:val="007265A1"/>
    <w:rsid w:val="0072690C"/>
    <w:rsid w:val="00730374"/>
    <w:rsid w:val="0073575B"/>
    <w:rsid w:val="00743F7A"/>
    <w:rsid w:val="007500DD"/>
    <w:rsid w:val="007510B4"/>
    <w:rsid w:val="00765B2E"/>
    <w:rsid w:val="00767C58"/>
    <w:rsid w:val="0077194D"/>
    <w:rsid w:val="00772057"/>
    <w:rsid w:val="00774099"/>
    <w:rsid w:val="00777BFA"/>
    <w:rsid w:val="007810D0"/>
    <w:rsid w:val="00783BC0"/>
    <w:rsid w:val="00787403"/>
    <w:rsid w:val="007A5BC7"/>
    <w:rsid w:val="007A7985"/>
    <w:rsid w:val="007B2686"/>
    <w:rsid w:val="007B4593"/>
    <w:rsid w:val="007B58A9"/>
    <w:rsid w:val="007B77E0"/>
    <w:rsid w:val="007C73D5"/>
    <w:rsid w:val="007D7360"/>
    <w:rsid w:val="007E2AC3"/>
    <w:rsid w:val="007E2BF4"/>
    <w:rsid w:val="007E3D35"/>
    <w:rsid w:val="007F3447"/>
    <w:rsid w:val="007F5803"/>
    <w:rsid w:val="007F6DF4"/>
    <w:rsid w:val="00800192"/>
    <w:rsid w:val="00804F1F"/>
    <w:rsid w:val="0081064E"/>
    <w:rsid w:val="008116BC"/>
    <w:rsid w:val="00812FC5"/>
    <w:rsid w:val="00813E12"/>
    <w:rsid w:val="008147EA"/>
    <w:rsid w:val="00821B3A"/>
    <w:rsid w:val="008258DC"/>
    <w:rsid w:val="00827DC1"/>
    <w:rsid w:val="00831EE2"/>
    <w:rsid w:val="0083368E"/>
    <w:rsid w:val="00834DE3"/>
    <w:rsid w:val="00840EEF"/>
    <w:rsid w:val="0084114C"/>
    <w:rsid w:val="00843E30"/>
    <w:rsid w:val="008443A5"/>
    <w:rsid w:val="008452CC"/>
    <w:rsid w:val="00845DF2"/>
    <w:rsid w:val="00852806"/>
    <w:rsid w:val="0085310A"/>
    <w:rsid w:val="008547E4"/>
    <w:rsid w:val="008558BB"/>
    <w:rsid w:val="0086426F"/>
    <w:rsid w:val="00866D6B"/>
    <w:rsid w:val="00871343"/>
    <w:rsid w:val="00873797"/>
    <w:rsid w:val="00874724"/>
    <w:rsid w:val="00876CF1"/>
    <w:rsid w:val="0088287F"/>
    <w:rsid w:val="00887167"/>
    <w:rsid w:val="00897914"/>
    <w:rsid w:val="008A2708"/>
    <w:rsid w:val="008A3DF8"/>
    <w:rsid w:val="008A4B63"/>
    <w:rsid w:val="008A5E14"/>
    <w:rsid w:val="008B37C6"/>
    <w:rsid w:val="008C34C4"/>
    <w:rsid w:val="008C6BAA"/>
    <w:rsid w:val="008C6F2C"/>
    <w:rsid w:val="008C74D7"/>
    <w:rsid w:val="008D269F"/>
    <w:rsid w:val="008D5EA6"/>
    <w:rsid w:val="008D7A71"/>
    <w:rsid w:val="008F55B0"/>
    <w:rsid w:val="00902F2B"/>
    <w:rsid w:val="00903C6A"/>
    <w:rsid w:val="00913745"/>
    <w:rsid w:val="00922C9E"/>
    <w:rsid w:val="009249E9"/>
    <w:rsid w:val="00934576"/>
    <w:rsid w:val="0093501A"/>
    <w:rsid w:val="00940B2B"/>
    <w:rsid w:val="0094673D"/>
    <w:rsid w:val="009503B1"/>
    <w:rsid w:val="009504F9"/>
    <w:rsid w:val="0095065F"/>
    <w:rsid w:val="0095252C"/>
    <w:rsid w:val="00960DC2"/>
    <w:rsid w:val="0096251D"/>
    <w:rsid w:val="009656CF"/>
    <w:rsid w:val="00965F42"/>
    <w:rsid w:val="0096772B"/>
    <w:rsid w:val="0097746D"/>
    <w:rsid w:val="00977A56"/>
    <w:rsid w:val="009805DA"/>
    <w:rsid w:val="00981F7C"/>
    <w:rsid w:val="009844B9"/>
    <w:rsid w:val="00992DB2"/>
    <w:rsid w:val="009A5EF6"/>
    <w:rsid w:val="009B0B7D"/>
    <w:rsid w:val="009B22BC"/>
    <w:rsid w:val="009B2F7E"/>
    <w:rsid w:val="009B66A6"/>
    <w:rsid w:val="009C1C65"/>
    <w:rsid w:val="009C33F8"/>
    <w:rsid w:val="009C5316"/>
    <w:rsid w:val="009C5566"/>
    <w:rsid w:val="009E42DB"/>
    <w:rsid w:val="009E76B1"/>
    <w:rsid w:val="009E7957"/>
    <w:rsid w:val="009E7E54"/>
    <w:rsid w:val="009F09BF"/>
    <w:rsid w:val="009F569E"/>
    <w:rsid w:val="009F7BE9"/>
    <w:rsid w:val="00A051EA"/>
    <w:rsid w:val="00A1291E"/>
    <w:rsid w:val="00A12F97"/>
    <w:rsid w:val="00A206D1"/>
    <w:rsid w:val="00A24C38"/>
    <w:rsid w:val="00A26D5B"/>
    <w:rsid w:val="00A276D4"/>
    <w:rsid w:val="00A37B9E"/>
    <w:rsid w:val="00A40FEF"/>
    <w:rsid w:val="00A4300E"/>
    <w:rsid w:val="00A462C8"/>
    <w:rsid w:val="00A553F4"/>
    <w:rsid w:val="00A57ADE"/>
    <w:rsid w:val="00A61E3C"/>
    <w:rsid w:val="00A70D41"/>
    <w:rsid w:val="00A724A1"/>
    <w:rsid w:val="00A76590"/>
    <w:rsid w:val="00A91BA7"/>
    <w:rsid w:val="00A964DC"/>
    <w:rsid w:val="00A96FB9"/>
    <w:rsid w:val="00AA4053"/>
    <w:rsid w:val="00AA4EA8"/>
    <w:rsid w:val="00AA6D4D"/>
    <w:rsid w:val="00AA75A1"/>
    <w:rsid w:val="00AA7CE2"/>
    <w:rsid w:val="00AB2460"/>
    <w:rsid w:val="00AC0478"/>
    <w:rsid w:val="00AC07C8"/>
    <w:rsid w:val="00AC2628"/>
    <w:rsid w:val="00AC57BF"/>
    <w:rsid w:val="00AC5D36"/>
    <w:rsid w:val="00AC6BE6"/>
    <w:rsid w:val="00AD4D50"/>
    <w:rsid w:val="00AD5F21"/>
    <w:rsid w:val="00AE2E7F"/>
    <w:rsid w:val="00AF65E5"/>
    <w:rsid w:val="00AF67D5"/>
    <w:rsid w:val="00B060DF"/>
    <w:rsid w:val="00B105F8"/>
    <w:rsid w:val="00B11EB4"/>
    <w:rsid w:val="00B178FA"/>
    <w:rsid w:val="00B2237C"/>
    <w:rsid w:val="00B416B4"/>
    <w:rsid w:val="00B4437F"/>
    <w:rsid w:val="00B47D06"/>
    <w:rsid w:val="00B53418"/>
    <w:rsid w:val="00B53B4D"/>
    <w:rsid w:val="00B608B5"/>
    <w:rsid w:val="00B622A3"/>
    <w:rsid w:val="00B63857"/>
    <w:rsid w:val="00B670E2"/>
    <w:rsid w:val="00B70D66"/>
    <w:rsid w:val="00B72911"/>
    <w:rsid w:val="00B775ED"/>
    <w:rsid w:val="00B77C8C"/>
    <w:rsid w:val="00B83075"/>
    <w:rsid w:val="00B919D0"/>
    <w:rsid w:val="00BA3DCA"/>
    <w:rsid w:val="00BA4C93"/>
    <w:rsid w:val="00BA50DB"/>
    <w:rsid w:val="00BB366B"/>
    <w:rsid w:val="00BB5FC2"/>
    <w:rsid w:val="00BB62A1"/>
    <w:rsid w:val="00BC222C"/>
    <w:rsid w:val="00BC41F6"/>
    <w:rsid w:val="00BC4AA4"/>
    <w:rsid w:val="00BC53D7"/>
    <w:rsid w:val="00BC63D9"/>
    <w:rsid w:val="00BC648E"/>
    <w:rsid w:val="00BD1291"/>
    <w:rsid w:val="00BD225F"/>
    <w:rsid w:val="00BD2680"/>
    <w:rsid w:val="00BE1AD6"/>
    <w:rsid w:val="00BE7437"/>
    <w:rsid w:val="00BF3E5A"/>
    <w:rsid w:val="00BF50AA"/>
    <w:rsid w:val="00BF6265"/>
    <w:rsid w:val="00C025B8"/>
    <w:rsid w:val="00C03BB1"/>
    <w:rsid w:val="00C14D91"/>
    <w:rsid w:val="00C311B8"/>
    <w:rsid w:val="00C40E45"/>
    <w:rsid w:val="00C44371"/>
    <w:rsid w:val="00C44497"/>
    <w:rsid w:val="00C448CC"/>
    <w:rsid w:val="00C47CF7"/>
    <w:rsid w:val="00C47D49"/>
    <w:rsid w:val="00C510AF"/>
    <w:rsid w:val="00C51BB3"/>
    <w:rsid w:val="00C63DC3"/>
    <w:rsid w:val="00C73DE5"/>
    <w:rsid w:val="00C7742D"/>
    <w:rsid w:val="00C84C22"/>
    <w:rsid w:val="00C85D0F"/>
    <w:rsid w:val="00C863FC"/>
    <w:rsid w:val="00C87756"/>
    <w:rsid w:val="00C94D0A"/>
    <w:rsid w:val="00C94D53"/>
    <w:rsid w:val="00C97AEC"/>
    <w:rsid w:val="00CA7B3C"/>
    <w:rsid w:val="00CB025C"/>
    <w:rsid w:val="00CB068E"/>
    <w:rsid w:val="00CB21CC"/>
    <w:rsid w:val="00CB3BCD"/>
    <w:rsid w:val="00CB56D0"/>
    <w:rsid w:val="00CC213C"/>
    <w:rsid w:val="00CC4865"/>
    <w:rsid w:val="00CC5294"/>
    <w:rsid w:val="00CD43A7"/>
    <w:rsid w:val="00CD7DD0"/>
    <w:rsid w:val="00CE0F00"/>
    <w:rsid w:val="00CE334C"/>
    <w:rsid w:val="00CF07DB"/>
    <w:rsid w:val="00D00831"/>
    <w:rsid w:val="00D02E4E"/>
    <w:rsid w:val="00D0447C"/>
    <w:rsid w:val="00D100BD"/>
    <w:rsid w:val="00D20767"/>
    <w:rsid w:val="00D218BD"/>
    <w:rsid w:val="00D21ECB"/>
    <w:rsid w:val="00D2330D"/>
    <w:rsid w:val="00D26B4E"/>
    <w:rsid w:val="00D372AC"/>
    <w:rsid w:val="00D409B4"/>
    <w:rsid w:val="00D41C8B"/>
    <w:rsid w:val="00D46A54"/>
    <w:rsid w:val="00D50D55"/>
    <w:rsid w:val="00D514AF"/>
    <w:rsid w:val="00D54150"/>
    <w:rsid w:val="00D57EAB"/>
    <w:rsid w:val="00D6294A"/>
    <w:rsid w:val="00D6439C"/>
    <w:rsid w:val="00D666A1"/>
    <w:rsid w:val="00D712A8"/>
    <w:rsid w:val="00D714DC"/>
    <w:rsid w:val="00D7387F"/>
    <w:rsid w:val="00D847C6"/>
    <w:rsid w:val="00D909C4"/>
    <w:rsid w:val="00DA2B8D"/>
    <w:rsid w:val="00DA3F4E"/>
    <w:rsid w:val="00DA547A"/>
    <w:rsid w:val="00DA55C9"/>
    <w:rsid w:val="00DA6B07"/>
    <w:rsid w:val="00DA7E8F"/>
    <w:rsid w:val="00DB24E5"/>
    <w:rsid w:val="00DB7915"/>
    <w:rsid w:val="00DB79DB"/>
    <w:rsid w:val="00DD19F9"/>
    <w:rsid w:val="00DD2610"/>
    <w:rsid w:val="00DD2A5B"/>
    <w:rsid w:val="00DD7972"/>
    <w:rsid w:val="00DE04B2"/>
    <w:rsid w:val="00DF163F"/>
    <w:rsid w:val="00DF53D6"/>
    <w:rsid w:val="00E04A81"/>
    <w:rsid w:val="00E067ED"/>
    <w:rsid w:val="00E07551"/>
    <w:rsid w:val="00E14A97"/>
    <w:rsid w:val="00E23F37"/>
    <w:rsid w:val="00E24C03"/>
    <w:rsid w:val="00E277A0"/>
    <w:rsid w:val="00E32C88"/>
    <w:rsid w:val="00E32EF1"/>
    <w:rsid w:val="00E42AA5"/>
    <w:rsid w:val="00E44C08"/>
    <w:rsid w:val="00E462DC"/>
    <w:rsid w:val="00E463C8"/>
    <w:rsid w:val="00E57694"/>
    <w:rsid w:val="00E642E6"/>
    <w:rsid w:val="00E67067"/>
    <w:rsid w:val="00E72B7E"/>
    <w:rsid w:val="00E75002"/>
    <w:rsid w:val="00E84B93"/>
    <w:rsid w:val="00E84C3D"/>
    <w:rsid w:val="00E87F38"/>
    <w:rsid w:val="00E900BC"/>
    <w:rsid w:val="00E92F11"/>
    <w:rsid w:val="00E97012"/>
    <w:rsid w:val="00EA2DD1"/>
    <w:rsid w:val="00EA3A62"/>
    <w:rsid w:val="00EA79CD"/>
    <w:rsid w:val="00EB2585"/>
    <w:rsid w:val="00EB31C9"/>
    <w:rsid w:val="00EB76BD"/>
    <w:rsid w:val="00EC11A6"/>
    <w:rsid w:val="00EC3686"/>
    <w:rsid w:val="00EC69AF"/>
    <w:rsid w:val="00EC6BE4"/>
    <w:rsid w:val="00ED0518"/>
    <w:rsid w:val="00ED0F20"/>
    <w:rsid w:val="00ED209D"/>
    <w:rsid w:val="00EF0B62"/>
    <w:rsid w:val="00EF20FD"/>
    <w:rsid w:val="00EF26F8"/>
    <w:rsid w:val="00EF649F"/>
    <w:rsid w:val="00F055FC"/>
    <w:rsid w:val="00F0661B"/>
    <w:rsid w:val="00F10D93"/>
    <w:rsid w:val="00F136B8"/>
    <w:rsid w:val="00F14AB6"/>
    <w:rsid w:val="00F15F78"/>
    <w:rsid w:val="00F2045F"/>
    <w:rsid w:val="00F22709"/>
    <w:rsid w:val="00F229D8"/>
    <w:rsid w:val="00F253A2"/>
    <w:rsid w:val="00F31586"/>
    <w:rsid w:val="00F36FC7"/>
    <w:rsid w:val="00F37171"/>
    <w:rsid w:val="00F4756B"/>
    <w:rsid w:val="00F47C1B"/>
    <w:rsid w:val="00F500C4"/>
    <w:rsid w:val="00F50FB8"/>
    <w:rsid w:val="00F625EF"/>
    <w:rsid w:val="00F641AF"/>
    <w:rsid w:val="00F76CCA"/>
    <w:rsid w:val="00F8025C"/>
    <w:rsid w:val="00F87ECB"/>
    <w:rsid w:val="00F90624"/>
    <w:rsid w:val="00F915EF"/>
    <w:rsid w:val="00F9281B"/>
    <w:rsid w:val="00F92CC3"/>
    <w:rsid w:val="00F92E14"/>
    <w:rsid w:val="00F972CF"/>
    <w:rsid w:val="00FB03EF"/>
    <w:rsid w:val="00FC30F0"/>
    <w:rsid w:val="00FC36F1"/>
    <w:rsid w:val="00FC515A"/>
    <w:rsid w:val="00FC52E3"/>
    <w:rsid w:val="00FD13EB"/>
    <w:rsid w:val="00FD1A4F"/>
    <w:rsid w:val="00FD5938"/>
    <w:rsid w:val="00FE7801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937D"/>
  <w15:docId w15:val="{10C2D71A-2C17-4AD8-A69E-FCC41B1A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9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09B4"/>
    <w:pPr>
      <w:keepNext/>
      <w:ind w:firstLine="720"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D409B4"/>
    <w:pPr>
      <w:keepNext/>
      <w:ind w:firstLine="851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F0B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640A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D409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D409B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840EE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9B4"/>
    <w:rPr>
      <w:sz w:val="28"/>
    </w:rPr>
  </w:style>
  <w:style w:type="character" w:customStyle="1" w:styleId="20">
    <w:name w:val="Заголовок 2 Знак"/>
    <w:basedOn w:val="a0"/>
    <w:link w:val="2"/>
    <w:rsid w:val="00D409B4"/>
    <w:rPr>
      <w:sz w:val="28"/>
    </w:rPr>
  </w:style>
  <w:style w:type="character" w:customStyle="1" w:styleId="50">
    <w:name w:val="Заголовок 5 Знак"/>
    <w:basedOn w:val="a0"/>
    <w:link w:val="5"/>
    <w:rsid w:val="00D409B4"/>
    <w:rPr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D409B4"/>
    <w:rPr>
      <w:i/>
      <w:iCs/>
      <w:sz w:val="24"/>
      <w:szCs w:val="24"/>
    </w:rPr>
  </w:style>
  <w:style w:type="paragraph" w:styleId="a3">
    <w:name w:val="Title"/>
    <w:basedOn w:val="a"/>
    <w:link w:val="a4"/>
    <w:qFormat/>
    <w:rsid w:val="00D409B4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D409B4"/>
    <w:rPr>
      <w:b/>
      <w:sz w:val="28"/>
    </w:rPr>
  </w:style>
  <w:style w:type="paragraph" w:customStyle="1" w:styleId="pr">
    <w:name w:val="pr"/>
    <w:basedOn w:val="a"/>
    <w:rsid w:val="005D70B4"/>
    <w:pPr>
      <w:jc w:val="right"/>
    </w:pPr>
    <w:rPr>
      <w:rFonts w:eastAsiaTheme="minorEastAsia"/>
      <w:color w:val="000000"/>
    </w:rPr>
  </w:style>
  <w:style w:type="paragraph" w:customStyle="1" w:styleId="pj">
    <w:name w:val="pj"/>
    <w:basedOn w:val="a"/>
    <w:rsid w:val="005D70B4"/>
    <w:pPr>
      <w:ind w:firstLine="400"/>
      <w:jc w:val="both"/>
    </w:pPr>
    <w:rPr>
      <w:rFonts w:eastAsiaTheme="minorEastAsia"/>
      <w:color w:val="000000"/>
    </w:rPr>
  </w:style>
  <w:style w:type="paragraph" w:customStyle="1" w:styleId="pc">
    <w:name w:val="pc"/>
    <w:basedOn w:val="a"/>
    <w:rsid w:val="005D70B4"/>
    <w:pPr>
      <w:jc w:val="center"/>
    </w:pPr>
    <w:rPr>
      <w:rFonts w:eastAsiaTheme="minorEastAsia"/>
      <w:color w:val="000000"/>
    </w:rPr>
  </w:style>
  <w:style w:type="character" w:customStyle="1" w:styleId="s1">
    <w:name w:val="s1"/>
    <w:basedOn w:val="a0"/>
    <w:rsid w:val="005D70B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5D70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5">
    <w:name w:val="Table Grid"/>
    <w:basedOn w:val="a1"/>
    <w:uiPriority w:val="59"/>
    <w:rsid w:val="005D70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nhideWhenUsed/>
    <w:rsid w:val="005649F7"/>
    <w:rPr>
      <w:color w:val="0000FF"/>
      <w:u w:val="single"/>
    </w:rPr>
  </w:style>
  <w:style w:type="paragraph" w:styleId="a7">
    <w:name w:val="List Paragraph"/>
    <w:aliases w:val="Таблицы,ТАБЛИЦА"/>
    <w:basedOn w:val="a"/>
    <w:link w:val="a8"/>
    <w:uiPriority w:val="34"/>
    <w:qFormat/>
    <w:rsid w:val="004645AA"/>
    <w:pPr>
      <w:spacing w:before="120" w:after="120"/>
      <w:ind w:left="720" w:firstLine="720"/>
      <w:jc w:val="both"/>
    </w:pPr>
    <w:rPr>
      <w:rFonts w:ascii="Arial" w:hAnsi="Arial" w:cs="Arial"/>
      <w:sz w:val="26"/>
      <w:szCs w:val="26"/>
    </w:rPr>
  </w:style>
  <w:style w:type="paragraph" w:styleId="a9">
    <w:name w:val="Body Text"/>
    <w:basedOn w:val="a"/>
    <w:link w:val="aa"/>
    <w:uiPriority w:val="99"/>
    <w:rsid w:val="004F73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4F7300"/>
    <w:rPr>
      <w:rFonts w:ascii="Arial" w:hAnsi="Arial" w:cs="Arial"/>
    </w:rPr>
  </w:style>
  <w:style w:type="paragraph" w:customStyle="1" w:styleId="ab">
    <w:name w:val="ТекстАбзац"/>
    <w:basedOn w:val="ac"/>
    <w:link w:val="ad"/>
    <w:uiPriority w:val="99"/>
    <w:qFormat/>
    <w:rsid w:val="00580431"/>
    <w:pPr>
      <w:tabs>
        <w:tab w:val="clear" w:pos="4677"/>
        <w:tab w:val="clear" w:pos="9355"/>
      </w:tabs>
      <w:spacing w:before="60" w:after="60" w:line="360" w:lineRule="auto"/>
      <w:jc w:val="both"/>
    </w:pPr>
    <w:rPr>
      <w:rFonts w:ascii="Arial" w:hAnsi="Arial"/>
      <w:sz w:val="22"/>
      <w:szCs w:val="20"/>
    </w:rPr>
  </w:style>
  <w:style w:type="paragraph" w:styleId="ae">
    <w:name w:val="No Spacing"/>
    <w:aliases w:val="Табличный"/>
    <w:link w:val="af"/>
    <w:uiPriority w:val="1"/>
    <w:qFormat/>
    <w:rsid w:val="00580431"/>
  </w:style>
  <w:style w:type="character" w:customStyle="1" w:styleId="af">
    <w:name w:val="Без интервала Знак"/>
    <w:aliases w:val="Табличный Знак"/>
    <w:link w:val="ae"/>
    <w:uiPriority w:val="1"/>
    <w:rsid w:val="00580431"/>
  </w:style>
  <w:style w:type="character" w:customStyle="1" w:styleId="ad">
    <w:name w:val="ТекстАбзац Знак"/>
    <w:link w:val="ab"/>
    <w:uiPriority w:val="99"/>
    <w:locked/>
    <w:rsid w:val="00580431"/>
    <w:rPr>
      <w:rFonts w:ascii="Arial" w:hAnsi="Arial"/>
      <w:sz w:val="22"/>
    </w:rPr>
  </w:style>
  <w:style w:type="paragraph" w:styleId="ac">
    <w:name w:val="header"/>
    <w:basedOn w:val="a"/>
    <w:link w:val="af0"/>
    <w:uiPriority w:val="99"/>
    <w:unhideWhenUsed/>
    <w:rsid w:val="0058043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c"/>
    <w:uiPriority w:val="99"/>
    <w:rsid w:val="00580431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913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12" w:lineRule="auto"/>
      <w:jc w:val="both"/>
    </w:pPr>
    <w:rPr>
      <w:rFonts w:ascii="Arial" w:hAnsi="Arial" w:cs="Arial"/>
      <w:color w:val="20202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13745"/>
    <w:rPr>
      <w:rFonts w:ascii="Arial" w:hAnsi="Arial" w:cs="Arial"/>
      <w:color w:val="202020"/>
    </w:rPr>
  </w:style>
  <w:style w:type="paragraph" w:customStyle="1" w:styleId="Default">
    <w:name w:val="Default"/>
    <w:qFormat/>
    <w:rsid w:val="00ED209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Body Text Indent"/>
    <w:basedOn w:val="a"/>
    <w:link w:val="af2"/>
    <w:rsid w:val="00D847C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D847C6"/>
    <w:rPr>
      <w:sz w:val="24"/>
      <w:szCs w:val="24"/>
    </w:rPr>
  </w:style>
  <w:style w:type="paragraph" w:customStyle="1" w:styleId="11">
    <w:name w:val="Основной текст1"/>
    <w:basedOn w:val="a"/>
    <w:rsid w:val="00D847C6"/>
    <w:pPr>
      <w:widowControl w:val="0"/>
      <w:jc w:val="both"/>
    </w:pPr>
    <w:rPr>
      <w:snapToGrid w:val="0"/>
      <w:szCs w:val="20"/>
    </w:rPr>
  </w:style>
  <w:style w:type="paragraph" w:styleId="31">
    <w:name w:val="Body Text Indent 3"/>
    <w:basedOn w:val="a"/>
    <w:link w:val="32"/>
    <w:rsid w:val="00D847C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847C6"/>
    <w:rPr>
      <w:sz w:val="16"/>
      <w:szCs w:val="16"/>
    </w:rPr>
  </w:style>
  <w:style w:type="paragraph" w:styleId="af3">
    <w:name w:val="Normal (Web)"/>
    <w:basedOn w:val="a"/>
    <w:uiPriority w:val="99"/>
    <w:rsid w:val="00CC213C"/>
    <w:pPr>
      <w:spacing w:before="100" w:beforeAutospacing="1" w:after="100" w:afterAutospacing="1"/>
    </w:pPr>
  </w:style>
  <w:style w:type="paragraph" w:customStyle="1" w:styleId="af4">
    <w:name w:val="Таблица"/>
    <w:basedOn w:val="a"/>
    <w:autoRedefine/>
    <w:uiPriority w:val="99"/>
    <w:rsid w:val="00CC213C"/>
    <w:rPr>
      <w:rFonts w:ascii="Arial" w:hAnsi="Arial" w:cs="Arial"/>
      <w:b/>
      <w:sz w:val="22"/>
      <w:szCs w:val="22"/>
    </w:rPr>
  </w:style>
  <w:style w:type="character" w:styleId="af5">
    <w:name w:val="Emphasis"/>
    <w:basedOn w:val="a0"/>
    <w:qFormat/>
    <w:rsid w:val="00E92F11"/>
    <w:rPr>
      <w:i/>
      <w:iCs/>
    </w:rPr>
  </w:style>
  <w:style w:type="paragraph" w:styleId="af6">
    <w:name w:val="Balloon Text"/>
    <w:basedOn w:val="a"/>
    <w:link w:val="af7"/>
    <w:uiPriority w:val="99"/>
    <w:semiHidden/>
    <w:unhideWhenUsed/>
    <w:rsid w:val="00672D7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72D70"/>
    <w:rPr>
      <w:rFonts w:ascii="Tahoma" w:hAnsi="Tahoma" w:cs="Tahoma"/>
      <w:sz w:val="16"/>
      <w:szCs w:val="16"/>
    </w:rPr>
  </w:style>
  <w:style w:type="character" w:styleId="af8">
    <w:name w:val="Strong"/>
    <w:uiPriority w:val="22"/>
    <w:qFormat/>
    <w:rsid w:val="00685637"/>
    <w:rPr>
      <w:b/>
      <w:bCs/>
    </w:rPr>
  </w:style>
  <w:style w:type="paragraph" w:styleId="af9">
    <w:name w:val="Plain Text"/>
    <w:basedOn w:val="a"/>
    <w:link w:val="afa"/>
    <w:rsid w:val="00A37B9E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A37B9E"/>
    <w:rPr>
      <w:rFonts w:ascii="Courier New" w:hAnsi="Courier New" w:cs="Courier New"/>
    </w:rPr>
  </w:style>
  <w:style w:type="character" w:customStyle="1" w:styleId="a8">
    <w:name w:val="Абзац списка Знак"/>
    <w:aliases w:val="Таблицы Знак,ТАБЛИЦА Знак"/>
    <w:link w:val="a7"/>
    <w:uiPriority w:val="34"/>
    <w:qFormat/>
    <w:rsid w:val="00724B7A"/>
    <w:rPr>
      <w:rFonts w:ascii="Arial" w:hAnsi="Arial" w:cs="Arial"/>
      <w:sz w:val="26"/>
      <w:szCs w:val="26"/>
    </w:rPr>
  </w:style>
  <w:style w:type="character" w:styleId="afb">
    <w:name w:val="annotation reference"/>
    <w:basedOn w:val="a0"/>
    <w:uiPriority w:val="99"/>
    <w:semiHidden/>
    <w:unhideWhenUsed/>
    <w:rsid w:val="00162C21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162C21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162C21"/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162C21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162C21"/>
    <w:rPr>
      <w:b/>
      <w:bCs/>
    </w:rPr>
  </w:style>
  <w:style w:type="character" w:customStyle="1" w:styleId="30">
    <w:name w:val="Заголовок 3 Знак"/>
    <w:basedOn w:val="a0"/>
    <w:link w:val="3"/>
    <w:semiHidden/>
    <w:rsid w:val="00EF0B6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40A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12">
    <w:name w:val="Сетка таблицы1"/>
    <w:basedOn w:val="a1"/>
    <w:next w:val="a5"/>
    <w:uiPriority w:val="59"/>
    <w:rsid w:val="00827DC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1"/>
    <w:rsid w:val="00840E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840EE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KITNG">
    <w:name w:val="KITNG_Основной"/>
    <w:basedOn w:val="a"/>
    <w:link w:val="KITNG0"/>
    <w:qFormat/>
    <w:rsid w:val="00840EEF"/>
    <w:pPr>
      <w:spacing w:line="276" w:lineRule="auto"/>
      <w:ind w:right="141" w:firstLine="567"/>
      <w:jc w:val="both"/>
    </w:pPr>
    <w:rPr>
      <w:rFonts w:eastAsia="Calibri" w:cstheme="minorBidi"/>
      <w:lang w:eastAsia="en-US"/>
    </w:rPr>
  </w:style>
  <w:style w:type="character" w:customStyle="1" w:styleId="KITNG0">
    <w:name w:val="KITNG_Основной Знак"/>
    <w:basedOn w:val="a0"/>
    <w:link w:val="KITNG"/>
    <w:rsid w:val="00840EEF"/>
    <w:rPr>
      <w:rFonts w:eastAsia="Calibri" w:cstheme="minorBidi"/>
      <w:sz w:val="24"/>
      <w:szCs w:val="24"/>
      <w:lang w:eastAsia="en-US"/>
    </w:rPr>
  </w:style>
  <w:style w:type="paragraph" w:customStyle="1" w:styleId="aff0">
    <w:name w:val="Обычный ДБ"/>
    <w:basedOn w:val="a"/>
    <w:rsid w:val="001B5503"/>
    <w:pPr>
      <w:spacing w:line="360" w:lineRule="auto"/>
      <w:jc w:val="both"/>
    </w:pPr>
    <w:rPr>
      <w:szCs w:val="20"/>
    </w:rPr>
  </w:style>
  <w:style w:type="paragraph" w:styleId="21">
    <w:name w:val="Body Text 2"/>
    <w:basedOn w:val="a"/>
    <w:link w:val="22"/>
    <w:uiPriority w:val="99"/>
    <w:unhideWhenUsed/>
    <w:rsid w:val="001A51E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A51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5010</Words>
  <Characters>28558</Characters>
  <Application>Microsoft Office Word</Application>
  <DocSecurity>0</DocSecurity>
  <Lines>237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40</cp:revision>
  <dcterms:created xsi:type="dcterms:W3CDTF">2025-01-21T06:18:00Z</dcterms:created>
  <dcterms:modified xsi:type="dcterms:W3CDTF">2025-12-18T09:40:00Z</dcterms:modified>
</cp:coreProperties>
</file>