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F7" w:rsidRDefault="004677A5" w:rsidP="001B6C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677A5">
        <w:rPr>
          <w:rFonts w:ascii="Times New Roman" w:hAnsi="Times New Roman" w:cs="Times New Roman"/>
          <w:b/>
          <w:sz w:val="24"/>
        </w:rPr>
        <w:t>НЕТЕХНИЧЕСКОЕ РЕЗЮМЕ</w:t>
      </w:r>
    </w:p>
    <w:p w:rsidR="00A839DF" w:rsidRDefault="00A839DF" w:rsidP="001B6C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1B6C4E" w:rsidRPr="00A839DF" w:rsidRDefault="001B6C4E" w:rsidP="00A839D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площадка ТОО «РОТОР»,  </w:t>
      </w: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расположена по адресу:</w:t>
      </w:r>
      <w:r w:rsidRPr="00A839DF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г.Астана, р-н «Сарыарка», 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 340, д</w:t>
      </w:r>
      <w:proofErr w:type="gram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6C4E" w:rsidRPr="00A839DF" w:rsidRDefault="001B6C4E" w:rsidP="00A839D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координаты участка 51.222076, 71.331114, 51.223653, 71.331265, 51.223727, 71.329877, 51.222116, 71.329666.</w:t>
      </w:r>
    </w:p>
    <w:p w:rsidR="001B6C4E" w:rsidRPr="00A839DF" w:rsidRDefault="001B6C4E" w:rsidP="00A839D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  <w:r w:rsidRPr="00A839DF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Основной вид деятельности 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«РОТОР» - производство калориферов.</w:t>
      </w:r>
    </w:p>
    <w:p w:rsidR="001B6C4E" w:rsidRPr="00A839DF" w:rsidRDefault="001B6C4E" w:rsidP="00A839D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до жилой зоны составляет белее 1500 метров.</w:t>
      </w:r>
    </w:p>
    <w:p w:rsidR="001B6C4E" w:rsidRPr="00A839DF" w:rsidRDefault="001B6C4E" w:rsidP="00A839DF">
      <w:pPr>
        <w:widowControl w:val="0"/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Площадь территории 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 «РОТОР» составляет 1,8574 га.</w:t>
      </w:r>
    </w:p>
    <w:p w:rsidR="001B6C4E" w:rsidRPr="00A839DF" w:rsidRDefault="001B6C4E" w:rsidP="00A839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Расстояние от границ предприятия до жилого массива (селитебной зоны) по румбам приведено в таблице. </w:t>
      </w:r>
    </w:p>
    <w:tbl>
      <w:tblPr>
        <w:tblW w:w="96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918"/>
        <w:gridCol w:w="761"/>
        <w:gridCol w:w="870"/>
        <w:gridCol w:w="837"/>
        <w:gridCol w:w="913"/>
        <w:gridCol w:w="813"/>
        <w:gridCol w:w="899"/>
        <w:gridCol w:w="921"/>
      </w:tblGrid>
      <w:tr w:rsidR="001B6C4E" w:rsidRPr="00A839DF" w:rsidTr="000525F6">
        <w:trPr>
          <w:trHeight w:val="381"/>
          <w:jc w:val="right"/>
        </w:trPr>
        <w:tc>
          <w:tcPr>
            <w:tcW w:w="2727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Румбы направлений</w:t>
            </w:r>
          </w:p>
        </w:tc>
        <w:tc>
          <w:tcPr>
            <w:tcW w:w="918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61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A839D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СВ</w:t>
            </w:r>
            <w:proofErr w:type="gramEnd"/>
          </w:p>
        </w:tc>
        <w:tc>
          <w:tcPr>
            <w:tcW w:w="870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37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ЮВ</w:t>
            </w:r>
          </w:p>
        </w:tc>
        <w:tc>
          <w:tcPr>
            <w:tcW w:w="913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A839D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813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ЮЗ</w:t>
            </w:r>
          </w:p>
        </w:tc>
        <w:tc>
          <w:tcPr>
            <w:tcW w:w="899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A839D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921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СЗ</w:t>
            </w:r>
          </w:p>
        </w:tc>
      </w:tr>
      <w:tr w:rsidR="001B6C4E" w:rsidRPr="00A839DF" w:rsidTr="000525F6">
        <w:trPr>
          <w:trHeight w:val="495"/>
          <w:jc w:val="right"/>
        </w:trPr>
        <w:tc>
          <w:tcPr>
            <w:tcW w:w="2727" w:type="dxa"/>
            <w:vAlign w:val="center"/>
          </w:tcPr>
          <w:p w:rsidR="001B6C4E" w:rsidRPr="00A839DF" w:rsidRDefault="001B6C4E" w:rsidP="00A839DF">
            <w:pPr>
              <w:spacing w:after="0"/>
              <w:jc w:val="both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Расстояние до жилого массива, </w:t>
            </w:r>
            <w:proofErr w:type="gramStart"/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918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7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3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21" w:type="dxa"/>
            <w:vAlign w:val="center"/>
          </w:tcPr>
          <w:p w:rsidR="001B6C4E" w:rsidRPr="00A839DF" w:rsidRDefault="001B6C4E" w:rsidP="00A839DF">
            <w:pPr>
              <w:spacing w:after="0"/>
              <w:jc w:val="center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39D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B6C4E" w:rsidRPr="00A839DF" w:rsidRDefault="001B6C4E" w:rsidP="00A839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4E" w:rsidRPr="00A839DF" w:rsidRDefault="001B6C4E" w:rsidP="00A839DF">
      <w:pPr>
        <w:spacing w:after="0"/>
        <w:ind w:right="-2" w:firstLine="709"/>
        <w:outlineLvl w:val="0"/>
        <w:rPr>
          <w:rFonts w:ascii="Times New Roman" w:eastAsia="Batang" w:hAnsi="Times New Roman" w:cs="Times New Roman"/>
          <w:sz w:val="24"/>
          <w:szCs w:val="24"/>
          <w:lang w:val="x-none" w:eastAsia="x-none"/>
        </w:rPr>
      </w:pPr>
      <w:r w:rsidRPr="00A839DF">
        <w:rPr>
          <w:rFonts w:ascii="Times New Roman" w:eastAsia="Batang" w:hAnsi="Times New Roman" w:cs="Times New Roman"/>
          <w:sz w:val="24"/>
          <w:szCs w:val="24"/>
          <w:lang w:val="x-none" w:eastAsia="x-none"/>
        </w:rPr>
        <w:t>Ситуационная карта-схема района размещения предприятия приведена на</w:t>
      </w:r>
      <w:r w:rsidRPr="00A839DF">
        <w:rPr>
          <w:rFonts w:ascii="Times New Roman" w:eastAsia="Batang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A839DF">
        <w:rPr>
          <w:rFonts w:ascii="Times New Roman" w:eastAsia="Batang" w:hAnsi="Times New Roman" w:cs="Times New Roman"/>
          <w:sz w:val="24"/>
          <w:szCs w:val="24"/>
          <w:lang w:eastAsia="x-none"/>
        </w:rPr>
        <w:t>на</w:t>
      </w:r>
      <w:proofErr w:type="spellEnd"/>
      <w:r w:rsidRPr="00A839DF">
        <w:rPr>
          <w:rFonts w:ascii="Times New Roman" w:eastAsia="Batang" w:hAnsi="Times New Roman" w:cs="Times New Roman"/>
          <w:sz w:val="24"/>
          <w:szCs w:val="24"/>
          <w:lang w:eastAsia="x-none"/>
        </w:rPr>
        <w:t xml:space="preserve"> рисунке 1.1.</w:t>
      </w:r>
    </w:p>
    <w:p w:rsidR="001B6C4E" w:rsidRPr="00A839DF" w:rsidRDefault="001B6C4E" w:rsidP="00A839D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 расположена на местности, имеющей равнинный рельеф.</w:t>
      </w:r>
    </w:p>
    <w:p w:rsidR="001B6C4E" w:rsidRPr="00A839DF" w:rsidRDefault="001B6C4E" w:rsidP="00A839DF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Перепад высот на местности не превышает </w:t>
      </w:r>
      <w:smartTag w:uri="urn:schemas-microsoft-com:office:smarttags" w:element="metricconverter">
        <w:smartTagPr>
          <w:attr w:name="ProductID" w:val="50 м"/>
        </w:smartTagPr>
        <w:r w:rsidRPr="00A83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м</w:t>
        </w:r>
      </w:smartTag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1км.</w:t>
      </w:r>
    </w:p>
    <w:p w:rsidR="001B6C4E" w:rsidRPr="00A839DF" w:rsidRDefault="001B6C4E" w:rsidP="00A839DF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топографической карты не требуется.</w:t>
      </w:r>
    </w:p>
    <w:p w:rsidR="001B6C4E" w:rsidRPr="00A839DF" w:rsidRDefault="001B6C4E" w:rsidP="00A839D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77A5" w:rsidRPr="00A839DF" w:rsidRDefault="004677A5" w:rsidP="00A839D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нормативов эмиссий разрабатывается на период 2026–2035 годы в связи с окончанием срока действия ранее выданного разрешения на воздействие на окружающую среду.</w:t>
      </w:r>
    </w:p>
    <w:p w:rsidR="004677A5" w:rsidRPr="00A839DF" w:rsidRDefault="004677A5" w:rsidP="00A839D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источников загрязнения атмосферы составит – 6 ед., из них 4  источников - неорганизованные.</w:t>
      </w:r>
    </w:p>
    <w:p w:rsidR="004677A5" w:rsidRPr="00A839DF" w:rsidRDefault="004677A5" w:rsidP="00A839D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выбросах содержатся 20 загрязняющих веществ из них  пять веществ, </w:t>
      </w:r>
      <w:proofErr w:type="spell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обладають</w:t>
      </w:r>
      <w:proofErr w:type="spellEnd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эффектом суммации вредного действия. </w:t>
      </w:r>
    </w:p>
    <w:p w:rsidR="004677A5" w:rsidRPr="00A839DF" w:rsidRDefault="004677A5" w:rsidP="00A839D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Валовый выброс ЗВ  составит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3,86940768 т/год. </w:t>
      </w:r>
    </w:p>
    <w:p w:rsidR="004677A5" w:rsidRPr="00A839DF" w:rsidRDefault="004677A5" w:rsidP="00A839DF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Предыдущим проектом НДВ определен валовый  выброс в 5,247920 т/год.</w:t>
      </w:r>
    </w:p>
    <w:p w:rsidR="004677A5" w:rsidRPr="00A839DF" w:rsidRDefault="004677A5" w:rsidP="00A839D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A839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Снижение валовых выбросов загрязняющих веществ обусловлено прекращением эксплуатации стационарных источников загрязнения атмосферного воздуха, а именно: источников № 0003–0004 — силосов цемента, ранее предназначенных для приема и хранения цемента; источника № 6005 — склада песка, предназначенного для хранения сыпучих материалов; источника № 6006 — бетоносмесительной установки, предназначенной для производства бетонной смеси; источников № 6007, 6008, 6009 — погрузочного автотранспорта, обеспечивавшего доставку и погрузку сырья;</w:t>
      </w:r>
      <w:proofErr w:type="gramEnd"/>
      <w:r w:rsidRPr="00A839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источника № 0005 — </w:t>
      </w:r>
      <w:proofErr w:type="spellStart"/>
      <w:r w:rsidRPr="00A839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термокомплекса</w:t>
      </w:r>
      <w:proofErr w:type="spellEnd"/>
      <w:r w:rsidRPr="00A839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предназначенного для термической обработки; источника № 0006 — резервуара для хранения жидкого топлива; а также источников № 6011 — сварочного аппарата и аккумуляторной установки для зарядки аккумуляторов.</w:t>
      </w:r>
    </w:p>
    <w:p w:rsidR="004677A5" w:rsidRPr="00A839DF" w:rsidRDefault="004677A5" w:rsidP="00A839D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максимальных приземных концентраций загрязняющих атмосферу веще</w:t>
      </w:r>
      <w:proofErr w:type="gramStart"/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оводились по унифицированной программе расчета загрязнения атмосферы "ЭРА </w:t>
      </w: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2.0".</w:t>
      </w:r>
    </w:p>
    <w:p w:rsidR="004677A5" w:rsidRPr="00A839DF" w:rsidRDefault="004677A5" w:rsidP="00A839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эмиссий выбросов в окружающую среду  устанавливаются сроком на 10 лет и подлежат пере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смотру (</w:t>
      </w:r>
      <w:proofErr w:type="spell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переутверждению</w:t>
      </w:r>
      <w:proofErr w:type="spellEnd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изменении экологической 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обстановки в ре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гионе, появлении новых и уточнении параметров существующих источников загрязнения окружающей природной среды в местных органах по контролю за использованием и охраной окружающей природной среды.</w:t>
      </w:r>
    </w:p>
    <w:p w:rsidR="004677A5" w:rsidRPr="00A839DF" w:rsidRDefault="004677A5" w:rsidP="00A839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83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Согласно Приложению 2 к Экологическому кодексу Республики Казахстан от 2 января 2021 года № 400-VI ЗРК, раздел 2 «Виды намечаемой деятельности и иные критерии, на основании которых осуществляется отнесение объектов, оказывающих негативное воздействие на окружающую среду, к объектам II категории», пункт 2 «Производство и обработка металлов» подпункту 2.2 «Поверхностная обработка металлов и пластических материалов с использованием электролитических или химических процессов в</w:t>
      </w:r>
      <w:proofErr w:type="gramEnd"/>
      <w:r w:rsidRPr="00A83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технологических </w:t>
      </w:r>
      <w:proofErr w:type="gramStart"/>
      <w:r w:rsidRPr="00A83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ваннах</w:t>
      </w:r>
      <w:proofErr w:type="gramEnd"/>
      <w:r w:rsidRPr="00A83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суммарным объемом менее 30 м³», деятельность ТОО «РОТОР» относится к объектам II категории.</w:t>
      </w:r>
    </w:p>
    <w:p w:rsidR="004677A5" w:rsidRPr="00A839DF" w:rsidRDefault="004677A5" w:rsidP="00A839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83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Согласно Приложению 1 к Санитарным правилам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раздел 2 «Металлургические, машиностроительные и металлообрабатывающие объекты и производства», пункт 9, подпункт 16, машиностроительные производства с металлообработкой и покраской без литья относятся к объектам IV класса опасности с размером санитарно-защитной зоны 100 м.</w:t>
      </w:r>
      <w:proofErr w:type="gramEnd"/>
    </w:p>
    <w:p w:rsidR="004677A5" w:rsidRPr="00A839DF" w:rsidRDefault="004677A5" w:rsidP="00A839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6C4E" w:rsidRPr="00A839DF" w:rsidRDefault="001B6C4E" w:rsidP="00A839DF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источниками загрязнения атмосферного воздуха являются: </w:t>
      </w:r>
    </w:p>
    <w:p w:rsidR="001B6C4E" w:rsidRPr="00A839DF" w:rsidRDefault="001B6C4E" w:rsidP="00A839DF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источниками загрязнения атмосферного воздуха при 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производстве калориферов</w:t>
      </w: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 </w:t>
      </w:r>
    </w:p>
    <w:p w:rsidR="001B6C4E" w:rsidRPr="00A839DF" w:rsidRDefault="001B6C4E" w:rsidP="00A839DF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Отопительная печь.</w:t>
      </w:r>
    </w:p>
    <w:p w:rsidR="001B6C4E" w:rsidRPr="00A839DF" w:rsidRDefault="001B6C4E" w:rsidP="00A839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Теплоснабжение объекта производится от отопительной печи, расположенной в цехе по производству калориферов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</w:p>
    <w:p w:rsidR="001B6C4E" w:rsidRPr="00A839DF" w:rsidRDefault="001B6C4E" w:rsidP="00A839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Отопительная печь, работает на твердом топливе </w:t>
      </w:r>
      <w:r w:rsidRPr="00A839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(источник загрязнения 0007)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Годовой расход используемого топлива составляет 30 т/год. </w:t>
      </w:r>
      <w:proofErr w:type="gram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отопительный период отопительная печь работает 24 часа в сутки, 155 </w:t>
      </w:r>
      <w:proofErr w:type="spell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/. Дымовые газы выводятся в индивидуальную дымовую трубу, со следующими параметрами: </w:t>
      </w:r>
      <w:r w:rsidRPr="00A839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=6 м; </w:t>
      </w:r>
      <w:r w:rsidRPr="00A839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=0,15 м. При работе отопительной печи в атмосферу выбрасываются такие вредные вещества, как серы диоксид, углерода оксид, пыль неорганическая с содержанием двуокиси кремния от 70-20%, азота оксиды. </w:t>
      </w:r>
      <w:proofErr w:type="gramEnd"/>
    </w:p>
    <w:p w:rsidR="001B6C4E" w:rsidRPr="00A839DF" w:rsidRDefault="001B6C4E" w:rsidP="00A839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предприятия расположены закрытый склад угля </w:t>
      </w:r>
      <w:r w:rsidRPr="00A839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(источник выбросов вредных веществ в атмосферу №6001) 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открытый склад золы (</w:t>
      </w:r>
      <w:r w:rsidRPr="00A839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источник выбросов вредных веществ в атмосферу №6002)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данном проекте учтены выбросы при статическом хранении и погрузочно-разгрузочные работы. </w:t>
      </w:r>
    </w:p>
    <w:p w:rsidR="001B6C4E" w:rsidRPr="00A839DF" w:rsidRDefault="001B6C4E" w:rsidP="00A839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цехе по производству калориферов установлено:</w:t>
      </w:r>
    </w:p>
    <w:p w:rsidR="001B6C4E" w:rsidRPr="00A839DF" w:rsidRDefault="001B6C4E" w:rsidP="00A839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сварочное оборудование: сварочных аппарата, сварочный полуавтомат, при работе в атмосферный воздух поступают: 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оксид железа, марганец и его соединения, диоксид азота, фтористые газообразные соединения, фториды, пыль неорганическая с содержанием двуокиси кремния от 70-20%, медь оксид, никель оксид  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(вентиляционная система, ист. 6010, Н=6,1м, 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D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=0,3 м)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6C4E" w:rsidRPr="00A839DF" w:rsidRDefault="001B6C4E" w:rsidP="00A839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Металлообрабатывающие станки: ножницы гильотинные, три </w:t>
      </w:r>
      <w:proofErr w:type="spell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однокривошипных</w:t>
      </w:r>
      <w:proofErr w:type="spellEnd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механических пресса, один пресс гидравлический, два устройства для резки труб, две емкости промывочные, два стола для раскроя металлов, токарный станок, </w:t>
      </w:r>
      <w:proofErr w:type="spell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накаточный</w:t>
      </w:r>
      <w:proofErr w:type="spellEnd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станок, заточной и отрезной станки.</w:t>
      </w:r>
    </w:p>
    <w:p w:rsidR="001B6C4E" w:rsidRPr="00A839DF" w:rsidRDefault="001B6C4E" w:rsidP="00A839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вышеуказанного оборудования в атмосферный воздух поступают: </w:t>
      </w:r>
      <w:proofErr w:type="spell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диНатрий</w:t>
      </w:r>
      <w:proofErr w:type="spellEnd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карбонат, натрий гидроксид, оксид железа, марганец и его соединения, диоксид азота, фтористые газообразные соединения, фториды, взвешенные частицы, пыль абразивная 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(вентиляционная система, ист. 6011, Н=6,1м, 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D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=0,3 м)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6C4E" w:rsidRPr="00A839DF" w:rsidRDefault="001B6C4E" w:rsidP="00A839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покраски деталей и изделий представляет собой камеру для нанесения и сушки окрасочных материалов. Окраска производится пневматическим способом. Годовой расход применяемой эмали (ЦН-132) составляет 30 кг, растворителя 4 кг. Камера оснащена системой вентиляции и фильтрами для очистки взвешенных частиц при покраске и сушки деталей и изделий (</w:t>
      </w:r>
      <w:r w:rsidRPr="00A839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ист. 0008,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Н=6,1м, 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D</w:t>
      </w:r>
      <w:r w:rsidRPr="00A839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=0,3 м</w:t>
      </w: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6C4E" w:rsidRPr="00A839DF" w:rsidRDefault="001B6C4E" w:rsidP="00A839DF">
      <w:pPr>
        <w:pStyle w:val="21"/>
        <w:tabs>
          <w:tab w:val="left" w:pos="284"/>
          <w:tab w:val="left" w:pos="567"/>
        </w:tabs>
        <w:spacing w:before="0" w:after="0" w:line="276" w:lineRule="auto"/>
        <w:ind w:left="170"/>
        <w:jc w:val="center"/>
        <w:rPr>
          <w:rFonts w:ascii="Times New Roman" w:hAnsi="Times New Roman"/>
          <w:sz w:val="24"/>
          <w:szCs w:val="24"/>
        </w:rPr>
      </w:pPr>
      <w:r w:rsidRPr="00A839DF">
        <w:rPr>
          <w:rFonts w:ascii="Times New Roman" w:hAnsi="Times New Roman"/>
          <w:sz w:val="24"/>
          <w:szCs w:val="24"/>
        </w:rPr>
        <w:t>Анализ результатов расчета загрязнения атмосферы вредными веществами</w:t>
      </w:r>
    </w:p>
    <w:p w:rsidR="001B6C4E" w:rsidRPr="00A839DF" w:rsidRDefault="001B6C4E" w:rsidP="00A83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sz w:val="24"/>
          <w:szCs w:val="24"/>
        </w:rPr>
        <w:t>Расчет полей  приземных концентраций загрязняющих веще</w:t>
      </w:r>
      <w:proofErr w:type="gramStart"/>
      <w:r w:rsidRPr="00A839DF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839DF">
        <w:rPr>
          <w:rFonts w:ascii="Times New Roman" w:hAnsi="Times New Roman" w:cs="Times New Roman"/>
          <w:sz w:val="24"/>
          <w:szCs w:val="24"/>
        </w:rPr>
        <w:t>оизведен с целью установления предельно допустимых  выбросов (НДВ) предприятия и подтверждения норм</w:t>
      </w:r>
      <w:r w:rsidRPr="00A839DF">
        <w:rPr>
          <w:rFonts w:ascii="Times New Roman" w:hAnsi="Times New Roman" w:cs="Times New Roman"/>
          <w:sz w:val="24"/>
          <w:szCs w:val="24"/>
        </w:rPr>
        <w:t>а</w:t>
      </w:r>
      <w:r w:rsidRPr="00A839DF">
        <w:rPr>
          <w:rFonts w:ascii="Times New Roman" w:hAnsi="Times New Roman" w:cs="Times New Roman"/>
          <w:sz w:val="24"/>
          <w:szCs w:val="24"/>
        </w:rPr>
        <w:t xml:space="preserve">тивного качества атмосферного воздуха. </w:t>
      </w:r>
    </w:p>
    <w:p w:rsidR="001B6C4E" w:rsidRPr="00A839DF" w:rsidRDefault="001B6C4E" w:rsidP="00A839DF">
      <w:pPr>
        <w:pStyle w:val="2"/>
        <w:spacing w:line="276" w:lineRule="auto"/>
        <w:ind w:firstLine="567"/>
        <w:rPr>
          <w:b/>
          <w:sz w:val="24"/>
          <w:szCs w:val="24"/>
        </w:rPr>
      </w:pPr>
      <w:r w:rsidRPr="00A839DF">
        <w:rPr>
          <w:sz w:val="24"/>
          <w:szCs w:val="24"/>
        </w:rPr>
        <w:t xml:space="preserve"> Расчет проведен на площадке </w:t>
      </w:r>
      <w:r w:rsidRPr="00A839DF">
        <w:rPr>
          <w:sz w:val="24"/>
          <w:szCs w:val="24"/>
          <w:lang w:val="ru-RU"/>
        </w:rPr>
        <w:t>500х500</w:t>
      </w:r>
      <w:r w:rsidRPr="00A839DF">
        <w:rPr>
          <w:sz w:val="24"/>
          <w:szCs w:val="24"/>
        </w:rPr>
        <w:t xml:space="preserve"> м с шагом расчетной сетки </w:t>
      </w:r>
      <w:r w:rsidRPr="00A839DF">
        <w:rPr>
          <w:sz w:val="24"/>
          <w:szCs w:val="24"/>
          <w:lang w:val="ru-RU"/>
        </w:rPr>
        <w:t>5</w:t>
      </w:r>
      <w:r w:rsidRPr="00A839DF">
        <w:rPr>
          <w:sz w:val="24"/>
          <w:szCs w:val="24"/>
        </w:rPr>
        <w:t>0 м. Также проведен расчет на границе нормативной СЗЗ</w:t>
      </w:r>
      <w:r w:rsidRPr="00A839DF">
        <w:rPr>
          <w:sz w:val="24"/>
          <w:szCs w:val="24"/>
          <w:lang w:val="ru-RU"/>
        </w:rPr>
        <w:t>, а на границе жилой зоны расчет нецелесооб</w:t>
      </w:r>
      <w:r w:rsidRPr="00A839DF">
        <w:rPr>
          <w:sz w:val="24"/>
          <w:szCs w:val="24"/>
          <w:lang w:val="ru-RU"/>
        </w:rPr>
        <w:t>р</w:t>
      </w:r>
      <w:r w:rsidRPr="00A839DF">
        <w:rPr>
          <w:sz w:val="24"/>
          <w:szCs w:val="24"/>
          <w:lang w:val="ru-RU"/>
        </w:rPr>
        <w:t>азен, так как расстояние более 1000 метров.</w:t>
      </w:r>
    </w:p>
    <w:p w:rsidR="001B6C4E" w:rsidRPr="00A839DF" w:rsidRDefault="001B6C4E" w:rsidP="00A839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sz w:val="24"/>
          <w:szCs w:val="24"/>
        </w:rPr>
        <w:t>Расчетные точки на границе санитарно-защитной зоны (СЗЗ) объектов предприятия определены автоматически УПРЗА «Эра» по заданным размерам СЗЗ от источников выбр</w:t>
      </w:r>
      <w:r w:rsidRPr="00A839DF">
        <w:rPr>
          <w:rFonts w:ascii="Times New Roman" w:hAnsi="Times New Roman" w:cs="Times New Roman"/>
          <w:sz w:val="24"/>
          <w:szCs w:val="24"/>
        </w:rPr>
        <w:t>о</w:t>
      </w:r>
      <w:r w:rsidRPr="00A839DF">
        <w:rPr>
          <w:rFonts w:ascii="Times New Roman" w:hAnsi="Times New Roman" w:cs="Times New Roman"/>
          <w:sz w:val="24"/>
          <w:szCs w:val="24"/>
        </w:rPr>
        <w:t xml:space="preserve">сов. </w:t>
      </w:r>
    </w:p>
    <w:p w:rsidR="001B6C4E" w:rsidRPr="00A839DF" w:rsidRDefault="001B6C4E" w:rsidP="00A839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sz w:val="24"/>
          <w:szCs w:val="24"/>
        </w:rPr>
        <w:t>Состояние воздушного бассейна на территории объекта и прилегающей территории в границах расчетного прямоугольника характеризуется приземными концентрациями вре</w:t>
      </w:r>
      <w:r w:rsidRPr="00A839DF">
        <w:rPr>
          <w:rFonts w:ascii="Times New Roman" w:hAnsi="Times New Roman" w:cs="Times New Roman"/>
          <w:sz w:val="24"/>
          <w:szCs w:val="24"/>
        </w:rPr>
        <w:t>д</w:t>
      </w:r>
      <w:r w:rsidRPr="00A839DF">
        <w:rPr>
          <w:rFonts w:ascii="Times New Roman" w:hAnsi="Times New Roman" w:cs="Times New Roman"/>
          <w:sz w:val="24"/>
          <w:szCs w:val="24"/>
        </w:rPr>
        <w:t>ных веществ.</w:t>
      </w:r>
    </w:p>
    <w:p w:rsidR="001B6C4E" w:rsidRPr="00A839DF" w:rsidRDefault="001B6C4E" w:rsidP="00A839DF">
      <w:pPr>
        <w:pStyle w:val="2"/>
        <w:spacing w:line="276" w:lineRule="auto"/>
        <w:ind w:firstLine="567"/>
        <w:rPr>
          <w:sz w:val="24"/>
          <w:szCs w:val="24"/>
        </w:rPr>
      </w:pPr>
      <w:r w:rsidRPr="00A839DF">
        <w:rPr>
          <w:sz w:val="24"/>
          <w:szCs w:val="24"/>
        </w:rPr>
        <w:t xml:space="preserve">На картах рассеивания загрязняющих веществ расчетные концентрации приведены в долях ПДК </w:t>
      </w:r>
      <w:proofErr w:type="spellStart"/>
      <w:r w:rsidRPr="00A839DF">
        <w:rPr>
          <w:sz w:val="24"/>
          <w:szCs w:val="24"/>
        </w:rPr>
        <w:t>м.р</w:t>
      </w:r>
      <w:proofErr w:type="spellEnd"/>
      <w:r w:rsidRPr="00A839DF">
        <w:rPr>
          <w:sz w:val="24"/>
          <w:szCs w:val="24"/>
        </w:rPr>
        <w:t>.</w:t>
      </w:r>
    </w:p>
    <w:p w:rsidR="001B6C4E" w:rsidRPr="00A839DF" w:rsidRDefault="001B6C4E" w:rsidP="00A83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sz w:val="24"/>
          <w:szCs w:val="24"/>
        </w:rPr>
        <w:t>По результатам  расчета рассеивания установлено, что  на границе санитарно-защитной зоны происходит незначительное превышение нормативов качества атмосферного воздуха по взвешенным веществам 1,3 ПДК; группа суммации пыли - 1,89 ПДК по причине повышенного фонового загрязнения  по городу Астана по данным ингред</w:t>
      </w:r>
      <w:r w:rsidRPr="00A839DF">
        <w:rPr>
          <w:rFonts w:ascii="Times New Roman" w:hAnsi="Times New Roman" w:cs="Times New Roman"/>
          <w:sz w:val="24"/>
          <w:szCs w:val="24"/>
        </w:rPr>
        <w:t>и</w:t>
      </w:r>
      <w:r w:rsidRPr="00A839DF">
        <w:rPr>
          <w:rFonts w:ascii="Times New Roman" w:hAnsi="Times New Roman" w:cs="Times New Roman"/>
          <w:sz w:val="24"/>
          <w:szCs w:val="24"/>
        </w:rPr>
        <w:t xml:space="preserve">ентам. </w:t>
      </w:r>
    </w:p>
    <w:p w:rsidR="001B6C4E" w:rsidRPr="00A839DF" w:rsidRDefault="001B6C4E" w:rsidP="00A83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sz w:val="24"/>
          <w:szCs w:val="24"/>
        </w:rPr>
        <w:t>Вклад предприятия при этом составляет 8,8-48%.</w:t>
      </w:r>
    </w:p>
    <w:p w:rsidR="00A839DF" w:rsidRPr="00A839DF" w:rsidRDefault="00A839DF" w:rsidP="00A83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DF">
        <w:rPr>
          <w:rFonts w:ascii="Times New Roman" w:hAnsi="Times New Roman" w:cs="Times New Roman"/>
          <w:sz w:val="24"/>
          <w:szCs w:val="24"/>
        </w:rPr>
        <w:t xml:space="preserve">Нормативы эмиссий для намечаемой деятельности, в том числе при внесении в деятельность существенных изменений, рассчитываются и обосновываются в виде отдельного документа – проекта нормативов эмиссий (проекта нормативов допустимых выбросов, проекта нормативов допустимых сбросов), который разрабатывается в привязке к соответствующей проектной документации намечаемой деятельности и представляется в уполномоченный орган в области охраны окружающей среды вместе с заявлением на получение экологического разрешения. </w:t>
      </w:r>
      <w:proofErr w:type="gramEnd"/>
    </w:p>
    <w:p w:rsidR="00A839DF" w:rsidRPr="00A839DF" w:rsidRDefault="00A839DF" w:rsidP="00A83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DF">
        <w:rPr>
          <w:rFonts w:ascii="Times New Roman" w:hAnsi="Times New Roman" w:cs="Times New Roman"/>
          <w:sz w:val="24"/>
          <w:szCs w:val="24"/>
        </w:rPr>
        <w:t xml:space="preserve">Нормативы допустимых выбросов устанавливаются для отдельного стационарного источника и (или) совокупности стационарных источников, входящих в состав объекта I или II категории, расчетным путем с применением метода моделирования рассеивания приземных концентраций загрязняющих веществ с таким условием, чтобы общая нагрузка на атмосферный воздух в пределах области воздействия не приводила к нарушению </w:t>
      </w:r>
      <w:r w:rsidRPr="00A839DF">
        <w:rPr>
          <w:rFonts w:ascii="Times New Roman" w:hAnsi="Times New Roman" w:cs="Times New Roman"/>
          <w:sz w:val="24"/>
          <w:szCs w:val="24"/>
        </w:rPr>
        <w:lastRenderedPageBreak/>
        <w:t>установленных экологических нормативов качества окружающей среды или целевых показателей качества окружающей</w:t>
      </w:r>
      <w:proofErr w:type="gramEnd"/>
      <w:r w:rsidRPr="00A839DF">
        <w:rPr>
          <w:rFonts w:ascii="Times New Roman" w:hAnsi="Times New Roman" w:cs="Times New Roman"/>
          <w:sz w:val="24"/>
          <w:szCs w:val="24"/>
        </w:rPr>
        <w:t xml:space="preserve"> среды. </w:t>
      </w:r>
    </w:p>
    <w:p w:rsidR="00A839DF" w:rsidRPr="00A839DF" w:rsidRDefault="00A839DF" w:rsidP="00A83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sz w:val="24"/>
          <w:szCs w:val="24"/>
        </w:rPr>
        <w:t xml:space="preserve">Областью воздействия является территория (акватория), подверженная антропогенной нагрузке и определенная путем моделирования рассеивания приземных концентраций загрязняющих веществ. </w:t>
      </w:r>
    </w:p>
    <w:p w:rsidR="001B6C4E" w:rsidRPr="00A839DF" w:rsidRDefault="00A839DF" w:rsidP="00A83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sz w:val="24"/>
          <w:szCs w:val="24"/>
        </w:rPr>
        <w:t>Для совокупности стационарных источников область воздействия рассчитывается как сумма областей воздействия отдельных стационарных источников выбросов.</w:t>
      </w:r>
    </w:p>
    <w:p w:rsidR="004677A5" w:rsidRPr="00A839DF" w:rsidRDefault="004677A5" w:rsidP="00A839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39DF" w:rsidRPr="00A839DF" w:rsidRDefault="00A839DF" w:rsidP="00A839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неблагоприятных метеорологических условий, т.е. при поднятой инверсии выше источника, туманах, предприятия должны осуществлять временные мероприятия по дополнительному снижению выбросов в атмосферу.</w:t>
      </w:r>
    </w:p>
    <w:p w:rsidR="00A839DF" w:rsidRPr="00A839DF" w:rsidRDefault="00A839DF" w:rsidP="00A839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выполняются после получения от органов заблаговременного предупреждения. В состав предупреждения входят:</w:t>
      </w:r>
    </w:p>
    <w:p w:rsidR="00A839DF" w:rsidRPr="00A839DF" w:rsidRDefault="00A839DF" w:rsidP="00A839DF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  длительность особо неблагоприятных метеорологических условий;</w:t>
      </w:r>
    </w:p>
    <w:p w:rsidR="00A839DF" w:rsidRPr="00A839DF" w:rsidRDefault="00A839DF" w:rsidP="00A839DF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ожидаемая кратность увеличения приземных концентраций по отношению к </w:t>
      </w:r>
      <w:proofErr w:type="gram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фактической</w:t>
      </w:r>
      <w:proofErr w:type="gramEnd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9DF" w:rsidRPr="00A839DF" w:rsidRDefault="00A839DF" w:rsidP="00A839DF">
      <w:pPr>
        <w:tabs>
          <w:tab w:val="left" w:pos="142"/>
        </w:tabs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ожидаемой кратности увеличения приземных концентраций вводят в действие мероприятия 1,2 или 3-ей группы</w:t>
      </w:r>
    </w:p>
    <w:p w:rsidR="00A839DF" w:rsidRPr="00A839DF" w:rsidRDefault="00A839DF" w:rsidP="00A839DF">
      <w:pPr>
        <w:tabs>
          <w:tab w:val="left" w:pos="142"/>
        </w:tabs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1-ой группы - меры организованного характера, не требующие существенных затрат и не приводящие к снижению объемов производства.</w:t>
      </w:r>
    </w:p>
    <w:p w:rsidR="00A839DF" w:rsidRPr="00A839DF" w:rsidRDefault="00A839DF" w:rsidP="00A839DF">
      <w:pPr>
        <w:tabs>
          <w:tab w:val="left" w:pos="142"/>
        </w:tabs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2-ой группы связаны с созданием дополнительных установок и разработкой специальных режимов работ технологического оборудования, дополнительных газоочистных  устрой</w:t>
      </w:r>
      <w:proofErr w:type="gramStart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вр</w:t>
      </w:r>
      <w:proofErr w:type="gramEnd"/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еменного действия.</w:t>
      </w:r>
    </w:p>
    <w:p w:rsidR="00A839DF" w:rsidRPr="00A839DF" w:rsidRDefault="00A839DF" w:rsidP="00A839DF">
      <w:pPr>
        <w:tabs>
          <w:tab w:val="left" w:pos="142"/>
        </w:tabs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3-ей группы связаны со снижением  объемов производства.</w:t>
      </w:r>
    </w:p>
    <w:p w:rsidR="00A839DF" w:rsidRPr="00A839DF" w:rsidRDefault="00A839DF" w:rsidP="00A839DF">
      <w:pPr>
        <w:tabs>
          <w:tab w:val="left" w:pos="142"/>
        </w:tabs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Статистических данных по превышению уровня загрязнения в период опасных метеоусловий нет.</w:t>
      </w:r>
    </w:p>
    <w:p w:rsidR="00A839DF" w:rsidRPr="00A839DF" w:rsidRDefault="00A839DF" w:rsidP="00A839DF">
      <w:pPr>
        <w:tabs>
          <w:tab w:val="left" w:pos="142"/>
        </w:tabs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регулированию выбросов при неблагоприятных метеорологических условиях (НМУ) не разрабатываются. </w:t>
      </w:r>
    </w:p>
    <w:p w:rsidR="004677A5" w:rsidRPr="004677A5" w:rsidRDefault="004677A5" w:rsidP="001B6C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4677A5" w:rsidRPr="0046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D397B"/>
    <w:multiLevelType w:val="hybridMultilevel"/>
    <w:tmpl w:val="E7EC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E11E8"/>
    <w:multiLevelType w:val="singleLevel"/>
    <w:tmpl w:val="5CCED600"/>
    <w:lvl w:ilvl="0">
      <w:start w:val="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F1"/>
    <w:rsid w:val="001B6C4E"/>
    <w:rsid w:val="004677A5"/>
    <w:rsid w:val="008321F1"/>
    <w:rsid w:val="00A839DF"/>
    <w:rsid w:val="00C41AA3"/>
    <w:rsid w:val="00F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B6C4E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1B6C4E"/>
    <w:rPr>
      <w:rFonts w:ascii="Times New Roman" w:eastAsia="Batang" w:hAnsi="Times New Roman" w:cs="Times New Roman"/>
      <w:sz w:val="28"/>
      <w:szCs w:val="20"/>
      <w:lang w:val="x-none" w:eastAsia="x-none"/>
    </w:rPr>
  </w:style>
  <w:style w:type="paragraph" w:customStyle="1" w:styleId="21">
    <w:name w:val="Автор2"/>
    <w:basedOn w:val="a"/>
    <w:next w:val="a"/>
    <w:rsid w:val="001B6C4E"/>
    <w:pPr>
      <w:suppressAutoHyphens/>
      <w:spacing w:before="280" w:after="280" w:line="240" w:lineRule="auto"/>
    </w:pPr>
    <w:rPr>
      <w:rFonts w:ascii="Arial" w:eastAsia="Batang" w:hAnsi="Arial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B6C4E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1B6C4E"/>
    <w:rPr>
      <w:rFonts w:ascii="Times New Roman" w:eastAsia="Batang" w:hAnsi="Times New Roman" w:cs="Times New Roman"/>
      <w:sz w:val="28"/>
      <w:szCs w:val="20"/>
      <w:lang w:val="x-none" w:eastAsia="x-none"/>
    </w:rPr>
  </w:style>
  <w:style w:type="paragraph" w:customStyle="1" w:styleId="21">
    <w:name w:val="Автор2"/>
    <w:basedOn w:val="a"/>
    <w:next w:val="a"/>
    <w:rsid w:val="001B6C4E"/>
    <w:pPr>
      <w:suppressAutoHyphens/>
      <w:spacing w:before="280" w:after="280" w:line="240" w:lineRule="auto"/>
    </w:pPr>
    <w:rPr>
      <w:rFonts w:ascii="Arial" w:eastAsia="Batang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</dc:creator>
  <cp:keywords/>
  <dc:description/>
  <cp:lastModifiedBy>Айнагуль</cp:lastModifiedBy>
  <cp:revision>2</cp:revision>
  <dcterms:created xsi:type="dcterms:W3CDTF">2026-01-13T04:57:00Z</dcterms:created>
  <dcterms:modified xsi:type="dcterms:W3CDTF">2026-01-13T05:28:00Z</dcterms:modified>
</cp:coreProperties>
</file>