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3740" w14:textId="24643087" w:rsidR="000145BE" w:rsidRPr="00670B17" w:rsidRDefault="000145BE" w:rsidP="00670B17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</w:rPr>
        <w:t>НЕТЕХНИЧЕСКОЕ РЕЗЮМЕ</w:t>
      </w:r>
    </w:p>
    <w:p w14:paraId="32A679DE" w14:textId="77777777" w:rsidR="000145BE" w:rsidRPr="00670B17" w:rsidRDefault="000145BE" w:rsidP="00670B17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A8837" w14:textId="77777777" w:rsidR="00217BAE" w:rsidRPr="00217BAE" w:rsidRDefault="00217BAE" w:rsidP="00217BAE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BAE">
        <w:rPr>
          <w:rFonts w:ascii="Times New Roman" w:hAnsi="Times New Roman" w:cs="Times New Roman"/>
          <w:b/>
          <w:bCs/>
          <w:sz w:val="24"/>
          <w:szCs w:val="24"/>
        </w:rPr>
        <w:t>Отчет о возможных воздействиях</w:t>
      </w:r>
    </w:p>
    <w:p w14:paraId="0F1C2AB0" w14:textId="5A81E5E3" w:rsidR="00407200" w:rsidRPr="00407200" w:rsidRDefault="00407200" w:rsidP="00407200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7200">
        <w:rPr>
          <w:rFonts w:ascii="Times New Roman" w:hAnsi="Times New Roman" w:cs="Times New Roman"/>
          <w:b/>
          <w:bCs/>
          <w:sz w:val="24"/>
          <w:szCs w:val="24"/>
        </w:rPr>
        <w:t>к проекту ликвидации площади северного участка Георгиевского месторождения  песчано-гравийной, расположенного на землях г.Актобе</w:t>
      </w:r>
    </w:p>
    <w:p w14:paraId="014875DC" w14:textId="469E484D" w:rsidR="00217BAE" w:rsidRPr="00217BAE" w:rsidRDefault="00217BAE" w:rsidP="00217BAE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97D25" w14:textId="0F7CFEF8" w:rsidR="000145BE" w:rsidRPr="00670B17" w:rsidRDefault="007F310D" w:rsidP="00670B17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5F972FB" w14:textId="77777777" w:rsidR="007F310D" w:rsidRPr="00670B17" w:rsidRDefault="007F310D" w:rsidP="00670B17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02CFDC" w14:textId="36A0EAC7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Общие сведения о предприятии (Заказчик):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217BAE" w:rsidRPr="00217BAE" w14:paraId="40E0731C" w14:textId="77777777" w:rsidTr="00280A40">
        <w:trPr>
          <w:trHeight w:val="398"/>
        </w:trPr>
        <w:tc>
          <w:tcPr>
            <w:tcW w:w="4106" w:type="dxa"/>
          </w:tcPr>
          <w:p w14:paraId="73F68BCE" w14:textId="77777777" w:rsidR="00217BAE" w:rsidRPr="00217BAE" w:rsidRDefault="00217BAE" w:rsidP="00217BAE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предприятия </w:t>
            </w:r>
          </w:p>
        </w:tc>
        <w:tc>
          <w:tcPr>
            <w:tcW w:w="5239" w:type="dxa"/>
          </w:tcPr>
          <w:p w14:paraId="545E4DEE" w14:textId="77777777" w:rsidR="00217BAE" w:rsidRPr="00217BAE" w:rsidRDefault="00217BAE" w:rsidP="00217BAE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«Коктас»</w:t>
            </w:r>
          </w:p>
        </w:tc>
      </w:tr>
      <w:tr w:rsidR="00217BAE" w:rsidRPr="00217BAE" w14:paraId="1E603A9B" w14:textId="77777777" w:rsidTr="00280A40">
        <w:trPr>
          <w:trHeight w:val="250"/>
        </w:trPr>
        <w:tc>
          <w:tcPr>
            <w:tcW w:w="4106" w:type="dxa"/>
          </w:tcPr>
          <w:p w14:paraId="7DACD63B" w14:textId="77777777" w:rsidR="00217BAE" w:rsidRPr="00217BAE" w:rsidRDefault="00217BAE" w:rsidP="00217BAE">
            <w:pPr>
              <w:shd w:val="clear" w:color="auto" w:fill="FFFFFF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Юридический адрес </w:t>
            </w:r>
          </w:p>
        </w:tc>
        <w:tc>
          <w:tcPr>
            <w:tcW w:w="5239" w:type="dxa"/>
          </w:tcPr>
          <w:p w14:paraId="6AA38633" w14:textId="77777777" w:rsidR="00217BAE" w:rsidRPr="00217BAE" w:rsidRDefault="00217BAE" w:rsidP="00217BAE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РК, Актюбинская область, Мугалжарский район, пос. Хромтау, ул. Наурыз, д8</w:t>
            </w:r>
          </w:p>
        </w:tc>
      </w:tr>
      <w:tr w:rsidR="00217BAE" w:rsidRPr="00217BAE" w14:paraId="7CD51009" w14:textId="77777777" w:rsidTr="00280A40">
        <w:tc>
          <w:tcPr>
            <w:tcW w:w="4106" w:type="dxa"/>
          </w:tcPr>
          <w:p w14:paraId="6CB50B3F" w14:textId="77777777" w:rsidR="00217BAE" w:rsidRPr="00217BAE" w:rsidRDefault="00217BAE" w:rsidP="00217BAE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Руководитель</w:t>
            </w:r>
          </w:p>
        </w:tc>
        <w:tc>
          <w:tcPr>
            <w:tcW w:w="5239" w:type="dxa"/>
          </w:tcPr>
          <w:p w14:paraId="787D5FE7" w14:textId="77777777" w:rsidR="00217BAE" w:rsidRPr="00217BAE" w:rsidRDefault="00217BAE" w:rsidP="00217BAE">
            <w:pPr>
              <w:spacing w:after="0" w:line="312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7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Сагиндык Н.К.</w:t>
            </w:r>
          </w:p>
        </w:tc>
      </w:tr>
    </w:tbl>
    <w:p w14:paraId="1D3D6B93" w14:textId="77777777" w:rsidR="00CF7C20" w:rsidRPr="00670B17" w:rsidRDefault="00CF7C20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A86AEFF" w14:textId="565B9C13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Общие сведения по проекту</w:t>
      </w:r>
    </w:p>
    <w:p w14:paraId="28732BC6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Северный участок Георгиевского месторождения расположен в 7,0 км к северу от г.Актобе, на отложениях I надпойменной террасы реки Илек. </w:t>
      </w:r>
    </w:p>
    <w:p w14:paraId="65631362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Ближайшая жилая зона – г. Актобе.</w:t>
      </w:r>
    </w:p>
    <w:p w14:paraId="24EB893E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Климат района</w:t>
      </w: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месторождения резко континентальный, с жарким летом и холодной зимой. Средняя температура июля +19о, максимум +35о, лето сухое с очень незначительными атмосферными осадками. Преобладающие ветры в летний период юго-западные, сухие. </w:t>
      </w:r>
    </w:p>
    <w:p w14:paraId="7AFCE5EA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Зима малоснежная, холодная, средняя температура -15 при максимуме -40, снег ложится в середине ноября и держится до второй половине апреля. </w:t>
      </w:r>
    </w:p>
    <w:p w14:paraId="530D2C68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Гидрографическая сеть </w:t>
      </w: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представлена р.Илек, которая расположена в непосредственной близости от Горного отвода. </w:t>
      </w:r>
    </w:p>
    <w:p w14:paraId="3B6D68EC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участки работ расположены не ближе чем в 60 м от реки.</w:t>
      </w:r>
    </w:p>
    <w:p w14:paraId="6F5F0916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Илек – степная река, весной полноводная, летом мелеет, а местами распадается на ряд небольших плесов, соединенных между собой узкими мелкими протоками. Питание реки происходит за счет грунтовых вод и атмосферных осадков. </w:t>
      </w:r>
    </w:p>
    <w:p w14:paraId="2BEC8BA7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Рельеф</w:t>
      </w: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местности равнинный, абсолютные отметки варьируют от 200,0 до 202,0 м. </w:t>
      </w:r>
    </w:p>
    <w:p w14:paraId="2CB6467C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 экономически развит, что объясняется его приближенностью к областному центру.</w:t>
      </w:r>
    </w:p>
    <w:p w14:paraId="67BABB17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5,0 км западнее месторождения проходят магистральная железная дорога и автодорога. </w:t>
      </w:r>
    </w:p>
    <w:p w14:paraId="01A85C77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непосредственной близости от Горного отвода разрабатывается Новый участок Георгиевского месторождения. </w:t>
      </w:r>
    </w:p>
    <w:p w14:paraId="32F0056B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 месторождения несейсмичен. </w:t>
      </w:r>
    </w:p>
    <w:p w14:paraId="3D0C9896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Объектами ликвидации на Северном участке Георгиевского месторождения согласно плану горных работ являются:</w:t>
      </w:r>
    </w:p>
    <w:p w14:paraId="2746991C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Административно-бытовая площадка (АБП) размерами 20 х 30 м (600 м2), в пределах</w:t>
      </w:r>
    </w:p>
    <w:p w14:paraId="5A6C8476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которой установлены: </w:t>
      </w:r>
    </w:p>
    <w:p w14:paraId="1022930A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два вагон-дома типа «ВД-8М» заводского производства; </w:t>
      </w:r>
    </w:p>
    <w:p w14:paraId="196F96E4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биотуалет; </w:t>
      </w:r>
    </w:p>
    <w:p w14:paraId="68FC5B67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два контейнера с крышками для ТБО; </w:t>
      </w:r>
    </w:p>
    <w:p w14:paraId="344B6F90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дизельный электрогенератор. </w:t>
      </w:r>
    </w:p>
    <w:p w14:paraId="4D03A56D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Карьерная выемка площадью 133 000 м2, в том числе заполненный водой 80 000 м2. </w:t>
      </w:r>
    </w:p>
    <w:p w14:paraId="1FEE36B1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Внешний отвал вскрышных пород площадью 169 700 м2. </w:t>
      </w:r>
    </w:p>
    <w:p w14:paraId="10B4F3F4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4.Технологические дороги общей длиной 200 м и шириной 8 м (200 х 8 = 1 600 м2).</w:t>
      </w:r>
    </w:p>
    <w:p w14:paraId="08FF8E58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Объекты, не подлежащие рекультивации </w:t>
      </w:r>
    </w:p>
    <w:p w14:paraId="4F046A02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Подъездная дорога, исходя из опыта ранее проводимых работ в данном районе,</w:t>
      </w:r>
    </w:p>
    <w:p w14:paraId="7763B6B9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остаётся в пользование местному населению и не рекультивируется. </w:t>
      </w:r>
    </w:p>
    <w:p w14:paraId="4765DBE8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Карьерная выемка также не будет рекльтивироваться, т.к. частично заполнена водой, а на остальной территории площади Горного отвода проходит русло реки Илек. </w:t>
      </w:r>
    </w:p>
    <w:p w14:paraId="29B22122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Внешний отвал к концу отработки будет представлять холм высотой 2,3 м, площадью 167,9 тыс.м2; поросший местной растительность за счет постоянного его орошения, т.е. пылевыделения от него происходить не будет; отвал органично впишется в ландшафт местности (района карьера) и рекультивироваться не будет. </w:t>
      </w:r>
    </w:p>
    <w:p w14:paraId="31ADE4A0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Обводненные карьеры являются значимым элементом окружающего ландшафта. Они могут использоваться для различных целей: разведения рыбы и водоплавающих птиц, рыбалки и охоты, водопоя скота и т.п.</w:t>
      </w:r>
    </w:p>
    <w:p w14:paraId="0A24C812" w14:textId="77777777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01BFE81" w14:textId="4C126687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Предполагаемые сроки начала реализации намечаемой деятельности и ее</w:t>
      </w:r>
    </w:p>
    <w:p w14:paraId="0CFF7BE6" w14:textId="78F42607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завершение:</w:t>
      </w:r>
    </w:p>
    <w:p w14:paraId="61B946AF" w14:textId="268E2388" w:rsidR="00CF7C20" w:rsidRPr="00217BAE" w:rsidRDefault="00217BAE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ликвидации работы планируется начать и завершить в течении 2026 года.</w:t>
      </w:r>
    </w:p>
    <w:p w14:paraId="75C115E6" w14:textId="77777777" w:rsidR="0065472E" w:rsidRPr="00670B17" w:rsidRDefault="0065472E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8C49C81" w14:textId="4963C457" w:rsidR="004E005D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воздействия на атмосферный воздух в период планируемых работ:</w:t>
      </w:r>
    </w:p>
    <w:p w14:paraId="7581FA9E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7200">
        <w:rPr>
          <w:rFonts w:ascii="Times New Roman" w:hAnsi="Times New Roman" w:cs="Times New Roman"/>
          <w:sz w:val="24"/>
          <w:szCs w:val="24"/>
        </w:rPr>
        <w:t>В период ликвидационных работ источниками выделения загрязняющих веществ будет являться бульдозер.</w:t>
      </w:r>
    </w:p>
    <w:p w14:paraId="16787A0F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7200">
        <w:rPr>
          <w:rFonts w:ascii="Times New Roman" w:hAnsi="Times New Roman" w:cs="Times New Roman"/>
          <w:sz w:val="24"/>
          <w:szCs w:val="24"/>
        </w:rPr>
        <w:t xml:space="preserve">На рассматриваемом объекте на период работ предусматривается максимально 1 источник выбросов (неорганизованный), выбрасывающий в общей сложности 1 наименование загрязняющих веществ. </w:t>
      </w:r>
    </w:p>
    <w:p w14:paraId="26EF5244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Hlk99659000"/>
      <w:r w:rsidRPr="00407200">
        <w:rPr>
          <w:rFonts w:ascii="Times New Roman" w:hAnsi="Times New Roman" w:cs="Times New Roman"/>
          <w:b/>
          <w:sz w:val="24"/>
          <w:szCs w:val="24"/>
        </w:rPr>
        <w:t>Источник загрязнения N 6001, Неорганизованный</w:t>
      </w:r>
    </w:p>
    <w:p w14:paraId="4633B2C0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7200">
        <w:rPr>
          <w:rFonts w:ascii="Times New Roman" w:hAnsi="Times New Roman" w:cs="Times New Roman"/>
          <w:b/>
          <w:sz w:val="24"/>
          <w:szCs w:val="24"/>
        </w:rPr>
        <w:t>Источник выделения Грубая и окончательная планировка площадок и технологических дорог</w:t>
      </w:r>
    </w:p>
    <w:p w14:paraId="485D447E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7200">
        <w:rPr>
          <w:rFonts w:ascii="Times New Roman" w:hAnsi="Times New Roman" w:cs="Times New Roman"/>
          <w:sz w:val="24"/>
          <w:szCs w:val="24"/>
        </w:rPr>
        <w:t>Объем работ – 2,2 тыс.м</w:t>
      </w:r>
      <w:r w:rsidRPr="004072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D198052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7200">
        <w:rPr>
          <w:rFonts w:ascii="Times New Roman" w:hAnsi="Times New Roman" w:cs="Times New Roman"/>
          <w:sz w:val="24"/>
          <w:szCs w:val="24"/>
        </w:rPr>
        <w:t>Плотность 1,8 т\м</w:t>
      </w:r>
      <w:r w:rsidRPr="0040720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65CAEDF" w14:textId="77777777" w:rsidR="00407200" w:rsidRPr="00407200" w:rsidRDefault="00407200" w:rsidP="00407200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7200">
        <w:rPr>
          <w:rFonts w:ascii="Times New Roman" w:hAnsi="Times New Roman" w:cs="Times New Roman"/>
          <w:sz w:val="24"/>
          <w:szCs w:val="24"/>
        </w:rPr>
        <w:t>Время работы: 16 часов</w:t>
      </w:r>
    </w:p>
    <w:bookmarkEnd w:id="0"/>
    <w:p w14:paraId="66052ECD" w14:textId="20880552" w:rsidR="00217BAE" w:rsidRPr="00217BAE" w:rsidRDefault="00217BAE" w:rsidP="00217BAE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7BAE">
        <w:rPr>
          <w:rFonts w:ascii="Times New Roman" w:hAnsi="Times New Roman" w:cs="Times New Roman"/>
          <w:sz w:val="24"/>
          <w:szCs w:val="24"/>
        </w:rPr>
        <w:lastRenderedPageBreak/>
        <w:t>Суммарный выброс загрязняющих веществ в атмосферу от рассматриваемого объекта на период ликвидационных работ ориентировочно ожидается</w:t>
      </w:r>
      <w:r w:rsidRPr="00217BAE">
        <w:rPr>
          <w:rFonts w:ascii="Times New Roman" w:hAnsi="Times New Roman" w:cs="Times New Roman"/>
          <w:b/>
          <w:sz w:val="24"/>
          <w:szCs w:val="24"/>
        </w:rPr>
        <w:t>: 0.0</w:t>
      </w:r>
      <w:r w:rsidR="00407200">
        <w:rPr>
          <w:rFonts w:ascii="Times New Roman" w:hAnsi="Times New Roman" w:cs="Times New Roman"/>
          <w:b/>
          <w:sz w:val="24"/>
          <w:szCs w:val="24"/>
        </w:rPr>
        <w:t>03326</w:t>
      </w:r>
      <w:r w:rsidRPr="00217BAE">
        <w:rPr>
          <w:rFonts w:ascii="Times New Roman" w:hAnsi="Times New Roman" w:cs="Times New Roman"/>
          <w:b/>
          <w:sz w:val="24"/>
          <w:szCs w:val="24"/>
        </w:rPr>
        <w:t xml:space="preserve">  т,</w:t>
      </w:r>
      <w:r w:rsidRPr="00217BAE">
        <w:rPr>
          <w:rFonts w:ascii="Times New Roman" w:hAnsi="Times New Roman" w:cs="Times New Roman"/>
          <w:sz w:val="24"/>
          <w:szCs w:val="24"/>
        </w:rPr>
        <w:t xml:space="preserve"> в том числе твердые – </w:t>
      </w:r>
      <w:r w:rsidRPr="00217BAE">
        <w:rPr>
          <w:rFonts w:ascii="Times New Roman" w:hAnsi="Times New Roman" w:cs="Times New Roman"/>
          <w:b/>
          <w:sz w:val="24"/>
          <w:szCs w:val="24"/>
        </w:rPr>
        <w:t>0.0</w:t>
      </w:r>
      <w:r w:rsidR="00407200">
        <w:rPr>
          <w:rFonts w:ascii="Times New Roman" w:hAnsi="Times New Roman" w:cs="Times New Roman"/>
          <w:b/>
          <w:sz w:val="24"/>
          <w:szCs w:val="24"/>
        </w:rPr>
        <w:t xml:space="preserve">03326 </w:t>
      </w:r>
      <w:r w:rsidRPr="00217BAE">
        <w:rPr>
          <w:rFonts w:ascii="Times New Roman" w:hAnsi="Times New Roman" w:cs="Times New Roman"/>
          <w:b/>
          <w:sz w:val="24"/>
          <w:szCs w:val="24"/>
        </w:rPr>
        <w:t>т</w:t>
      </w:r>
      <w:r w:rsidRPr="00217BAE">
        <w:rPr>
          <w:rFonts w:ascii="Times New Roman" w:hAnsi="Times New Roman" w:cs="Times New Roman"/>
          <w:sz w:val="24"/>
          <w:szCs w:val="24"/>
        </w:rPr>
        <w:t xml:space="preserve">, жидкие и газообразные – </w:t>
      </w:r>
      <w:r w:rsidRPr="00217BAE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217BAE">
        <w:rPr>
          <w:rFonts w:ascii="Times New Roman" w:hAnsi="Times New Roman" w:cs="Times New Roman"/>
          <w:sz w:val="24"/>
          <w:szCs w:val="24"/>
        </w:rPr>
        <w:t xml:space="preserve">т. </w:t>
      </w:r>
    </w:p>
    <w:p w14:paraId="73875896" w14:textId="77777777" w:rsidR="003677D7" w:rsidRDefault="003677D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BFFDD68" w14:textId="77777777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FAE0F1A" w14:textId="50FDA288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Обоснование размеров санитарно-защитной зоны предприятия (СЗЗ)</w:t>
      </w:r>
    </w:p>
    <w:p w14:paraId="572261BC" w14:textId="2D510CB4" w:rsidR="00842A1E" w:rsidRPr="00670B17" w:rsidRDefault="00842A1E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факторов.</w:t>
      </w:r>
    </w:p>
    <w:p w14:paraId="5D0C4A2D" w14:textId="1961324E" w:rsidR="00842A1E" w:rsidRPr="00670B17" w:rsidRDefault="00842A1E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Ширина санитарно-защитных зон регламентируется санитарными нормами и правилами проектирования производственных объектов в зависимости от мощности предприятия и его класса опасности.</w:t>
      </w:r>
    </w:p>
    <w:p w14:paraId="2A0F8FAD" w14:textId="749E2BEC" w:rsidR="00670B17" w:rsidRPr="00670B17" w:rsidRDefault="00670B17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Согласно «Санитарно-эпидемиологическими требованиями к санитарно-защитным зонам объектов, являющихся объектами воздейстия на среду обитания и здоровье человека», утвержденных приказом и.о. Министра здравоохранения РК от 11.01.2022 года № КР ДСМ-2, данным проектом предлагается установить санитарно-защитную зону в размере не менее 100 м – Класс IV, карьеры, предприятия по добыче гравия, песка, глины, согласно вышеуказанному СанПиН.</w:t>
      </w:r>
    </w:p>
    <w:p w14:paraId="2522A54B" w14:textId="77777777" w:rsidR="006F3EE1" w:rsidRPr="00670B17" w:rsidRDefault="006F3EE1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B7F49CA" w14:textId="40D396CE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воздействия на водные ресурсы:</w:t>
      </w:r>
    </w:p>
    <w:p w14:paraId="1D40A47E" w14:textId="77777777" w:rsidR="00407200" w:rsidRPr="00407200" w:rsidRDefault="00407200" w:rsidP="0040720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07200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Гидрографическая сеть </w:t>
      </w:r>
      <w:r w:rsidRPr="00407200">
        <w:rPr>
          <w:rFonts w:ascii="Times New Roman" w:hAnsi="Times New Roman" w:cs="Times New Roman"/>
          <w:sz w:val="24"/>
          <w:szCs w:val="24"/>
          <w:lang w:bidi="ru-RU"/>
        </w:rPr>
        <w:t>представлена р.Илек, которая расположена в непосредственной близости от Горного отвода и проходит через горный отвод.</w:t>
      </w:r>
    </w:p>
    <w:p w14:paraId="288B5D25" w14:textId="104D26B8" w:rsidR="00670B17" w:rsidRPr="00670B17" w:rsidRDefault="00670B17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В процессе проведения работ на рассматриваемом участке отсутствует сброс сточных вод в водные объекты и на рельеф местности. Все сточные воды, накопленные на территории полевого лагеря, сдаются на утилизацию специализированной организации по договору.</w:t>
      </w:r>
    </w:p>
    <w:p w14:paraId="05811987" w14:textId="77777777" w:rsidR="00670B17" w:rsidRPr="00670B17" w:rsidRDefault="00670B17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Проектом не предусматривается забор воды из рек без разрешения местных исполнительных органов власти. Проектом также не предусматривается сброс хозяйственно-бытовых стоков в поверхностные водоисточники или пониженные места рельефа местности</w:t>
      </w:r>
    </w:p>
    <w:p w14:paraId="44BD15A7" w14:textId="07EBEED0" w:rsidR="00670B17" w:rsidRPr="00670B17" w:rsidRDefault="00670B17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Зоны санитарной охраны для реки И</w:t>
      </w:r>
      <w:r w:rsidR="00217BAE">
        <w:rPr>
          <w:rFonts w:ascii="Times New Roman" w:hAnsi="Times New Roman" w:cs="Times New Roman"/>
          <w:sz w:val="24"/>
          <w:szCs w:val="24"/>
        </w:rPr>
        <w:t>лек</w:t>
      </w:r>
      <w:r w:rsidRPr="00670B17">
        <w:rPr>
          <w:rFonts w:ascii="Times New Roman" w:hAnsi="Times New Roman" w:cs="Times New Roman"/>
          <w:sz w:val="24"/>
          <w:szCs w:val="24"/>
        </w:rPr>
        <w:t xml:space="preserve"> равна 500 м, водоохранные полосы для реки И</w:t>
      </w:r>
      <w:r w:rsidR="00217BAE">
        <w:rPr>
          <w:rFonts w:ascii="Times New Roman" w:hAnsi="Times New Roman" w:cs="Times New Roman"/>
          <w:sz w:val="24"/>
          <w:szCs w:val="24"/>
        </w:rPr>
        <w:t>лек</w:t>
      </w:r>
      <w:r w:rsidRPr="00670B17">
        <w:rPr>
          <w:rFonts w:ascii="Times New Roman" w:hAnsi="Times New Roman" w:cs="Times New Roman"/>
          <w:sz w:val="24"/>
          <w:szCs w:val="24"/>
        </w:rPr>
        <w:t xml:space="preserve"> установлены на уровне 50</w:t>
      </w:r>
    </w:p>
    <w:p w14:paraId="1EDB159D" w14:textId="4758AA0E" w:rsidR="00670B17" w:rsidRPr="00670B17" w:rsidRDefault="00670B17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Водоснабжение площадки питьевой будет осуществляться за счет привозной бутилированной воды из ближайших населенных пунктов (</w:t>
      </w:r>
      <w:r w:rsidR="00217BAE">
        <w:rPr>
          <w:rFonts w:ascii="Times New Roman" w:hAnsi="Times New Roman" w:cs="Times New Roman"/>
          <w:sz w:val="24"/>
          <w:szCs w:val="24"/>
        </w:rPr>
        <w:t>г. Актобе</w:t>
      </w:r>
      <w:r w:rsidRPr="00670B17">
        <w:rPr>
          <w:rFonts w:ascii="Times New Roman" w:hAnsi="Times New Roman" w:cs="Times New Roman"/>
          <w:sz w:val="24"/>
          <w:szCs w:val="24"/>
        </w:rPr>
        <w:t>.), вода технического назначения будет доставляться поливомоечной машиной (водовозкой) специализированными организациями по договору из ближайших населенных пунктов (</w:t>
      </w:r>
      <w:r w:rsidR="00217BAE">
        <w:rPr>
          <w:rFonts w:ascii="Times New Roman" w:hAnsi="Times New Roman" w:cs="Times New Roman"/>
          <w:sz w:val="24"/>
          <w:szCs w:val="24"/>
        </w:rPr>
        <w:t>г. Актобе</w:t>
      </w:r>
      <w:r w:rsidRPr="00670B17">
        <w:rPr>
          <w:rFonts w:ascii="Times New Roman" w:hAnsi="Times New Roman" w:cs="Times New Roman"/>
          <w:sz w:val="24"/>
          <w:szCs w:val="24"/>
        </w:rPr>
        <w:t>.).</w:t>
      </w:r>
    </w:p>
    <w:p w14:paraId="55D8F9B5" w14:textId="77777777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lastRenderedPageBreak/>
        <w:t>Стоки от  рукомойников и из пункта питания поступают по закрытой сети в септик. Стоки от душевых и столовой отсутствуют.</w:t>
      </w:r>
    </w:p>
    <w:p w14:paraId="7FF06E24" w14:textId="77777777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Стоки от рукомойников и из пункта питания поступают по закрытой сети в септик. Стоки от душевых и столовой отсутствуют.</w:t>
      </w:r>
    </w:p>
    <w:p w14:paraId="45BE4FAB" w14:textId="7DF2C3FE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С септика сточная вода и фекалии, по мере его наполнения, ассенизационной машиной вывозятся на полигон </w:t>
      </w:r>
      <w:r w:rsidR="00217BAE">
        <w:rPr>
          <w:rFonts w:ascii="Times New Roman" w:hAnsi="Times New Roman" w:cs="Times New Roman"/>
          <w:sz w:val="24"/>
          <w:szCs w:val="24"/>
        </w:rPr>
        <w:t>г. Актобе</w:t>
      </w:r>
      <w:r w:rsidRPr="00670B17">
        <w:rPr>
          <w:rFonts w:ascii="Times New Roman" w:hAnsi="Times New Roman" w:cs="Times New Roman"/>
          <w:sz w:val="24"/>
          <w:szCs w:val="24"/>
        </w:rPr>
        <w:t xml:space="preserve"> согласно договору на оказание этих услуг.</w:t>
      </w:r>
    </w:p>
    <w:p w14:paraId="31031EE0" w14:textId="335B0114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Объем водоотведения составит: </w:t>
      </w:r>
      <w:r w:rsidR="00407200">
        <w:rPr>
          <w:rFonts w:ascii="Times New Roman" w:hAnsi="Times New Roman" w:cs="Times New Roman"/>
          <w:sz w:val="24"/>
          <w:szCs w:val="24"/>
        </w:rPr>
        <w:t>1,92</w:t>
      </w:r>
      <w:r w:rsidRPr="00670B17">
        <w:rPr>
          <w:rFonts w:ascii="Times New Roman" w:hAnsi="Times New Roman" w:cs="Times New Roman"/>
          <w:sz w:val="24"/>
          <w:szCs w:val="24"/>
        </w:rPr>
        <w:t xml:space="preserve"> м3.</w:t>
      </w:r>
    </w:p>
    <w:p w14:paraId="70633A4D" w14:textId="77777777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9C0A11F" w14:textId="0F4F18FF" w:rsidR="000145BE" w:rsidRPr="00670B17" w:rsidRDefault="000145BE" w:rsidP="00670B17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Воздействие на окружающую среду отходов производства и потребления</w:t>
      </w:r>
    </w:p>
    <w:p w14:paraId="4BC77B20" w14:textId="54B67A83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 xml:space="preserve"> образуется незначительное количество отходов.</w:t>
      </w:r>
    </w:p>
    <w:p w14:paraId="3ECB4627" w14:textId="0000E485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Основными отходами являются:</w:t>
      </w:r>
    </w:p>
    <w:p w14:paraId="174F239B" w14:textId="027EF419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промасленная ветошь;</w:t>
      </w:r>
    </w:p>
    <w:p w14:paraId="5215B831" w14:textId="5B670E3D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смешанные коммунальные отходы (твердо-бытовые отходы);</w:t>
      </w:r>
    </w:p>
    <w:p w14:paraId="0EEFD9EC" w14:textId="7A1E5391" w:rsidR="00670B17" w:rsidRPr="00670B17" w:rsidRDefault="00217BAE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отработанные масла.</w:t>
      </w:r>
    </w:p>
    <w:p w14:paraId="33AF7560" w14:textId="7819C036" w:rsidR="00670B17" w:rsidRPr="00670B17" w:rsidRDefault="00670B17" w:rsidP="00670B17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На производственных объектах сбор и временное хранение (до 6 месяцев) отходов производства и потребления проводится на специальных площадках (местах), соответствующих уровню опасности отходов (по степени токсичности). Отходы по мере их накопления собирают в тару, предназначенную для каждой группы отходов в соответствии с классом опасности (по степени токсичности).</w:t>
      </w:r>
    </w:p>
    <w:p w14:paraId="2FB55ED4" w14:textId="77777777" w:rsidR="00217BAE" w:rsidRPr="00670B17" w:rsidRDefault="00670B17" w:rsidP="00670B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По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217BAE" w:rsidRPr="00217BAE" w14:paraId="0982DD72" w14:textId="77777777" w:rsidTr="00280A40">
        <w:tc>
          <w:tcPr>
            <w:tcW w:w="846" w:type="dxa"/>
          </w:tcPr>
          <w:p w14:paraId="5C03C574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14:paraId="17BAD633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Наименование отхода</w:t>
            </w:r>
          </w:p>
        </w:tc>
        <w:tc>
          <w:tcPr>
            <w:tcW w:w="2336" w:type="dxa"/>
          </w:tcPr>
          <w:p w14:paraId="75B81AF2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37" w:type="dxa"/>
          </w:tcPr>
          <w:p w14:paraId="32EEAD80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Объем образования отходов т/год</w:t>
            </w:r>
          </w:p>
        </w:tc>
      </w:tr>
      <w:tr w:rsidR="00217BAE" w:rsidRPr="00217BAE" w14:paraId="42A5494E" w14:textId="77777777" w:rsidTr="00280A40">
        <w:tc>
          <w:tcPr>
            <w:tcW w:w="846" w:type="dxa"/>
          </w:tcPr>
          <w:p w14:paraId="7C761F00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5A9032DE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Смешанные коммунальные отходы</w:t>
            </w:r>
          </w:p>
        </w:tc>
        <w:tc>
          <w:tcPr>
            <w:tcW w:w="2336" w:type="dxa"/>
          </w:tcPr>
          <w:p w14:paraId="68FC4FD4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</w:p>
        </w:tc>
        <w:tc>
          <w:tcPr>
            <w:tcW w:w="2337" w:type="dxa"/>
          </w:tcPr>
          <w:p w14:paraId="328F6869" w14:textId="454523F9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217BAE" w:rsidRPr="00217BAE" w14:paraId="62866582" w14:textId="77777777" w:rsidTr="00280A40">
        <w:tc>
          <w:tcPr>
            <w:tcW w:w="846" w:type="dxa"/>
          </w:tcPr>
          <w:p w14:paraId="59FA01E9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2839E8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0D427990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Промасленная ветошь</w:t>
            </w:r>
          </w:p>
          <w:p w14:paraId="4A3E3B97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Масло отработанное</w:t>
            </w:r>
          </w:p>
        </w:tc>
        <w:tc>
          <w:tcPr>
            <w:tcW w:w="2336" w:type="dxa"/>
          </w:tcPr>
          <w:p w14:paraId="5080E520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15 02 02*</w:t>
            </w:r>
          </w:p>
          <w:p w14:paraId="7BE2CB39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13 02 06*</w:t>
            </w:r>
          </w:p>
        </w:tc>
        <w:tc>
          <w:tcPr>
            <w:tcW w:w="2337" w:type="dxa"/>
          </w:tcPr>
          <w:p w14:paraId="469B384D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0,0254</w:t>
            </w:r>
          </w:p>
          <w:p w14:paraId="4BCBBFB5" w14:textId="77777777" w:rsidR="00217BAE" w:rsidRPr="00217BAE" w:rsidRDefault="00217BAE" w:rsidP="00217B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E">
              <w:rPr>
                <w:rFonts w:ascii="Times New Roman" w:hAnsi="Times New Roman" w:cs="Times New Roman"/>
                <w:sz w:val="24"/>
                <w:szCs w:val="24"/>
              </w:rPr>
              <w:t>0.074</w:t>
            </w:r>
          </w:p>
        </w:tc>
      </w:tr>
    </w:tbl>
    <w:p w14:paraId="7C51B410" w14:textId="37CDA842" w:rsidR="000145BE" w:rsidRPr="00670B17" w:rsidRDefault="000145BE" w:rsidP="00217BAE">
      <w:pPr>
        <w:spacing w:after="0" w:line="312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Оценка воздействия на почвенно-растительный покров и животный мир, предложения по предотвращению и снижению вредного воздействия:</w:t>
      </w:r>
    </w:p>
    <w:p w14:paraId="69D7C9B0" w14:textId="0A091630" w:rsidR="00842A1E" w:rsidRPr="00670B17" w:rsidRDefault="000145BE" w:rsidP="00217BAE">
      <w:pPr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Строительные работы не окажут существенного влияния на растительный и животный мир, почвенный покров.</w:t>
      </w:r>
    </w:p>
    <w:p w14:paraId="2D22196A" w14:textId="3980A3E1" w:rsidR="00842A1E" w:rsidRPr="00670B17" w:rsidRDefault="00842A1E" w:rsidP="00217BAE">
      <w:pPr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Вырубка зеленых насаждений проектом не предусматривается.</w:t>
      </w:r>
    </w:p>
    <w:p w14:paraId="768B3FD7" w14:textId="19A4DCEC" w:rsidR="000145BE" w:rsidRPr="00670B17" w:rsidRDefault="000145BE" w:rsidP="00217BAE">
      <w:pPr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Физические факторы воздействия:</w:t>
      </w:r>
    </w:p>
    <w:p w14:paraId="4903FA63" w14:textId="3BB58823" w:rsidR="000145BE" w:rsidRPr="00670B17" w:rsidRDefault="000145BE" w:rsidP="00217BAE">
      <w:pPr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В отчете описано воздействие шума, вибрации на стадии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>, предусмотрены мероприятия по снижению уровня шума и воздействие</w:t>
      </w:r>
      <w:r w:rsidR="008B104D" w:rsidRPr="00670B17">
        <w:rPr>
          <w:rFonts w:ascii="Times New Roman" w:hAnsi="Times New Roman" w:cs="Times New Roman"/>
          <w:sz w:val="24"/>
          <w:szCs w:val="24"/>
        </w:rPr>
        <w:t xml:space="preserve"> </w:t>
      </w:r>
      <w:r w:rsidRPr="00670B17">
        <w:rPr>
          <w:rFonts w:ascii="Times New Roman" w:hAnsi="Times New Roman" w:cs="Times New Roman"/>
          <w:sz w:val="24"/>
          <w:szCs w:val="24"/>
        </w:rPr>
        <w:t xml:space="preserve">электромагнитных полей. Источники ионизирующего излучения проектом не предусмотрены в период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 xml:space="preserve"> объектов, поэтому изменение радиологической ситуации района расположения объектов не ожидается.</w:t>
      </w:r>
    </w:p>
    <w:p w14:paraId="0F754CF5" w14:textId="1EB169F4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Оценка риска аварийных ситуаций:</w:t>
      </w:r>
    </w:p>
    <w:p w14:paraId="1A85BA61" w14:textId="144A2CD4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lastRenderedPageBreak/>
        <w:t xml:space="preserve">Принятые проектные решения и методы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 xml:space="preserve"> обеспечат высокую надежность и экологическую безопасность процессов при производстве работ. При соблюдении техники безопасности в период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 xml:space="preserve"> воздействие на окружающую среду минимально.</w:t>
      </w:r>
    </w:p>
    <w:p w14:paraId="5AAD3371" w14:textId="36BCF720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Комплексная оценка воздействия на окружающую среду</w:t>
      </w:r>
    </w:p>
    <w:p w14:paraId="10F36EFB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Основными компонентами природной среды, подвергающимися значительным по масштабу воздействиям, являются почвенно-растительный покров, воздушный бассейн, подземные воды, недра, флора и фауна района, социальная среда. На основании анализа современной ситуации, принятых проектных решений и их прогнозируемых последствий ниже дается обобщенная схема их воздействия на отдельные среды.</w:t>
      </w:r>
    </w:p>
    <w:p w14:paraId="65F555CB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Взаимодействие элементов системы происходит как в пространстве, так и во времени, поэтому какие-либо экологические выводы и прогнозы должны учитывать комплексное воздействие различных элементов экосистем.</w:t>
      </w:r>
    </w:p>
    <w:p w14:paraId="0FE938F2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В результате намечаемой хозяйственной деятельности с учетом выполнения природоохранных мероприятий наблюдаются остаточные последствия воздействий. Оценку значимости остаточных последствий можно проводить по следующей шкале:</w:t>
      </w:r>
    </w:p>
    <w:p w14:paraId="013A5A7C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1.</w:t>
      </w:r>
      <w:r w:rsidRPr="00670B17">
        <w:rPr>
          <w:rFonts w:ascii="Times New Roman" w:hAnsi="Times New Roman" w:cs="Times New Roman"/>
          <w:sz w:val="24"/>
          <w:szCs w:val="24"/>
        </w:rPr>
        <w:tab/>
        <w:t>Величина:</w:t>
      </w:r>
    </w:p>
    <w:p w14:paraId="36ADEDDC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пренебрежимо малая – без последствий;</w:t>
      </w:r>
    </w:p>
    <w:p w14:paraId="498AEE35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малая – природные ресурсы могут восстановиться в течение 1 сезона;</w:t>
      </w:r>
    </w:p>
    <w:p w14:paraId="71E15206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незначительная – ресурсы восстановятся, если будут приняты соответствующие природоохранные меры;</w:t>
      </w:r>
    </w:p>
    <w:p w14:paraId="6C14AA29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значительная – значительный урон природным ресурсам, требующий интенсивных мер по снижению воздействия.</w:t>
      </w:r>
    </w:p>
    <w:p w14:paraId="6FD0DC01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2. Зон влияния:</w:t>
      </w:r>
    </w:p>
    <w:p w14:paraId="3A950EF8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локального масштаба – воздействия проявляются только в области непосредственной деятельности;</w:t>
      </w:r>
    </w:p>
    <w:p w14:paraId="036C1CA2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небольшого масштаба – в радиусе 100 м от границ производственной активности;</w:t>
      </w:r>
    </w:p>
    <w:p w14:paraId="659332D7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регионального масштаба – воздействие значительно выходит за границы активности.</w:t>
      </w:r>
    </w:p>
    <w:p w14:paraId="5B124097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3. Продолжительность воздействия:</w:t>
      </w:r>
    </w:p>
    <w:p w14:paraId="6644BC91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короткая: только в течение проводимых работ (срок проведения работ);</w:t>
      </w:r>
    </w:p>
    <w:p w14:paraId="7602ED1A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средняя: 1-3 года;</w:t>
      </w:r>
    </w:p>
    <w:p w14:paraId="694EE3E5" w14:textId="77777777" w:rsidR="00842A1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длительная: больше 3-х лет.</w:t>
      </w:r>
    </w:p>
    <w:p w14:paraId="6B84709A" w14:textId="099CE03D" w:rsidR="000145BE" w:rsidRPr="00670B17" w:rsidRDefault="00842A1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В связи с отсутствием данных, необходимых для определения рисков на здоровье населения в рамках действующих методик, риски заболевания для здоровья населения, проживающих в рассматриваемом регионе, на период проведения работ не рассчитывались.</w:t>
      </w:r>
    </w:p>
    <w:p w14:paraId="65EAE28E" w14:textId="77777777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8CD7CE" w14:textId="0A6144BF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Мероприятия по предотвращению, сокращению, смягчению выявленных воздействий намечаемой деятельности</w:t>
      </w:r>
    </w:p>
    <w:p w14:paraId="673FF398" w14:textId="5096F6C1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0B17">
        <w:rPr>
          <w:rFonts w:ascii="Times New Roman" w:hAnsi="Times New Roman" w:cs="Times New Roman"/>
          <w:i/>
          <w:iCs/>
          <w:sz w:val="24"/>
          <w:szCs w:val="24"/>
        </w:rPr>
        <w:t>Мероприятия по охране атмосферного воздуха</w:t>
      </w:r>
    </w:p>
    <w:p w14:paraId="1B70EE6E" w14:textId="4A8519C3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Учитывая то, что проведение строительных работ по реализации проектных решений, сопровождается значительными выбросами пыли в атмосферный воздух, предусмотрены </w:t>
      </w:r>
      <w:r w:rsidRPr="00670B17">
        <w:rPr>
          <w:rFonts w:ascii="Times New Roman" w:hAnsi="Times New Roman" w:cs="Times New Roman"/>
          <w:sz w:val="24"/>
          <w:szCs w:val="24"/>
        </w:rPr>
        <w:lastRenderedPageBreak/>
        <w:t>мероприятия по снижению пыления в районе расположения предприятия. На неорганизованных источниках загрязнения атмосферы предусмотрены следующие мероприятия по снижению количества поступающей в атмосферу пыли:</w:t>
      </w:r>
    </w:p>
    <w:p w14:paraId="5677AE21" w14:textId="6F3A2AE6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применение технически исправных машин и механизмов;</w:t>
      </w:r>
    </w:p>
    <w:p w14:paraId="485FFC5B" w14:textId="258CAA53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орошение открытых грунтов и разгружаемых сыпучих материалов при производстве работ (гидрообеспыливание);</w:t>
      </w:r>
    </w:p>
    <w:p w14:paraId="25611D21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укрывание грунта и сыпучих материалов при перевозке их автотранспортом.</w:t>
      </w:r>
    </w:p>
    <w:p w14:paraId="427405F0" w14:textId="47284A3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проведение работ по пылеподавлению на строительных площадках.</w:t>
      </w:r>
    </w:p>
    <w:p w14:paraId="7814AED6" w14:textId="206EF3DE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0B17">
        <w:rPr>
          <w:rFonts w:ascii="Times New Roman" w:hAnsi="Times New Roman" w:cs="Times New Roman"/>
          <w:i/>
          <w:iCs/>
          <w:sz w:val="24"/>
          <w:szCs w:val="24"/>
        </w:rPr>
        <w:t>Мероприятия по охране водных ресурсов</w:t>
      </w:r>
    </w:p>
    <w:p w14:paraId="4C84421A" w14:textId="5B8E4A96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С целью охраны подземных и поверхностных вод от загрязнения, разработаны следующие мероприятия:</w:t>
      </w:r>
    </w:p>
    <w:p w14:paraId="08E8AAC0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соблюдение режима и хозяйственного использования водоохранных зон и полос реки на указанном участке, предусмотренным постановлением;</w:t>
      </w:r>
    </w:p>
    <w:p w14:paraId="60EB5047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предусмотреть мероприятие, обеспечивающих пропуск паводковых вод;</w:t>
      </w:r>
    </w:p>
    <w:p w14:paraId="3E73AD67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при проведении строительных работ содержать территорию участка в санитарно чистом состоянии согласно нормам СэС и охраны окружающей среды – постоянно;</w:t>
      </w:r>
    </w:p>
    <w:p w14:paraId="76D01AB0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в водоохранной зоне и полосе исключить размещение и строительство складов для хранения ГСМ, ядохимикатов, пунктов технического обслуживания, мойки автомашин, свалок мусора и других объектов, отрицательно влияющих на качество поверхностных, подземных вод;</w:t>
      </w:r>
    </w:p>
    <w:p w14:paraId="289CBCB6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не допускать сброс ливневых и бытовых стоков в поверхностные водные объекты;</w:t>
      </w:r>
    </w:p>
    <w:p w14:paraId="4A4EB248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обеспечение недопустимости залповых сбросов вод на рельеф местности;</w:t>
      </w:r>
    </w:p>
    <w:p w14:paraId="481A4634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не допускать захвата земель водного фонда;</w:t>
      </w:r>
    </w:p>
    <w:p w14:paraId="33040EC2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при перевозке сыпучих (пылящих) материалов предусмотреть укрытие кузовов автомобилей тентом;</w:t>
      </w:r>
    </w:p>
    <w:p w14:paraId="3DB70876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выполнение земляных работ с организацией пылеподавления (увлажнение поверхностей);</w:t>
      </w:r>
    </w:p>
    <w:p w14:paraId="09381682" w14:textId="63E56322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17BAE">
        <w:rPr>
          <w:rFonts w:ascii="Times New Roman" w:hAnsi="Times New Roman" w:cs="Times New Roman"/>
          <w:sz w:val="24"/>
          <w:szCs w:val="24"/>
        </w:rPr>
        <w:t>рассматриваемого объекта</w:t>
      </w:r>
      <w:r w:rsidRPr="00670B17">
        <w:rPr>
          <w:rFonts w:ascii="Times New Roman" w:hAnsi="Times New Roman" w:cs="Times New Roman"/>
          <w:sz w:val="24"/>
          <w:szCs w:val="24"/>
        </w:rPr>
        <w:t xml:space="preserve"> не производится:</w:t>
      </w:r>
    </w:p>
    <w:p w14:paraId="47C43FCF" w14:textId="3E6EE1E4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размещение складов ядохимикатов, минеральных удобрений, ГСМ, мест складирования бытовых и производственных отходов</w:t>
      </w:r>
      <w:r w:rsidR="0065472E" w:rsidRPr="00670B17">
        <w:rPr>
          <w:rFonts w:ascii="Times New Roman" w:hAnsi="Times New Roman" w:cs="Times New Roman"/>
          <w:sz w:val="24"/>
          <w:szCs w:val="24"/>
        </w:rPr>
        <w:t>.</w:t>
      </w:r>
    </w:p>
    <w:p w14:paraId="102FC0C0" w14:textId="7CD04C82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0B17">
        <w:rPr>
          <w:rFonts w:ascii="Times New Roman" w:hAnsi="Times New Roman" w:cs="Times New Roman"/>
          <w:i/>
          <w:iCs/>
          <w:sz w:val="24"/>
          <w:szCs w:val="24"/>
        </w:rPr>
        <w:t>Мероприятия по обращению с отходами</w:t>
      </w:r>
    </w:p>
    <w:p w14:paraId="557D0D36" w14:textId="633E3354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Временное хранение образующихся отходов на стадии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 xml:space="preserve"> будет организовано на специально организованных площадках в зависимости от агрегатного состояния и физико-химических свойств. Предусматривается, что все отходы, образующиеся в период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>, будут перевозиться в герметичных специальных контейнерах. Это исключит возможность загрязнения окружающей среды отходами во время их транспортировки или в случае аварии транспортных средств.</w:t>
      </w:r>
    </w:p>
    <w:p w14:paraId="3970A390" w14:textId="41416666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0B17">
        <w:rPr>
          <w:rFonts w:ascii="Times New Roman" w:hAnsi="Times New Roman" w:cs="Times New Roman"/>
          <w:i/>
          <w:iCs/>
          <w:sz w:val="24"/>
          <w:szCs w:val="24"/>
        </w:rPr>
        <w:t>Мероприятия по охране почвенно-растительного покрова прилегающей территории</w:t>
      </w:r>
    </w:p>
    <w:p w14:paraId="313FA813" w14:textId="215DAE3D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Проектом разработан комплекс природоохранных мероприятий, которые будут способствовать снижению негативного воздействия </w:t>
      </w:r>
      <w:r w:rsidR="00217BAE">
        <w:rPr>
          <w:rFonts w:ascii="Times New Roman" w:hAnsi="Times New Roman" w:cs="Times New Roman"/>
          <w:sz w:val="24"/>
          <w:szCs w:val="24"/>
        </w:rPr>
        <w:t>ликвидации</w:t>
      </w:r>
      <w:r w:rsidRPr="00670B17">
        <w:rPr>
          <w:rFonts w:ascii="Times New Roman" w:hAnsi="Times New Roman" w:cs="Times New Roman"/>
          <w:sz w:val="24"/>
          <w:szCs w:val="24"/>
        </w:rPr>
        <w:t xml:space="preserve"> проектируемых объектов на </w:t>
      </w:r>
      <w:r w:rsidRPr="00670B17">
        <w:rPr>
          <w:rFonts w:ascii="Times New Roman" w:hAnsi="Times New Roman" w:cs="Times New Roman"/>
          <w:sz w:val="24"/>
          <w:szCs w:val="24"/>
        </w:rPr>
        <w:lastRenderedPageBreak/>
        <w:t>почвенно-растительный покров и обеспечат сохранение ресурсного потенциала земель и экологической ситуации в целом.</w:t>
      </w:r>
    </w:p>
    <w:p w14:paraId="721FB5CB" w14:textId="3FD2B619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Снижение негативных последствий будет обеспечиваться реализацией комплекса технических, технологических и природоохранных мероприятий, включающих:</w:t>
      </w:r>
    </w:p>
    <w:p w14:paraId="458E253B" w14:textId="11A0AA69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строгое соблюдение технологического плана работ;</w:t>
      </w:r>
    </w:p>
    <w:p w14:paraId="79372544" w14:textId="5BB64301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обеспечение герметизации емкостей и трубопроводов для предотвращения утечек углеводородного сырья;</w:t>
      </w:r>
      <w:r w:rsidR="00A67DCB" w:rsidRPr="00670B17">
        <w:rPr>
          <w:rFonts w:ascii="Times New Roman" w:hAnsi="Times New Roman" w:cs="Times New Roman"/>
          <w:sz w:val="24"/>
          <w:szCs w:val="24"/>
        </w:rPr>
        <w:t xml:space="preserve"> </w:t>
      </w:r>
      <w:r w:rsidRPr="00670B17">
        <w:rPr>
          <w:rFonts w:ascii="Times New Roman" w:hAnsi="Times New Roman" w:cs="Times New Roman"/>
          <w:sz w:val="24"/>
          <w:szCs w:val="24"/>
        </w:rPr>
        <w:t>выделение и обустройство мест для установки контейнеров для различных отходов;</w:t>
      </w:r>
    </w:p>
    <w:p w14:paraId="539DA3ED" w14:textId="7A35546D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сбор и вывоз отходов по договору сторонней организацией;</w:t>
      </w:r>
    </w:p>
    <w:p w14:paraId="61A6AF9C" w14:textId="6AF4DC58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проведение работ в границах выделенных земельных отводов;</w:t>
      </w:r>
    </w:p>
    <w:p w14:paraId="52ABDED2" w14:textId="4EB61AD2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проведение мероприятий по борьбе с чрезмерным запылением;</w:t>
      </w:r>
    </w:p>
    <w:p w14:paraId="268FEE64" w14:textId="3B2FD80F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заправка строительной техники в специально организованных местах;</w:t>
      </w:r>
    </w:p>
    <w:p w14:paraId="7AB92C78" w14:textId="35809543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своевременное проведение технического обслуживания, проверки и ремонта оборудования, строительной техники;</w:t>
      </w:r>
    </w:p>
    <w:p w14:paraId="2CEBF600" w14:textId="20EAEEB4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не допущение разброса бытового и строительного мусора по территории;</w:t>
      </w:r>
    </w:p>
    <w:p w14:paraId="734921F5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не допущение слива бытовых и хозяйственных сточных вод на почвы.</w:t>
      </w:r>
    </w:p>
    <w:p w14:paraId="57A8AA8A" w14:textId="6FD42E2E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рекультивация деградированных территорий, нарушенных и загрязненных в результате антропогенной деятельности земель: восстановление, воспроизводство и повышение плодородия почв и других полезных свойств земли, своевременное вовлечение ее в хозяйственный оборот, снятие, сохранение и использование плодородного слоя почвы при проведении работ, связанных с нарушением земель;</w:t>
      </w:r>
    </w:p>
    <w:p w14:paraId="7CA357C1" w14:textId="77777777" w:rsidR="008B104D" w:rsidRPr="00670B17" w:rsidRDefault="008B104D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- защита земель от истощения, деградации и опустынивания, негативного воздействия водной и ветровой эрозии, селей, оползней, подтопления, затопления, заболачивания, вторичного засоления, иссушения и уплотнения, загрязнения отходами, химическими, биологическими, радиоактивными и другими вредными веществами.</w:t>
      </w:r>
    </w:p>
    <w:p w14:paraId="17DBE62A" w14:textId="77777777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98DEE" w14:textId="39FC7CCB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70B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Вывод:</w:t>
      </w:r>
    </w:p>
    <w:p w14:paraId="765EF415" w14:textId="7C29EBF6" w:rsidR="000145BE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 xml:space="preserve">Экологическое состояние окружающей среды территории на этапе </w:t>
      </w:r>
      <w:r w:rsidR="00217BAE">
        <w:rPr>
          <w:rFonts w:ascii="Times New Roman" w:hAnsi="Times New Roman" w:cs="Times New Roman"/>
          <w:sz w:val="24"/>
          <w:szCs w:val="24"/>
        </w:rPr>
        <w:t>ликвидационных</w:t>
      </w:r>
      <w:r w:rsidR="006F3EE1" w:rsidRPr="00670B17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670B17">
        <w:rPr>
          <w:rFonts w:ascii="Times New Roman" w:hAnsi="Times New Roman" w:cs="Times New Roman"/>
          <w:sz w:val="24"/>
          <w:szCs w:val="24"/>
        </w:rPr>
        <w:t xml:space="preserve"> по расчетам допустимое</w:t>
      </w:r>
      <w:r w:rsidR="00217BAE">
        <w:rPr>
          <w:rFonts w:ascii="Times New Roman" w:hAnsi="Times New Roman" w:cs="Times New Roman"/>
          <w:sz w:val="24"/>
          <w:szCs w:val="24"/>
        </w:rPr>
        <w:t xml:space="preserve">, </w:t>
      </w:r>
      <w:r w:rsidRPr="00670B17">
        <w:rPr>
          <w:rFonts w:ascii="Times New Roman" w:hAnsi="Times New Roman" w:cs="Times New Roman"/>
          <w:sz w:val="24"/>
          <w:szCs w:val="24"/>
        </w:rPr>
        <w:t>в системе экспертных оценок низкого уровня, когда негативные изменения не превышают предела природной изменчивости.</w:t>
      </w:r>
    </w:p>
    <w:p w14:paraId="622B7DE3" w14:textId="6896735F" w:rsidR="008864E1" w:rsidRPr="00670B17" w:rsidRDefault="000145BE" w:rsidP="00670B17">
      <w:pPr>
        <w:spacing w:after="0" w:line="312" w:lineRule="auto"/>
        <w:ind w:left="-567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B17">
        <w:rPr>
          <w:rFonts w:ascii="Times New Roman" w:hAnsi="Times New Roman" w:cs="Times New Roman"/>
          <w:sz w:val="24"/>
          <w:szCs w:val="24"/>
        </w:rPr>
        <w:t>Регулярные наблюдения за состоянием окружающей среды, обеспечение безаварийной работы и выполнение всех предусмотренных проектом мероприятий, позволят осуществить реализацию намечаемой деятельности без значимого влияния на окружающую среду и здоровье населения.</w:t>
      </w:r>
    </w:p>
    <w:sectPr w:rsidR="008864E1" w:rsidRPr="0067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E1"/>
    <w:rsid w:val="000145BE"/>
    <w:rsid w:val="0003628C"/>
    <w:rsid w:val="00085126"/>
    <w:rsid w:val="000D2CB9"/>
    <w:rsid w:val="00217BAE"/>
    <w:rsid w:val="002A6FB7"/>
    <w:rsid w:val="003563B6"/>
    <w:rsid w:val="003677D7"/>
    <w:rsid w:val="00407200"/>
    <w:rsid w:val="004C445D"/>
    <w:rsid w:val="004E005D"/>
    <w:rsid w:val="00536C1E"/>
    <w:rsid w:val="005E4B07"/>
    <w:rsid w:val="0065472E"/>
    <w:rsid w:val="00670B17"/>
    <w:rsid w:val="006D12DA"/>
    <w:rsid w:val="006F3EE1"/>
    <w:rsid w:val="007A1DCB"/>
    <w:rsid w:val="007F310D"/>
    <w:rsid w:val="00842A1E"/>
    <w:rsid w:val="008616EA"/>
    <w:rsid w:val="008864E1"/>
    <w:rsid w:val="008B104D"/>
    <w:rsid w:val="00A16A9B"/>
    <w:rsid w:val="00A67DCB"/>
    <w:rsid w:val="00AC0274"/>
    <w:rsid w:val="00B2294E"/>
    <w:rsid w:val="00B92B59"/>
    <w:rsid w:val="00C56303"/>
    <w:rsid w:val="00C86AF0"/>
    <w:rsid w:val="00CF7C20"/>
    <w:rsid w:val="00D01BD5"/>
    <w:rsid w:val="00D12A70"/>
    <w:rsid w:val="00EA34D4"/>
    <w:rsid w:val="00EC5CE6"/>
    <w:rsid w:val="00F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22F6"/>
  <w15:chartTrackingRefBased/>
  <w15:docId w15:val="{1DBC30BA-BB06-44DC-898F-39816A12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7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472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70B17"/>
    <w:pPr>
      <w:widowControl w:val="0"/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5">
    <w:name w:val="caption"/>
    <w:aliases w:val="Table/Figure Heading,Название объекта+Таблица"/>
    <w:basedOn w:val="a"/>
    <w:next w:val="a"/>
    <w:qFormat/>
    <w:rsid w:val="00670B17"/>
    <w:pPr>
      <w:spacing w:after="0" w:line="240" w:lineRule="auto"/>
      <w:ind w:left="696" w:firstLine="72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aliases w:val="Обычный (веб)"/>
    <w:basedOn w:val="a"/>
    <w:unhideWhenUsed/>
    <w:qFormat/>
    <w:rsid w:val="00670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тчет_нормаль"/>
    <w:basedOn w:val="a"/>
    <w:link w:val="a8"/>
    <w:uiPriority w:val="1"/>
    <w:unhideWhenUsed/>
    <w:qFormat/>
    <w:rsid w:val="00670B17"/>
    <w:pPr>
      <w:spacing w:after="120"/>
    </w:pPr>
  </w:style>
  <w:style w:type="character" w:customStyle="1" w:styleId="a8">
    <w:name w:val="Основной текст Знак"/>
    <w:aliases w:val="отчет_нормаль Знак"/>
    <w:basedOn w:val="a0"/>
    <w:link w:val="a7"/>
    <w:uiPriority w:val="1"/>
    <w:qFormat/>
    <w:rsid w:val="00670B1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Ксе ния</cp:lastModifiedBy>
  <cp:revision>5</cp:revision>
  <dcterms:created xsi:type="dcterms:W3CDTF">2025-12-24T12:52:00Z</dcterms:created>
  <dcterms:modified xsi:type="dcterms:W3CDTF">2026-01-14T09:31:00Z</dcterms:modified>
</cp:coreProperties>
</file>