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E8C1" w14:textId="77777777" w:rsidR="00E27C49" w:rsidRPr="00241BF7" w:rsidRDefault="004F5009">
      <w:pPr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Краткое нетехническое резюме по намечаемой деятельности</w:t>
      </w:r>
    </w:p>
    <w:p w14:paraId="265DF142" w14:textId="77777777" w:rsidR="006D1B45" w:rsidRPr="00241BF7" w:rsidRDefault="006D1B45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Месторождение Тенге ТОО «TENGE OIL&amp;GAS» представляет собой нефтяное и газовое месторождение.</w:t>
      </w:r>
    </w:p>
    <w:p w14:paraId="7CFD2CD7" w14:textId="77777777" w:rsidR="006D1B45" w:rsidRPr="00241BF7" w:rsidRDefault="006D1B45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 xml:space="preserve">Месторождение Тенге расположено на полуострове Мангышлак, в южной пустынной части, известной под названием Южно-Мангышлакского прогиба, в 10 км к югу от месторождения Узень. В административном отношении территория месторождения входит в состав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области РК. Ближайшими населенными пунктами являются г. Жанаозен, пос. Тенге, пос. Жетыбай, пос.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Курык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и областной центр г. Актау. Связь между населенными пунктами осуществляется по автодорогам. Действует автодорога Жанаозен-Актау. Построен нефтепровод, ближайший газопровод Средняя Азия – Центр расположен восточнее площади.</w:t>
      </w:r>
    </w:p>
    <w:p w14:paraId="17AE3955" w14:textId="3678685A" w:rsidR="00E00C8C" w:rsidRPr="00241BF7" w:rsidRDefault="00E00C8C" w:rsidP="00E00C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Настоящи</w:t>
      </w:r>
      <w:r w:rsidR="00A66248">
        <w:rPr>
          <w:rFonts w:ascii="Times New Roman" w:hAnsi="Times New Roman" w:cs="Times New Roman"/>
          <w:sz w:val="24"/>
          <w:szCs w:val="24"/>
        </w:rPr>
        <w:t>е</w:t>
      </w:r>
      <w:r w:rsidRPr="00241BF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66248">
        <w:rPr>
          <w:rFonts w:ascii="Times New Roman" w:hAnsi="Times New Roman" w:cs="Times New Roman"/>
          <w:sz w:val="24"/>
          <w:szCs w:val="24"/>
        </w:rPr>
        <w:t>ы</w:t>
      </w:r>
      <w:r w:rsidRPr="00241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248">
        <w:rPr>
          <w:rFonts w:ascii="Times New Roman" w:hAnsi="Times New Roman" w:cs="Times New Roman"/>
          <w:sz w:val="24"/>
          <w:szCs w:val="24"/>
        </w:rPr>
        <w:t>РООСы</w:t>
      </w:r>
      <w:proofErr w:type="spellEnd"/>
      <w:r w:rsidR="00A66248">
        <w:rPr>
          <w:rFonts w:ascii="Times New Roman" w:hAnsi="Times New Roman" w:cs="Times New Roman"/>
          <w:sz w:val="24"/>
          <w:szCs w:val="24"/>
        </w:rPr>
        <w:t xml:space="preserve"> </w:t>
      </w:r>
      <w:r w:rsidRPr="00241BF7">
        <w:rPr>
          <w:rFonts w:ascii="Times New Roman" w:hAnsi="Times New Roman" w:cs="Times New Roman"/>
          <w:sz w:val="24"/>
          <w:szCs w:val="24"/>
        </w:rPr>
        <w:t xml:space="preserve">ТОО «TENGE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>» разработан</w:t>
      </w:r>
      <w:r w:rsidR="00A66248">
        <w:rPr>
          <w:rFonts w:ascii="Times New Roman" w:hAnsi="Times New Roman" w:cs="Times New Roman"/>
          <w:sz w:val="24"/>
          <w:szCs w:val="24"/>
        </w:rPr>
        <w:t>ы</w:t>
      </w:r>
      <w:r w:rsidRPr="00241BF7">
        <w:rPr>
          <w:rFonts w:ascii="Times New Roman" w:hAnsi="Times New Roman" w:cs="Times New Roman"/>
          <w:sz w:val="24"/>
          <w:szCs w:val="24"/>
        </w:rPr>
        <w:t xml:space="preserve"> с целью получения оператором Разрешения на воздействие в окружающую среду для объектов I категории сроком на </w:t>
      </w:r>
      <w:r w:rsidR="00A66248">
        <w:rPr>
          <w:rFonts w:ascii="Times New Roman" w:hAnsi="Times New Roman" w:cs="Times New Roman"/>
          <w:sz w:val="24"/>
          <w:szCs w:val="24"/>
        </w:rPr>
        <w:t>2026</w:t>
      </w:r>
      <w:r w:rsidRPr="00241BF7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11DA23DC" w14:textId="0FF0ECA2" w:rsidR="004F5009" w:rsidRDefault="004F5009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В документ</w:t>
      </w:r>
      <w:r w:rsidR="00A66248">
        <w:rPr>
          <w:rFonts w:ascii="Times New Roman" w:hAnsi="Times New Roman" w:cs="Times New Roman"/>
          <w:sz w:val="24"/>
          <w:szCs w:val="24"/>
        </w:rPr>
        <w:t>ах</w:t>
      </w:r>
      <w:r w:rsidRPr="00241BF7">
        <w:rPr>
          <w:rFonts w:ascii="Times New Roman" w:hAnsi="Times New Roman" w:cs="Times New Roman"/>
          <w:sz w:val="24"/>
          <w:szCs w:val="24"/>
        </w:rPr>
        <w:t xml:space="preserve"> представлены предложения </w:t>
      </w:r>
      <w:r w:rsidR="000D367C">
        <w:rPr>
          <w:rFonts w:ascii="Times New Roman" w:hAnsi="Times New Roman" w:cs="Times New Roman"/>
          <w:sz w:val="24"/>
          <w:szCs w:val="24"/>
        </w:rPr>
        <w:t>при строительств</w:t>
      </w:r>
      <w:r w:rsidR="00BE38A9">
        <w:rPr>
          <w:rFonts w:ascii="Times New Roman" w:hAnsi="Times New Roman" w:cs="Times New Roman"/>
          <w:sz w:val="24"/>
          <w:szCs w:val="24"/>
        </w:rPr>
        <w:t>е</w:t>
      </w:r>
      <w:r w:rsidR="000D367C">
        <w:rPr>
          <w:rFonts w:ascii="Times New Roman" w:hAnsi="Times New Roman" w:cs="Times New Roman"/>
          <w:sz w:val="24"/>
          <w:szCs w:val="24"/>
        </w:rPr>
        <w:t xml:space="preserve"> </w:t>
      </w:r>
      <w:r w:rsidR="00BE38A9" w:rsidRPr="00BE38A9">
        <w:rPr>
          <w:rFonts w:ascii="Times New Roman" w:hAnsi="Times New Roman" w:cs="Times New Roman"/>
          <w:sz w:val="24"/>
          <w:szCs w:val="24"/>
        </w:rPr>
        <w:t>горизонтальной добывающей скважины №18Н-06</w:t>
      </w:r>
      <w:r w:rsidR="00BE38A9" w:rsidRPr="00BE38A9">
        <w:rPr>
          <w:rFonts w:ascii="Times New Roman" w:hAnsi="Times New Roman" w:cs="Times New Roman"/>
          <w:sz w:val="24"/>
          <w:szCs w:val="24"/>
        </w:rPr>
        <w:t xml:space="preserve"> и </w:t>
      </w:r>
      <w:r w:rsidR="00BE38A9" w:rsidRPr="00BE38A9">
        <w:rPr>
          <w:rFonts w:ascii="Times New Roman" w:hAnsi="Times New Roman" w:cs="Times New Roman"/>
          <w:sz w:val="24"/>
          <w:szCs w:val="24"/>
        </w:rPr>
        <w:t>вертикальных добывающих скважин №№ 534, 535, 545, 707</w:t>
      </w:r>
      <w:r w:rsidR="00BE38A9">
        <w:rPr>
          <w:rFonts w:ascii="Times New Roman" w:hAnsi="Times New Roman" w:cs="Times New Roman"/>
          <w:sz w:val="24"/>
          <w:szCs w:val="24"/>
        </w:rPr>
        <w:t xml:space="preserve">, </w:t>
      </w:r>
      <w:r w:rsidRPr="00241BF7">
        <w:rPr>
          <w:rFonts w:ascii="Times New Roman" w:hAnsi="Times New Roman" w:cs="Times New Roman"/>
          <w:sz w:val="24"/>
          <w:szCs w:val="24"/>
        </w:rPr>
        <w:t xml:space="preserve">по нормативам допустимых выбросов загрязняющих веществ </w:t>
      </w:r>
      <w:r w:rsidR="00A662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241BF7">
        <w:rPr>
          <w:rFonts w:ascii="Times New Roman" w:hAnsi="Times New Roman" w:cs="Times New Roman"/>
          <w:sz w:val="24"/>
          <w:szCs w:val="24"/>
        </w:rPr>
        <w:t xml:space="preserve">ТОО «TENGE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Oil&amp;Gas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>» и результаты моделирования уровня загрязнения атмосферного воздуха от источников выбросов предприятия.</w:t>
      </w:r>
      <w:bookmarkStart w:id="0" w:name="_GoBack"/>
      <w:bookmarkEnd w:id="0"/>
    </w:p>
    <w:p w14:paraId="7796EDDB" w14:textId="6F594A9A" w:rsidR="00BD0B07" w:rsidRPr="00BD0B07" w:rsidRDefault="00BD0B07" w:rsidP="00BD0B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F5607" w14:textId="77777777" w:rsidR="00BD0B07" w:rsidRPr="00241BF7" w:rsidRDefault="00BD0B07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E6850" w14:textId="77777777" w:rsidR="006D1B45" w:rsidRDefault="006D1B45"/>
    <w:sectPr w:rsidR="006D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9"/>
    <w:rsid w:val="000D367C"/>
    <w:rsid w:val="00241BF7"/>
    <w:rsid w:val="004F5009"/>
    <w:rsid w:val="006D1B45"/>
    <w:rsid w:val="00A66248"/>
    <w:rsid w:val="00AE174D"/>
    <w:rsid w:val="00BD0B07"/>
    <w:rsid w:val="00BE38A9"/>
    <w:rsid w:val="00E00C8C"/>
    <w:rsid w:val="00E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CA65"/>
  <w15:chartTrackingRefBased/>
  <w15:docId w15:val="{7DFF969E-29C9-4451-B2C0-2AECAA89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2024-02-07T11:05:00Z</dcterms:created>
  <dcterms:modified xsi:type="dcterms:W3CDTF">2026-01-20T06:57:00Z</dcterms:modified>
</cp:coreProperties>
</file>