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762DB" w14:textId="77777777" w:rsidR="009F2AA9" w:rsidRPr="00980B3A" w:rsidRDefault="009F2AA9" w:rsidP="009F2AA9">
      <w:pPr>
        <w:pStyle w:val="1"/>
      </w:pPr>
      <w:bookmarkStart w:id="0" w:name="bookmark225"/>
      <w:bookmarkStart w:id="1" w:name="_Toc200708090"/>
      <w:bookmarkStart w:id="2" w:name="_Toc219971792"/>
      <w:bookmarkStart w:id="3" w:name="_Hlk201574552"/>
      <w:r w:rsidRPr="00980B3A">
        <w:t>КРАТКОЕ НЕТЕХНИЧЕСКОЕ РЕЗЮМЕ С ОБОБЩЕНИЕМ ИНФОРМАЦИИ, УКАЗАННОЙ В ПУНКТАХ 1-17 НАСТОЯЩЕГО ОТЧЕТА, В ЦЕЛЯХ ИНФОРМИРОВАНИЯ ЗАИНТЕРЕСОВАННОЙ ОБЩЕСТВЕННОСТИ В СВЯЗИ С ЕЕ УЧАСТИЕМ В ОЦЕНКЕ ВОЗДЕЙСТВИЯ НА ОКРУЖАЮЩУЮ СРЕДУ</w:t>
      </w:r>
      <w:bookmarkEnd w:id="0"/>
      <w:bookmarkEnd w:id="1"/>
      <w:bookmarkEnd w:id="2"/>
    </w:p>
    <w:bookmarkEnd w:id="3"/>
    <w:p w14:paraId="62F8708E" w14:textId="77777777" w:rsidR="009F2AA9" w:rsidRPr="00980B3A" w:rsidRDefault="009F2AA9" w:rsidP="009F2AA9">
      <w:pPr>
        <w:ind w:firstLine="720"/>
        <w:rPr>
          <w:color w:val="auto"/>
        </w:rPr>
      </w:pPr>
    </w:p>
    <w:tbl>
      <w:tblPr>
        <w:tblStyle w:val="aa"/>
        <w:tblW w:w="4737" w:type="pct"/>
        <w:jc w:val="center"/>
        <w:tblLook w:val="04A0" w:firstRow="1" w:lastRow="0" w:firstColumn="1" w:lastColumn="0" w:noHBand="0" w:noVBand="1"/>
      </w:tblPr>
      <w:tblGrid>
        <w:gridCol w:w="8853"/>
      </w:tblGrid>
      <w:tr w:rsidR="009F2AA9" w:rsidRPr="00980B3A" w14:paraId="0A53DB60" w14:textId="77777777" w:rsidTr="00725465">
        <w:trPr>
          <w:jc w:val="center"/>
        </w:trPr>
        <w:tc>
          <w:tcPr>
            <w:tcW w:w="5000" w:type="pct"/>
          </w:tcPr>
          <w:p w14:paraId="7002E14F" w14:textId="77777777" w:rsidR="009F2AA9" w:rsidRPr="00980B3A" w:rsidRDefault="009F2AA9" w:rsidP="00725465">
            <w:pPr>
              <w:pStyle w:val="ab"/>
              <w:spacing w:line="244" w:lineRule="auto"/>
              <w:jc w:val="both"/>
              <w:rPr>
                <w:bCs/>
                <w:sz w:val="24"/>
                <w:szCs w:val="24"/>
              </w:rPr>
            </w:pPr>
            <w:r w:rsidRPr="00980B3A">
              <w:rPr>
                <w:bCs/>
                <w:sz w:val="24"/>
                <w:szCs w:val="24"/>
              </w:rPr>
              <w:t xml:space="preserve">Инициатор намечаемой деятельности – ТОО «Казахалтын». </w:t>
            </w:r>
          </w:p>
          <w:p w14:paraId="398A78DA" w14:textId="77777777" w:rsidR="009F2AA9" w:rsidRPr="00980B3A" w:rsidRDefault="009F2AA9" w:rsidP="00725465">
            <w:pPr>
              <w:tabs>
                <w:tab w:val="num" w:pos="1260"/>
              </w:tabs>
              <w:suppressAutoHyphens/>
              <w:rPr>
                <w:bCs/>
              </w:rPr>
            </w:pPr>
            <w:r w:rsidRPr="00980B3A">
              <w:rPr>
                <w:bCs/>
              </w:rPr>
              <w:t>Юридический адрес Республика Казахстан, Акмолинская область, г. Степногорск, микрорайон 5, здание 6</w:t>
            </w:r>
          </w:p>
          <w:p w14:paraId="104B256E" w14:textId="77777777" w:rsidR="009F2AA9" w:rsidRPr="00980B3A" w:rsidRDefault="009F2AA9" w:rsidP="00725465">
            <w:pPr>
              <w:tabs>
                <w:tab w:val="num" w:pos="1260"/>
              </w:tabs>
              <w:suppressAutoHyphens/>
              <w:rPr>
                <w:bCs/>
              </w:rPr>
            </w:pPr>
            <w:r w:rsidRPr="00980B3A">
              <w:rPr>
                <w:bCs/>
              </w:rPr>
              <w:t>БИН 950640000810.</w:t>
            </w:r>
          </w:p>
          <w:p w14:paraId="2DE7A575" w14:textId="77777777" w:rsidR="009F2AA9" w:rsidRPr="00980B3A" w:rsidRDefault="009F2AA9" w:rsidP="00725465">
            <w:pPr>
              <w:tabs>
                <w:tab w:val="num" w:pos="1260"/>
              </w:tabs>
              <w:suppressAutoHyphens/>
              <w:rPr>
                <w:bCs/>
              </w:rPr>
            </w:pPr>
            <w:r w:rsidRPr="00980B3A">
              <w:rPr>
                <w:bCs/>
              </w:rPr>
              <w:t>Генеральный директор – Журсунбаев К.Ж.</w:t>
            </w:r>
          </w:p>
          <w:p w14:paraId="2AC351B2" w14:textId="77777777" w:rsidR="009F2AA9" w:rsidRPr="00980B3A" w:rsidRDefault="009F2AA9" w:rsidP="00725465">
            <w:pPr>
              <w:pStyle w:val="11"/>
              <w:ind w:firstLine="0"/>
              <w:rPr>
                <w:szCs w:val="24"/>
              </w:rPr>
            </w:pPr>
            <w:r w:rsidRPr="00980B3A">
              <w:rPr>
                <w:szCs w:val="24"/>
              </w:rPr>
              <w:t>Контакты +7 (71 645) 2 84 02</w:t>
            </w:r>
          </w:p>
          <w:p w14:paraId="2221EB7D" w14:textId="77777777" w:rsidR="009F2AA9" w:rsidRPr="00980B3A" w:rsidRDefault="009F2AA9" w:rsidP="00725465">
            <w:r w:rsidRPr="00980B3A">
              <w:rPr>
                <w:rFonts w:eastAsia="Times New Roman" w:cs="Times New Roman"/>
                <w:bCs/>
                <w:lang w:val="en-US"/>
              </w:rPr>
              <w:t>E</w:t>
            </w:r>
            <w:r w:rsidRPr="00980B3A">
              <w:rPr>
                <w:rFonts w:eastAsia="Times New Roman" w:cs="Times New Roman"/>
                <w:bCs/>
              </w:rPr>
              <w:t>-</w:t>
            </w:r>
            <w:r w:rsidRPr="00980B3A">
              <w:rPr>
                <w:rFonts w:eastAsia="Times New Roman" w:cs="Times New Roman"/>
                <w:bCs/>
                <w:lang w:val="en-US"/>
              </w:rPr>
              <w:t>mail</w:t>
            </w:r>
            <w:r w:rsidRPr="00980B3A">
              <w:rPr>
                <w:rFonts w:eastAsia="Times New Roman" w:cs="Times New Roman"/>
                <w:bCs/>
              </w:rPr>
              <w:t xml:space="preserve">: </w:t>
            </w:r>
            <w:r w:rsidRPr="00980B3A">
              <w:rPr>
                <w:rFonts w:eastAsia="Times New Roman"/>
                <w:lang w:val="en-US"/>
              </w:rPr>
              <w:t>kazakhaltyn</w:t>
            </w:r>
            <w:r w:rsidRPr="00980B3A">
              <w:rPr>
                <w:rFonts w:eastAsia="Times New Roman"/>
              </w:rPr>
              <w:t>@</w:t>
            </w:r>
            <w:r w:rsidRPr="00980B3A">
              <w:rPr>
                <w:rFonts w:eastAsia="Times New Roman"/>
                <w:lang w:val="en-US"/>
              </w:rPr>
              <w:t>kazakhaltyn</w:t>
            </w:r>
            <w:r w:rsidRPr="00980B3A">
              <w:rPr>
                <w:rFonts w:eastAsia="Times New Roman"/>
              </w:rPr>
              <w:t>.</w:t>
            </w:r>
            <w:r w:rsidRPr="00980B3A">
              <w:rPr>
                <w:rFonts w:eastAsia="Times New Roman"/>
                <w:lang w:val="en-US"/>
              </w:rPr>
              <w:t>kz</w:t>
            </w:r>
          </w:p>
        </w:tc>
      </w:tr>
      <w:tr w:rsidR="009F2AA9" w:rsidRPr="00980B3A" w14:paraId="54B63BAA" w14:textId="77777777" w:rsidTr="00725465">
        <w:trPr>
          <w:jc w:val="center"/>
        </w:trPr>
        <w:tc>
          <w:tcPr>
            <w:tcW w:w="5000" w:type="pct"/>
          </w:tcPr>
          <w:p w14:paraId="4E13B7DC" w14:textId="77777777" w:rsidR="009F2AA9" w:rsidRPr="00980B3A" w:rsidRDefault="009F2AA9" w:rsidP="00725465">
            <w:pPr>
              <w:rPr>
                <w:rFonts w:eastAsia="Times New Roman" w:cs="Times New Roman"/>
              </w:rPr>
            </w:pPr>
            <w:r w:rsidRPr="00980B3A">
              <w:rPr>
                <w:rFonts w:eastAsia="Times New Roman" w:cs="Times New Roman"/>
              </w:rPr>
              <w:t>Заявление о намечаемой деятельности подано в связи с корректировкой Плана горных работ по отработке запасов месторождения «Жолымбет» (далее – ПГР).</w:t>
            </w:r>
          </w:p>
          <w:p w14:paraId="65813F6C" w14:textId="77777777" w:rsidR="009F2AA9" w:rsidRPr="00980B3A" w:rsidRDefault="009F2AA9" w:rsidP="00725465">
            <w:r w:rsidRPr="00980B3A">
              <w:t>ПГР предусматривает дополнение действующей технологии подземной добычи за счёт возобновления открытых горных работ Карьера № 6 для отработки верхних горизонтов. Кроме того, календарный план подземной добычи скорректирован: срок эксплуатации продлён до 2030 года.</w:t>
            </w:r>
          </w:p>
          <w:p w14:paraId="2A6AFD89" w14:textId="77777777" w:rsidR="009F2AA9" w:rsidRPr="00980B3A" w:rsidRDefault="009F2AA9" w:rsidP="00725465">
            <w:pPr>
              <w:rPr>
                <w:rFonts w:eastAsia="Times New Roman" w:cs="Times New Roman"/>
              </w:rPr>
            </w:pPr>
            <w:r w:rsidRPr="00980B3A">
              <w:rPr>
                <w:rFonts w:eastAsia="Times New Roman" w:cs="Times New Roman"/>
              </w:rPr>
              <w:t>Применение открытого способа добычи обусловлено геолого-техническими особенностями месторождения: значительной мощностью рудных тел, их выходом на дневную поверхность, сложным внутренним строением, а также пониженной устойчивостью рудных и вмещающих пород в приповерхностной зоне.</w:t>
            </w:r>
          </w:p>
          <w:p w14:paraId="658D2870" w14:textId="77777777" w:rsidR="009F2AA9" w:rsidRPr="00980B3A" w:rsidRDefault="009F2AA9" w:rsidP="00725465">
            <w:pPr>
              <w:rPr>
                <w:rFonts w:eastAsia="Times New Roman" w:cs="Times New Roman"/>
              </w:rPr>
            </w:pPr>
            <w:r w:rsidRPr="00980B3A">
              <w:rPr>
                <w:rFonts w:eastAsia="Times New Roman" w:cs="Times New Roman"/>
              </w:rPr>
              <w:t>В соответствии с подпунктом 2.2 пункта 2 раздела 1 приложения 1 к Экологическому кодексу Республики Казахстан, к видам деятельности, подлежащим обязательному проведению процедуры оценки воздействия на окружающую среду (ОВОС), относятся карьеры и объекты открытой добычи твердых полезных ископаемых, площадь которых превышает 25 гектаров. Площадь горного отвода составляет 4,1 км² (410 гектаров), что превышает установленный порог, и, следовательно, проведение процедуры ОВОС является обязательным.</w:t>
            </w:r>
          </w:p>
          <w:p w14:paraId="73554F50" w14:textId="77777777" w:rsidR="009F2AA9" w:rsidRPr="00980B3A" w:rsidRDefault="009F2AA9" w:rsidP="00725465">
            <w:pPr>
              <w:rPr>
                <w:rFonts w:eastAsia="Times New Roman" w:cs="Times New Roman"/>
              </w:rPr>
            </w:pPr>
            <w:r w:rsidRPr="00980B3A">
              <w:rPr>
                <w:rFonts w:eastAsia="Times New Roman" w:cs="Times New Roman"/>
              </w:rPr>
              <w:t>Кроме того, в соответствии с подпунктом 2.6) пункта 2 раздела 2 приложения 1 Экологического кодекса Республики Казахстан, подземная добыча твердых полезных ископаемых относится к видам намечаемой деятельности, для которых проведение процедуры скрининга воздействия на окружающую среду является обязательным.</w:t>
            </w:r>
          </w:p>
          <w:p w14:paraId="2AD0AF38" w14:textId="77777777" w:rsidR="009F2AA9" w:rsidRPr="00980B3A" w:rsidRDefault="009F2AA9" w:rsidP="00725465">
            <w:pPr>
              <w:rPr>
                <w:rFonts w:eastAsia="Times New Roman" w:cs="Times New Roman"/>
              </w:rPr>
            </w:pPr>
            <w:r w:rsidRPr="00980B3A">
              <w:rPr>
                <w:rFonts w:eastAsia="Times New Roman" w:cs="Times New Roman"/>
              </w:rPr>
              <w:t>Также, согласно подпункту 3.1 пункта 3 раздела 1 приложения 2 Экологического кодекса Республики Казахстан, намечаемая деятельность по добыче и обогащению твердых полезных ископаемых (за исключением общераспространенных) отнесена к объектам I категории, в отношении которых проводится полная процедура оценки воздействия на окружающую среду.</w:t>
            </w:r>
          </w:p>
          <w:p w14:paraId="22DEB443" w14:textId="77777777" w:rsidR="009F2AA9" w:rsidRPr="00980B3A" w:rsidRDefault="009F2AA9" w:rsidP="00725465">
            <w:pPr>
              <w:rPr>
                <w:rFonts w:eastAsia="Times New Roman"/>
              </w:rPr>
            </w:pPr>
            <w:r w:rsidRPr="00980B3A">
              <w:rPr>
                <w:rFonts w:eastAsia="Times New Roman" w:cs="Times New Roman"/>
              </w:rPr>
              <w:t>Таким образом, планируемая деятельность по открытой и подземной добыче руды на месторождении «Жолымбет» относится к объектам I категории и подлежит обязательному проведению процедуры оценки воздействия на окружающую среду в соответствии с требованиями Экологического кодекса Республики Казахстан.</w:t>
            </w:r>
          </w:p>
        </w:tc>
      </w:tr>
      <w:tr w:rsidR="009F2AA9" w:rsidRPr="00980B3A" w14:paraId="57C59701" w14:textId="77777777" w:rsidTr="00725465">
        <w:trPr>
          <w:jc w:val="center"/>
        </w:trPr>
        <w:tc>
          <w:tcPr>
            <w:tcW w:w="5000" w:type="pct"/>
          </w:tcPr>
          <w:p w14:paraId="6E1BD3FA" w14:textId="77777777" w:rsidR="009F2AA9" w:rsidRPr="00980B3A" w:rsidRDefault="009F2AA9" w:rsidP="00725465">
            <w:pPr>
              <w:pStyle w:val="12"/>
              <w:ind w:firstLine="0"/>
              <w:rPr>
                <w:sz w:val="24"/>
                <w:szCs w:val="24"/>
              </w:rPr>
            </w:pPr>
            <w:r w:rsidRPr="00980B3A">
              <w:rPr>
                <w:rStyle w:val="a3"/>
                <w:rFonts w:eastAsia="Microsoft Sans Serif"/>
              </w:rPr>
              <w:lastRenderedPageBreak/>
              <w:t xml:space="preserve">Заявление о намечаемой деятельности подано </w:t>
            </w:r>
            <w:r w:rsidRPr="00980B3A">
              <w:rPr>
                <w:sz w:val="24"/>
                <w:szCs w:val="24"/>
              </w:rPr>
              <w:t>в связи с корректировкой Плана горных работ по разработке запасов месторождения «Жолымбет».</w:t>
            </w:r>
          </w:p>
          <w:p w14:paraId="3CA01B40" w14:textId="77777777" w:rsidR="009F2AA9" w:rsidRPr="00980B3A" w:rsidRDefault="009F2AA9" w:rsidP="00725465">
            <w:pPr>
              <w:pStyle w:val="12"/>
              <w:ind w:firstLine="0"/>
              <w:rPr>
                <w:sz w:val="24"/>
                <w:szCs w:val="24"/>
              </w:rPr>
            </w:pPr>
            <w:r w:rsidRPr="00980B3A">
              <w:rPr>
                <w:sz w:val="24"/>
                <w:szCs w:val="24"/>
              </w:rPr>
              <w:t xml:space="preserve">Ранее по Плану горных работ участка месторождения «Жолымбет», была проведена процедура оценки воздействия на окружающую среду (ОВОС). По её итогам получено положительное заключение № </w:t>
            </w:r>
            <w:r w:rsidRPr="00980B3A">
              <w:rPr>
                <w:rFonts w:ascii="Times New Roman,Bold" w:hAnsi="Times New Roman,Bold" w:cs="Times New Roman,Bold"/>
                <w:sz w:val="24"/>
                <w:szCs w:val="24"/>
              </w:rPr>
              <w:t>KZ73VVX00159619</w:t>
            </w:r>
            <w:r w:rsidRPr="00980B3A">
              <w:rPr>
                <w:sz w:val="24"/>
                <w:szCs w:val="24"/>
              </w:rPr>
              <w:t xml:space="preserve"> от 17.10.2022 г.</w:t>
            </w:r>
          </w:p>
          <w:p w14:paraId="654242C9" w14:textId="77777777" w:rsidR="009F2AA9" w:rsidRPr="00980B3A" w:rsidRDefault="009F2AA9" w:rsidP="00725465">
            <w:pPr>
              <w:rPr>
                <w:rFonts w:eastAsia="Times New Roman" w:cs="Times New Roman"/>
              </w:rPr>
            </w:pPr>
            <w:r w:rsidRPr="00980B3A">
              <w:rPr>
                <w:rFonts w:eastAsia="Times New Roman" w:cs="Times New Roman"/>
              </w:rPr>
              <w:t>Корректировка проекта обусловлена следующими изменениями:</w:t>
            </w:r>
          </w:p>
          <w:p w14:paraId="3A08FF5F" w14:textId="77777777" w:rsidR="009F2AA9" w:rsidRPr="00980B3A" w:rsidRDefault="009F2AA9" w:rsidP="009F2AA9">
            <w:pPr>
              <w:widowControl/>
              <w:numPr>
                <w:ilvl w:val="0"/>
                <w:numId w:val="11"/>
              </w:numPr>
              <w:rPr>
                <w:rFonts w:eastAsia="Times New Roman" w:cs="Times New Roman"/>
              </w:rPr>
            </w:pPr>
            <w:r w:rsidRPr="00980B3A">
              <w:rPr>
                <w:b/>
                <w:bCs/>
              </w:rPr>
              <w:t>увеличением объёмов добычи руды за счёт ввода в эксплуатацию участка открытых горных работ (карьер № 6), а также ростом добычи на подземном участке, включающим увеличение объёмов вскрыши и подземной добычи руды</w:t>
            </w:r>
            <w:r w:rsidRPr="00980B3A">
              <w:t>.</w:t>
            </w:r>
          </w:p>
          <w:p w14:paraId="0639BE00" w14:textId="77777777" w:rsidR="009F2AA9" w:rsidRPr="00980B3A" w:rsidRDefault="009F2AA9" w:rsidP="009F2AA9">
            <w:pPr>
              <w:widowControl/>
              <w:numPr>
                <w:ilvl w:val="0"/>
                <w:numId w:val="11"/>
              </w:numPr>
              <w:rPr>
                <w:rFonts w:eastAsia="Times New Roman" w:cs="Times New Roman"/>
              </w:rPr>
            </w:pPr>
            <w:r w:rsidRPr="00980B3A">
              <w:rPr>
                <w:rFonts w:eastAsia="Times New Roman" w:cs="Times New Roman"/>
                <w:b/>
                <w:bCs/>
              </w:rPr>
              <w:t>увеличением потребности в природных ресурсах, топливе и сырье</w:t>
            </w:r>
            <w:r w:rsidRPr="00980B3A">
              <w:rPr>
                <w:rFonts w:eastAsia="Times New Roman" w:cs="Times New Roman"/>
              </w:rPr>
              <w:t>, а также изменением их номенклатуры;</w:t>
            </w:r>
          </w:p>
          <w:p w14:paraId="703ABB59" w14:textId="77777777" w:rsidR="009F2AA9" w:rsidRPr="00980B3A" w:rsidRDefault="009F2AA9" w:rsidP="009F2AA9">
            <w:pPr>
              <w:widowControl/>
              <w:numPr>
                <w:ilvl w:val="0"/>
                <w:numId w:val="11"/>
              </w:numPr>
              <w:rPr>
                <w:rFonts w:eastAsia="Times New Roman" w:cs="Times New Roman"/>
              </w:rPr>
            </w:pPr>
            <w:r w:rsidRPr="00980B3A">
              <w:rPr>
                <w:rFonts w:eastAsia="Times New Roman" w:cs="Times New Roman"/>
                <w:b/>
                <w:bCs/>
              </w:rPr>
              <w:t>ростом объёмов и изменением состава выбросов загрязняющих веществ</w:t>
            </w:r>
            <w:r w:rsidRPr="00980B3A">
              <w:rPr>
                <w:rFonts w:eastAsia="Times New Roman" w:cs="Times New Roman"/>
              </w:rPr>
              <w:t>, расширением зоны их воздействия, а также увеличением количества образуемых отходов в связи с началом открытых горных работ;</w:t>
            </w:r>
          </w:p>
          <w:p w14:paraId="18322BC3" w14:textId="77777777" w:rsidR="009F2AA9" w:rsidRPr="00980B3A" w:rsidRDefault="009F2AA9" w:rsidP="009F2AA9">
            <w:pPr>
              <w:widowControl/>
              <w:numPr>
                <w:ilvl w:val="0"/>
                <w:numId w:val="11"/>
              </w:numPr>
              <w:rPr>
                <w:b/>
                <w:bCs/>
              </w:rPr>
            </w:pPr>
            <w:r w:rsidRPr="00980B3A">
              <w:rPr>
                <w:rFonts w:eastAsia="Times New Roman" w:cs="Times New Roman"/>
                <w:b/>
                <w:bCs/>
              </w:rPr>
              <w:t>дополнением действующей технологии подземной добычи возобновлением открытого способа разработки</w:t>
            </w:r>
            <w:r w:rsidRPr="00980B3A">
              <w:rPr>
                <w:rFonts w:eastAsia="Times New Roman" w:cs="Times New Roman"/>
              </w:rPr>
              <w:t xml:space="preserve"> для отработки запасов верхних горизонтов.</w:t>
            </w:r>
          </w:p>
        </w:tc>
      </w:tr>
      <w:tr w:rsidR="009F2AA9" w:rsidRPr="00980B3A" w14:paraId="5121436A" w14:textId="77777777" w:rsidTr="00725465">
        <w:trPr>
          <w:trHeight w:val="125"/>
          <w:jc w:val="center"/>
        </w:trPr>
        <w:tc>
          <w:tcPr>
            <w:tcW w:w="5000" w:type="pct"/>
          </w:tcPr>
          <w:p w14:paraId="523EDFEC" w14:textId="77777777" w:rsidR="009F2AA9" w:rsidRPr="00980B3A" w:rsidRDefault="009F2AA9" w:rsidP="00725465">
            <w:r w:rsidRPr="00980B3A">
              <w:t>Ранее в отношении указанной намечаемой деятельности по результатам проведенной процедуры скрининга воздействия на окружающую среду получено заключение № KZ32VWF00073205 от 16 августа 2022 года, согласно которому установлена необходимость обязательного проведения процедуры оценки воздействия на окружающую среду (ОВОС) в соответствии с требованиями Экологического кодекса Республики Казахстан.</w:t>
            </w:r>
          </w:p>
        </w:tc>
      </w:tr>
      <w:tr w:rsidR="009F2AA9" w:rsidRPr="00980B3A" w14:paraId="75E18691" w14:textId="77777777" w:rsidTr="00725465">
        <w:trPr>
          <w:jc w:val="center"/>
        </w:trPr>
        <w:tc>
          <w:tcPr>
            <w:tcW w:w="5000" w:type="pct"/>
          </w:tcPr>
          <w:p w14:paraId="04241BD1" w14:textId="77777777" w:rsidR="009F2AA9" w:rsidRPr="00980B3A" w:rsidRDefault="009F2AA9" w:rsidP="00725465">
            <w:pPr>
              <w:rPr>
                <w:rFonts w:eastAsia="Times New Roman" w:cs="Times New Roman"/>
                <w:bCs/>
              </w:rPr>
            </w:pPr>
            <w:r w:rsidRPr="00980B3A">
              <w:t>Месторождение Жолымбет расположено в 50 км от районного центра п.г.т. Шортанды, в 310км от областного центра г. Кокшетау, в 125 км от г. Астана, с которыми связано автомобильными дорогами.</w:t>
            </w:r>
          </w:p>
          <w:p w14:paraId="784BE063" w14:textId="77777777" w:rsidR="009F2AA9" w:rsidRPr="00980B3A" w:rsidRDefault="009F2AA9" w:rsidP="00725465">
            <w:pPr>
              <w:rPr>
                <w:rFonts w:eastAsia="Times New Roman" w:cs="Times New Roman"/>
                <w:bCs/>
              </w:rPr>
            </w:pPr>
            <w:r w:rsidRPr="00980B3A">
              <w:rPr>
                <w:rFonts w:eastAsia="Times New Roman" w:cs="Times New Roman"/>
                <w:bCs/>
              </w:rPr>
              <w:t>Участок расположен на свободной от застройки территории. Все здания и сооружения размещены в пределах границы земельного отвода. Общая площадь горного отвода 4,1 кв. км. Глубина горного отвода – по участку «Южный» 540 м, по участку «Центральный» и «Северный» 1200 м.</w:t>
            </w:r>
          </w:p>
          <w:p w14:paraId="11EC3067" w14:textId="77777777" w:rsidR="009F2AA9" w:rsidRPr="00980B3A" w:rsidRDefault="009F2AA9" w:rsidP="00725465">
            <w:r w:rsidRPr="00980B3A">
              <w:t>Координаты месторождения:</w:t>
            </w:r>
          </w:p>
          <w:p w14:paraId="2D098B67" w14:textId="77777777" w:rsidR="009F2AA9" w:rsidRPr="00980B3A" w:rsidRDefault="009F2AA9" w:rsidP="00725465">
            <w:pPr>
              <w:ind w:firstLine="786"/>
            </w:pPr>
            <w:r w:rsidRPr="00980B3A">
              <w:t>Участок южный (площадь 0,9 кв. км)</w:t>
            </w:r>
          </w:p>
          <w:p w14:paraId="6235B9CB" w14:textId="77777777" w:rsidR="009F2AA9" w:rsidRPr="00980B3A" w:rsidRDefault="009F2AA9" w:rsidP="009F2AA9">
            <w:pPr>
              <w:pStyle w:val="a5"/>
              <w:widowControl/>
              <w:numPr>
                <w:ilvl w:val="0"/>
                <w:numId w:val="3"/>
              </w:numPr>
              <w:rPr>
                <w:rFonts w:eastAsia="Times New Roman" w:cs="Times New Roman"/>
                <w:bCs/>
              </w:rPr>
            </w:pPr>
            <w:r w:rsidRPr="00980B3A">
              <w:t>51°43′12″ с. ш. 71°43′32″ в. д.</w:t>
            </w:r>
          </w:p>
          <w:p w14:paraId="4225969C" w14:textId="77777777" w:rsidR="009F2AA9" w:rsidRPr="00980B3A" w:rsidRDefault="009F2AA9" w:rsidP="009F2AA9">
            <w:pPr>
              <w:pStyle w:val="a5"/>
              <w:widowControl/>
              <w:numPr>
                <w:ilvl w:val="0"/>
                <w:numId w:val="3"/>
              </w:numPr>
              <w:rPr>
                <w:rFonts w:eastAsia="Times New Roman" w:cs="Times New Roman"/>
                <w:bCs/>
              </w:rPr>
            </w:pPr>
            <w:r w:rsidRPr="00980B3A">
              <w:t>51°43′12″ с. ш. 71°43′20″ в. д.</w:t>
            </w:r>
          </w:p>
          <w:p w14:paraId="370FADCC" w14:textId="77777777" w:rsidR="009F2AA9" w:rsidRPr="00980B3A" w:rsidRDefault="009F2AA9" w:rsidP="009F2AA9">
            <w:pPr>
              <w:pStyle w:val="a5"/>
              <w:widowControl/>
              <w:numPr>
                <w:ilvl w:val="0"/>
                <w:numId w:val="3"/>
              </w:numPr>
              <w:rPr>
                <w:rFonts w:eastAsia="Times New Roman" w:cs="Times New Roman"/>
                <w:bCs/>
              </w:rPr>
            </w:pPr>
            <w:r w:rsidRPr="00980B3A">
              <w:t>51°42′36″ с. ш. 71°42′56″ в. д.</w:t>
            </w:r>
          </w:p>
          <w:p w14:paraId="6F8B3DC1" w14:textId="77777777" w:rsidR="009F2AA9" w:rsidRPr="00980B3A" w:rsidRDefault="009F2AA9" w:rsidP="009F2AA9">
            <w:pPr>
              <w:pStyle w:val="a5"/>
              <w:widowControl/>
              <w:numPr>
                <w:ilvl w:val="0"/>
                <w:numId w:val="3"/>
              </w:numPr>
              <w:rPr>
                <w:rFonts w:eastAsia="Times New Roman" w:cs="Times New Roman"/>
                <w:bCs/>
              </w:rPr>
            </w:pPr>
            <w:r w:rsidRPr="00980B3A">
              <w:t>51°42′36″ с. ш. 71°42′19″ в. д.</w:t>
            </w:r>
          </w:p>
          <w:p w14:paraId="4BCCFC5D" w14:textId="77777777" w:rsidR="009F2AA9" w:rsidRPr="00980B3A" w:rsidRDefault="009F2AA9" w:rsidP="00725465">
            <w:pPr>
              <w:pStyle w:val="a5"/>
              <w:rPr>
                <w:rFonts w:eastAsia="Times New Roman" w:cs="Times New Roman"/>
                <w:bCs/>
              </w:rPr>
            </w:pPr>
            <w:r w:rsidRPr="00980B3A">
              <w:rPr>
                <w:rFonts w:eastAsia="Times New Roman" w:cs="Times New Roman"/>
                <w:bCs/>
              </w:rPr>
              <w:t>Участки Центральный и Северный (площадь 3,2 кв. км)</w:t>
            </w:r>
          </w:p>
          <w:p w14:paraId="11FA6151" w14:textId="77777777" w:rsidR="009F2AA9" w:rsidRPr="00980B3A" w:rsidRDefault="009F2AA9" w:rsidP="009F2AA9">
            <w:pPr>
              <w:pStyle w:val="a5"/>
              <w:widowControl/>
              <w:numPr>
                <w:ilvl w:val="0"/>
                <w:numId w:val="4"/>
              </w:numPr>
            </w:pPr>
            <w:r w:rsidRPr="00980B3A">
              <w:t>51°45′30″ с. ш. 71°43′30″ в. д</w:t>
            </w:r>
          </w:p>
          <w:p w14:paraId="4D74189F" w14:textId="77777777" w:rsidR="009F2AA9" w:rsidRPr="00980B3A" w:rsidRDefault="009F2AA9" w:rsidP="009F2AA9">
            <w:pPr>
              <w:pStyle w:val="a5"/>
              <w:widowControl/>
              <w:numPr>
                <w:ilvl w:val="0"/>
                <w:numId w:val="4"/>
              </w:numPr>
              <w:rPr>
                <w:rFonts w:eastAsia="Times New Roman" w:cs="Times New Roman"/>
                <w:bCs/>
              </w:rPr>
            </w:pPr>
            <w:r w:rsidRPr="00980B3A">
              <w:t>51°43′30″ с. ш. 71°43′57″ в. д.</w:t>
            </w:r>
          </w:p>
          <w:p w14:paraId="79E16E70" w14:textId="77777777" w:rsidR="009F2AA9" w:rsidRPr="00980B3A" w:rsidRDefault="009F2AA9" w:rsidP="009F2AA9">
            <w:pPr>
              <w:pStyle w:val="a5"/>
              <w:widowControl/>
              <w:numPr>
                <w:ilvl w:val="0"/>
                <w:numId w:val="4"/>
              </w:numPr>
              <w:rPr>
                <w:rFonts w:eastAsia="Times New Roman" w:cs="Times New Roman"/>
                <w:bCs/>
              </w:rPr>
            </w:pPr>
            <w:r w:rsidRPr="00980B3A">
              <w:t>51°44′44″ с. ш. 71°43′57″ в. д.</w:t>
            </w:r>
          </w:p>
          <w:p w14:paraId="5856C75B" w14:textId="77777777" w:rsidR="009F2AA9" w:rsidRPr="00980B3A" w:rsidRDefault="009F2AA9" w:rsidP="009F2AA9">
            <w:pPr>
              <w:pStyle w:val="a5"/>
              <w:widowControl/>
              <w:numPr>
                <w:ilvl w:val="0"/>
                <w:numId w:val="4"/>
              </w:numPr>
              <w:rPr>
                <w:rFonts w:eastAsia="Times New Roman" w:cs="Times New Roman"/>
                <w:bCs/>
              </w:rPr>
            </w:pPr>
            <w:r w:rsidRPr="00980B3A">
              <w:t>51°43′38″ с. ш. 71°44′23″ в. д.</w:t>
            </w:r>
          </w:p>
          <w:p w14:paraId="142AD3E4" w14:textId="77777777" w:rsidR="009F2AA9" w:rsidRPr="00980B3A" w:rsidRDefault="009F2AA9" w:rsidP="009F2AA9">
            <w:pPr>
              <w:pStyle w:val="a5"/>
              <w:widowControl/>
              <w:numPr>
                <w:ilvl w:val="0"/>
                <w:numId w:val="4"/>
              </w:numPr>
              <w:rPr>
                <w:rFonts w:eastAsia="Times New Roman" w:cs="Times New Roman"/>
                <w:bCs/>
              </w:rPr>
            </w:pPr>
            <w:r w:rsidRPr="00980B3A">
              <w:t>51°43′51″ с. ш. 71°43′33″ в. д.</w:t>
            </w:r>
          </w:p>
          <w:p w14:paraId="4A0F7F89" w14:textId="77777777" w:rsidR="009F2AA9" w:rsidRPr="00980B3A" w:rsidRDefault="009F2AA9" w:rsidP="009F2AA9">
            <w:pPr>
              <w:pStyle w:val="a5"/>
              <w:widowControl/>
              <w:numPr>
                <w:ilvl w:val="0"/>
                <w:numId w:val="4"/>
              </w:numPr>
              <w:rPr>
                <w:rFonts w:eastAsia="Times New Roman" w:cs="Times New Roman"/>
                <w:bCs/>
              </w:rPr>
            </w:pPr>
            <w:r w:rsidRPr="00980B3A">
              <w:t>51°43′51″ с. ш. 71°43′08″ в. д.</w:t>
            </w:r>
          </w:p>
          <w:p w14:paraId="4F9C7CF7" w14:textId="77777777" w:rsidR="009F2AA9" w:rsidRPr="00980B3A" w:rsidRDefault="009F2AA9" w:rsidP="009F2AA9">
            <w:pPr>
              <w:pStyle w:val="a5"/>
              <w:widowControl/>
              <w:numPr>
                <w:ilvl w:val="0"/>
                <w:numId w:val="4"/>
              </w:numPr>
              <w:rPr>
                <w:rFonts w:eastAsia="Times New Roman" w:cs="Times New Roman"/>
                <w:bCs/>
              </w:rPr>
            </w:pPr>
            <w:r w:rsidRPr="00980B3A">
              <w:t>51°44′55″ с. ш. 71°43′06″ в. д.</w:t>
            </w:r>
          </w:p>
          <w:p w14:paraId="4172F389" w14:textId="77777777" w:rsidR="009F2AA9" w:rsidRPr="00980B3A" w:rsidRDefault="009F2AA9" w:rsidP="009F2AA9">
            <w:pPr>
              <w:pStyle w:val="a5"/>
              <w:widowControl/>
              <w:numPr>
                <w:ilvl w:val="0"/>
                <w:numId w:val="4"/>
              </w:numPr>
              <w:rPr>
                <w:rFonts w:eastAsia="Times New Roman" w:cs="Times New Roman"/>
                <w:bCs/>
              </w:rPr>
            </w:pPr>
            <w:r w:rsidRPr="00980B3A">
              <w:t>51°44′38″ с. ш. 71°43′43″ в. д.</w:t>
            </w:r>
          </w:p>
          <w:p w14:paraId="71F5A682" w14:textId="77777777" w:rsidR="009F2AA9" w:rsidRPr="00980B3A" w:rsidRDefault="009F2AA9" w:rsidP="009F2AA9">
            <w:pPr>
              <w:pStyle w:val="a5"/>
              <w:widowControl/>
              <w:numPr>
                <w:ilvl w:val="0"/>
                <w:numId w:val="4"/>
              </w:numPr>
              <w:rPr>
                <w:rFonts w:eastAsia="Times New Roman" w:cs="Times New Roman"/>
                <w:bCs/>
              </w:rPr>
            </w:pPr>
            <w:r w:rsidRPr="00980B3A">
              <w:t>51°44′47″ с. ш. 71°42′29″ в. д.</w:t>
            </w:r>
          </w:p>
          <w:p w14:paraId="7801BDF6" w14:textId="77777777" w:rsidR="009F2AA9" w:rsidRPr="00980B3A" w:rsidRDefault="009F2AA9" w:rsidP="00725465">
            <w:r w:rsidRPr="00980B3A">
              <w:rPr>
                <w:rFonts w:eastAsia="Times New Roman" w:cs="Times New Roman"/>
                <w:bCs/>
              </w:rPr>
              <w:t xml:space="preserve">Право недропользования для добычи золотосодержащих руд месторождения Жолымбет до 2039 г. </w:t>
            </w:r>
            <w:r w:rsidRPr="00980B3A">
              <w:t xml:space="preserve"> </w:t>
            </w:r>
          </w:p>
        </w:tc>
      </w:tr>
      <w:tr w:rsidR="009F2AA9" w:rsidRPr="00980B3A" w14:paraId="4688AEDC" w14:textId="77777777" w:rsidTr="00725465">
        <w:trPr>
          <w:trHeight w:val="134"/>
          <w:jc w:val="center"/>
        </w:trPr>
        <w:tc>
          <w:tcPr>
            <w:tcW w:w="5000" w:type="pct"/>
          </w:tcPr>
          <w:p w14:paraId="67F460C9" w14:textId="77777777" w:rsidR="009F2AA9" w:rsidRPr="00980B3A" w:rsidRDefault="009F2AA9" w:rsidP="00725465">
            <w:pPr>
              <w:pStyle w:val="a7"/>
              <w:spacing w:before="0" w:beforeAutospacing="0" w:after="0" w:afterAutospacing="0"/>
              <w:jc w:val="both"/>
            </w:pPr>
            <w:bookmarkStart w:id="4" w:name="_Hlk197022000"/>
            <w:r w:rsidRPr="00980B3A">
              <w:t>Отработка месторождения «Жолымбет» осуществляется как подземным, так и открытым способами.</w:t>
            </w:r>
          </w:p>
          <w:p w14:paraId="2531DF74" w14:textId="77777777" w:rsidR="009F2AA9" w:rsidRPr="00980B3A" w:rsidRDefault="009F2AA9" w:rsidP="00725465">
            <w:pPr>
              <w:pStyle w:val="a7"/>
              <w:spacing w:before="0" w:beforeAutospacing="0" w:after="0" w:afterAutospacing="0"/>
              <w:jc w:val="both"/>
            </w:pPr>
            <w:r w:rsidRPr="00980B3A">
              <w:rPr>
                <w:rStyle w:val="a9"/>
                <w:rFonts w:eastAsia="Cambria"/>
              </w:rPr>
              <w:lastRenderedPageBreak/>
              <w:t>Календарный план горных работ (открытый способ):</w:t>
            </w:r>
          </w:p>
          <w:p w14:paraId="05563638" w14:textId="77777777" w:rsidR="009F2AA9" w:rsidRPr="00980B3A" w:rsidRDefault="009F2AA9" w:rsidP="009F2AA9">
            <w:pPr>
              <w:pStyle w:val="a7"/>
              <w:numPr>
                <w:ilvl w:val="0"/>
                <w:numId w:val="5"/>
              </w:numPr>
              <w:spacing w:before="0" w:beforeAutospacing="0" w:after="0" w:afterAutospacing="0"/>
            </w:pPr>
            <w:r w:rsidRPr="00980B3A">
              <w:rPr>
                <w:rStyle w:val="a9"/>
                <w:rFonts w:eastAsia="Cambria"/>
              </w:rPr>
              <w:t>Руда:</w:t>
            </w:r>
            <w:r w:rsidRPr="00980B3A">
              <w:br/>
              <w:t>• 2026 год — 796 259,81 тонн;</w:t>
            </w:r>
            <w:r w:rsidRPr="00980B3A">
              <w:br/>
              <w:t>• 2027 год — 852 132,62 тонн.</w:t>
            </w:r>
          </w:p>
          <w:p w14:paraId="576AA3FC" w14:textId="77777777" w:rsidR="009F2AA9" w:rsidRPr="00980B3A" w:rsidRDefault="009F2AA9" w:rsidP="009F2AA9">
            <w:pPr>
              <w:pStyle w:val="a7"/>
              <w:numPr>
                <w:ilvl w:val="0"/>
                <w:numId w:val="5"/>
              </w:numPr>
              <w:spacing w:before="0" w:beforeAutospacing="0" w:after="0" w:afterAutospacing="0"/>
            </w:pPr>
            <w:r w:rsidRPr="00980B3A">
              <w:rPr>
                <w:rStyle w:val="a9"/>
                <w:rFonts w:eastAsia="Cambria"/>
              </w:rPr>
              <w:t>Вскрыша:</w:t>
            </w:r>
            <w:r w:rsidRPr="00980B3A">
              <w:br/>
              <w:t>• 2026 год — 3 102 713,72 тонн;</w:t>
            </w:r>
            <w:r w:rsidRPr="00980B3A">
              <w:br/>
              <w:t>• 2027 год — 392 022,07 тонн.</w:t>
            </w:r>
          </w:p>
          <w:p w14:paraId="3121E9BE" w14:textId="77777777" w:rsidR="009F2AA9" w:rsidRPr="00980B3A" w:rsidRDefault="009F2AA9" w:rsidP="00725465">
            <w:pPr>
              <w:pStyle w:val="a7"/>
              <w:spacing w:before="0" w:beforeAutospacing="0" w:after="0" w:afterAutospacing="0"/>
            </w:pPr>
            <w:r w:rsidRPr="00980B3A">
              <w:rPr>
                <w:rStyle w:val="a9"/>
                <w:rFonts w:eastAsia="Cambria"/>
              </w:rPr>
              <w:t>Календарный план горных работ (подземный способ):</w:t>
            </w:r>
          </w:p>
          <w:p w14:paraId="7D10E6C7" w14:textId="77777777" w:rsidR="009F2AA9" w:rsidRPr="00980B3A" w:rsidRDefault="009F2AA9" w:rsidP="009F2AA9">
            <w:pPr>
              <w:pStyle w:val="a7"/>
              <w:numPr>
                <w:ilvl w:val="0"/>
                <w:numId w:val="6"/>
              </w:numPr>
              <w:spacing w:before="0" w:beforeAutospacing="0" w:after="0" w:afterAutospacing="0"/>
              <w:jc w:val="both"/>
            </w:pPr>
            <w:r w:rsidRPr="00980B3A">
              <w:t>2026 год — ГКР: 227 834 тонн, руда: 100 352 тонн;</w:t>
            </w:r>
          </w:p>
          <w:p w14:paraId="0C724872" w14:textId="77777777" w:rsidR="009F2AA9" w:rsidRPr="00980B3A" w:rsidRDefault="009F2AA9" w:rsidP="009F2AA9">
            <w:pPr>
              <w:pStyle w:val="a7"/>
              <w:numPr>
                <w:ilvl w:val="0"/>
                <w:numId w:val="6"/>
              </w:numPr>
              <w:spacing w:before="0" w:beforeAutospacing="0" w:after="0" w:afterAutospacing="0"/>
              <w:jc w:val="both"/>
            </w:pPr>
            <w:r w:rsidRPr="00980B3A">
              <w:t>2027 год — ГКР: 243 581 тонн, ГПР: 100 000 тонн, руда: 41 268 тонн;</w:t>
            </w:r>
          </w:p>
          <w:p w14:paraId="1752037A" w14:textId="77777777" w:rsidR="009F2AA9" w:rsidRPr="00980B3A" w:rsidRDefault="009F2AA9" w:rsidP="009F2AA9">
            <w:pPr>
              <w:pStyle w:val="a7"/>
              <w:numPr>
                <w:ilvl w:val="0"/>
                <w:numId w:val="6"/>
              </w:numPr>
              <w:spacing w:before="0" w:beforeAutospacing="0" w:after="0" w:afterAutospacing="0"/>
              <w:jc w:val="both"/>
            </w:pPr>
            <w:r w:rsidRPr="00980B3A">
              <w:t>2028 год — ГКР: 233 596 тонн, ГПР: 70 000 тонн, руда: 503 314 тонн;</w:t>
            </w:r>
          </w:p>
          <w:p w14:paraId="405C0C6D" w14:textId="77777777" w:rsidR="009F2AA9" w:rsidRPr="00980B3A" w:rsidRDefault="009F2AA9" w:rsidP="009F2AA9">
            <w:pPr>
              <w:pStyle w:val="a7"/>
              <w:numPr>
                <w:ilvl w:val="0"/>
                <w:numId w:val="6"/>
              </w:numPr>
              <w:spacing w:before="0" w:beforeAutospacing="0" w:after="0" w:afterAutospacing="0"/>
              <w:jc w:val="both"/>
            </w:pPr>
            <w:r w:rsidRPr="00980B3A">
              <w:t>2029 год — ГКР: 73 295 тонн, ГПР: 157 376 тонн, руда: 1 026 300 тонн;</w:t>
            </w:r>
          </w:p>
          <w:p w14:paraId="265598C7" w14:textId="77777777" w:rsidR="009F2AA9" w:rsidRPr="00980B3A" w:rsidRDefault="009F2AA9" w:rsidP="009F2AA9">
            <w:pPr>
              <w:pStyle w:val="a7"/>
              <w:numPr>
                <w:ilvl w:val="0"/>
                <w:numId w:val="6"/>
              </w:numPr>
              <w:spacing w:before="0" w:beforeAutospacing="0" w:after="0" w:afterAutospacing="0"/>
              <w:jc w:val="both"/>
            </w:pPr>
            <w:r w:rsidRPr="00980B3A">
              <w:t>2030 год — ГКР: 74 717 тонн, ГПР: 166 315 тонн, руда: 1 750 000 тонн.</w:t>
            </w:r>
          </w:p>
          <w:p w14:paraId="3CD2C257" w14:textId="77777777" w:rsidR="009F2AA9" w:rsidRPr="00980B3A" w:rsidRDefault="009F2AA9" w:rsidP="00725465">
            <w:pPr>
              <w:pStyle w:val="a7"/>
              <w:spacing w:before="0" w:beforeAutospacing="0" w:after="0" w:afterAutospacing="0"/>
              <w:jc w:val="both"/>
            </w:pPr>
            <w:r w:rsidRPr="00980B3A">
              <w:rPr>
                <w:rStyle w:val="a9"/>
                <w:rFonts w:eastAsia="Cambria"/>
              </w:rPr>
              <w:t>Основные производственные объекты:</w:t>
            </w:r>
          </w:p>
          <w:p w14:paraId="7C765859" w14:textId="77777777" w:rsidR="009F2AA9" w:rsidRPr="00980B3A" w:rsidRDefault="009F2AA9" w:rsidP="009F2AA9">
            <w:pPr>
              <w:pStyle w:val="a7"/>
              <w:numPr>
                <w:ilvl w:val="0"/>
                <w:numId w:val="7"/>
              </w:numPr>
              <w:spacing w:before="0" w:beforeAutospacing="0" w:after="0" w:afterAutospacing="0"/>
              <w:jc w:val="both"/>
            </w:pPr>
            <w:r w:rsidRPr="00980B3A">
              <w:rPr>
                <w:rStyle w:val="a9"/>
                <w:rFonts w:eastAsia="Cambria"/>
              </w:rPr>
              <w:t>Шахта «Жолымбет»</w:t>
            </w:r>
            <w:r w:rsidRPr="00980B3A">
              <w:t xml:space="preserve"> — подземная добыча руды с применением буровзрывных работ и самоходного оборудования.</w:t>
            </w:r>
          </w:p>
          <w:p w14:paraId="632838E1" w14:textId="77777777" w:rsidR="009F2AA9" w:rsidRPr="00980B3A" w:rsidRDefault="009F2AA9" w:rsidP="009F2AA9">
            <w:pPr>
              <w:pStyle w:val="a7"/>
              <w:numPr>
                <w:ilvl w:val="0"/>
                <w:numId w:val="7"/>
              </w:numPr>
              <w:jc w:val="both"/>
            </w:pPr>
            <w:r w:rsidRPr="00980B3A">
              <w:rPr>
                <w:rStyle w:val="a9"/>
                <w:rFonts w:eastAsia="Cambria"/>
              </w:rPr>
              <w:t>Рудоподготовительный участок</w:t>
            </w:r>
            <w:r w:rsidRPr="00980B3A">
              <w:t xml:space="preserve"> — дробление руды перед переработкой.</w:t>
            </w:r>
          </w:p>
          <w:p w14:paraId="191AF4F8" w14:textId="77777777" w:rsidR="009F2AA9" w:rsidRPr="00980B3A" w:rsidRDefault="009F2AA9" w:rsidP="009F2AA9">
            <w:pPr>
              <w:pStyle w:val="a7"/>
              <w:numPr>
                <w:ilvl w:val="0"/>
                <w:numId w:val="7"/>
              </w:numPr>
              <w:jc w:val="both"/>
            </w:pPr>
            <w:r w:rsidRPr="00980B3A">
              <w:rPr>
                <w:rStyle w:val="a9"/>
                <w:rFonts w:eastAsia="Cambria"/>
              </w:rPr>
              <w:t>Карьер № 6</w:t>
            </w:r>
            <w:r w:rsidRPr="00980B3A">
              <w:t xml:space="preserve"> — возобновление горных работ для доработки запасов верхних горизонтов.</w:t>
            </w:r>
          </w:p>
          <w:p w14:paraId="3A3490C8" w14:textId="77777777" w:rsidR="009F2AA9" w:rsidRPr="00980B3A" w:rsidRDefault="009F2AA9" w:rsidP="009F2AA9">
            <w:pPr>
              <w:pStyle w:val="a7"/>
              <w:numPr>
                <w:ilvl w:val="0"/>
                <w:numId w:val="7"/>
              </w:numPr>
              <w:jc w:val="both"/>
            </w:pPr>
            <w:r w:rsidRPr="00980B3A">
              <w:rPr>
                <w:rStyle w:val="a9"/>
                <w:rFonts w:eastAsia="Cambria"/>
              </w:rPr>
              <w:t>Хвостохранилище</w:t>
            </w:r>
            <w:r w:rsidRPr="00980B3A">
              <w:t xml:space="preserve"> — предназначено для размещения обезвоженных отходов переработки; вода после отстаивания возвращается в оборотную систему. Хвостохранилище гидротехническое сооружение для приема и безопасного складирования хвостов обогащения.</w:t>
            </w:r>
          </w:p>
          <w:p w14:paraId="0DA31576" w14:textId="77777777" w:rsidR="009F2AA9" w:rsidRPr="00980B3A" w:rsidRDefault="009F2AA9" w:rsidP="009F2AA9">
            <w:pPr>
              <w:pStyle w:val="a7"/>
              <w:numPr>
                <w:ilvl w:val="0"/>
                <w:numId w:val="7"/>
              </w:numPr>
              <w:jc w:val="both"/>
            </w:pPr>
            <w:r w:rsidRPr="00980B3A">
              <w:rPr>
                <w:rStyle w:val="a9"/>
                <w:rFonts w:eastAsia="Cambria"/>
              </w:rPr>
              <w:t>Энергетический и водохозяйственный участки</w:t>
            </w:r>
            <w:r w:rsidRPr="00980B3A">
              <w:t xml:space="preserve"> — электроснабжение обеспечивается от линии ЛЭП 35 кВ; водоснабжение осуществляется из подземных источников и системы оборотного водоснабжения.</w:t>
            </w:r>
          </w:p>
          <w:p w14:paraId="447B0A50" w14:textId="77777777" w:rsidR="009F2AA9" w:rsidRPr="00980B3A" w:rsidRDefault="009F2AA9" w:rsidP="009F2AA9">
            <w:pPr>
              <w:pStyle w:val="a7"/>
              <w:numPr>
                <w:ilvl w:val="0"/>
                <w:numId w:val="7"/>
              </w:numPr>
              <w:spacing w:before="0" w:beforeAutospacing="0" w:after="0" w:afterAutospacing="0"/>
              <w:jc w:val="both"/>
            </w:pPr>
            <w:r w:rsidRPr="00980B3A">
              <w:rPr>
                <w:rStyle w:val="a9"/>
                <w:rFonts w:eastAsia="Cambria"/>
              </w:rPr>
              <w:t>Хозяйственно-бытовой сектор</w:t>
            </w:r>
            <w:r w:rsidRPr="00980B3A">
              <w:t xml:space="preserve"> — включает административно-бытовой комбинат, гаражи и ремонтные мастерские. Питьевая вода доставляется привозным способом.</w:t>
            </w:r>
          </w:p>
          <w:p w14:paraId="3F476C9D" w14:textId="77777777" w:rsidR="009F2AA9" w:rsidRPr="00980B3A" w:rsidRDefault="009F2AA9" w:rsidP="00725465">
            <w:pPr>
              <w:pStyle w:val="a7"/>
              <w:spacing w:before="0" w:beforeAutospacing="0" w:after="0" w:afterAutospacing="0"/>
              <w:jc w:val="both"/>
            </w:pPr>
            <w:r w:rsidRPr="00980B3A">
              <w:t xml:space="preserve">Производственные сточные воды отсутствуют. Хозяйственно-бытовые сточные воды поступают на очистные сооружения ГОК «Жолымбет», далее очищенные сточные воды поступают в хвостохранилище с последующем использованием на технологические нужды золотоизвлекательной фабрики (далее - ЗИФ) в системе оборотного водоснабжения. </w:t>
            </w:r>
          </w:p>
          <w:p w14:paraId="321E9CCD" w14:textId="77777777" w:rsidR="009F2AA9" w:rsidRPr="00980B3A" w:rsidRDefault="009F2AA9" w:rsidP="00725465">
            <w:pPr>
              <w:pStyle w:val="a7"/>
              <w:spacing w:before="0" w:beforeAutospacing="0" w:after="0" w:afterAutospacing="0"/>
              <w:jc w:val="both"/>
            </w:pPr>
            <w:r w:rsidRPr="00980B3A">
              <w:t>Отходы производства и потребления временно складируются на специализированных площадках с последующей передачей лицензированным организациям.</w:t>
            </w:r>
          </w:p>
          <w:p w14:paraId="5B722F2D" w14:textId="77777777" w:rsidR="009F2AA9" w:rsidRPr="00980B3A" w:rsidRDefault="009F2AA9" w:rsidP="00725465">
            <w:pPr>
              <w:pStyle w:val="a7"/>
              <w:spacing w:before="0" w:beforeAutospacing="0" w:after="0" w:afterAutospacing="0"/>
              <w:jc w:val="both"/>
            </w:pPr>
            <w:r w:rsidRPr="00980B3A">
              <w:t>Проектом предусмотрены мероприятия по рекультивации нарушенных земель, охране атмосферного воздуха и контролю качества природных компонентов в зоне влияния рудника.</w:t>
            </w:r>
          </w:p>
        </w:tc>
      </w:tr>
      <w:bookmarkEnd w:id="4"/>
      <w:tr w:rsidR="009F2AA9" w:rsidRPr="00980B3A" w14:paraId="7E2F233A" w14:textId="77777777" w:rsidTr="00725465">
        <w:trPr>
          <w:jc w:val="center"/>
        </w:trPr>
        <w:tc>
          <w:tcPr>
            <w:tcW w:w="5000" w:type="pct"/>
          </w:tcPr>
          <w:p w14:paraId="04A8FBC7" w14:textId="77777777" w:rsidR="009F2AA9" w:rsidRPr="00980B3A" w:rsidRDefault="009F2AA9" w:rsidP="00725465">
            <w:pPr>
              <w:rPr>
                <w:rFonts w:eastAsia="Times New Roman" w:cs="Times New Roman"/>
              </w:rPr>
            </w:pPr>
            <w:r w:rsidRPr="00980B3A">
              <w:rPr>
                <w:rFonts w:eastAsia="Times New Roman" w:cs="Times New Roman"/>
              </w:rPr>
              <w:lastRenderedPageBreak/>
              <w:t>Намечаемая деятельность предусматривает продолжение эксплуатации рудника «Жолымбет» с применением подземного способа добычи, а также возобновление открытых горных работ на карьере № 6 для отработки запасов верхних горизонтов. Реализация проекта направлена на поддержание и увеличение объёмов добычи руды, а также продление срока эксплуатации месторождения.</w:t>
            </w:r>
          </w:p>
          <w:p w14:paraId="61CFAA34" w14:textId="77777777" w:rsidR="009F2AA9" w:rsidRPr="00980B3A" w:rsidRDefault="009F2AA9" w:rsidP="00725465">
            <w:pPr>
              <w:rPr>
                <w:rFonts w:eastAsia="Times New Roman" w:cs="Times New Roman"/>
                <w:b/>
                <w:bCs/>
              </w:rPr>
            </w:pPr>
            <w:r w:rsidRPr="00980B3A">
              <w:rPr>
                <w:rFonts w:eastAsia="Times New Roman" w:cs="Times New Roman"/>
                <w:b/>
                <w:bCs/>
              </w:rPr>
              <w:t>Горные работы</w:t>
            </w:r>
          </w:p>
          <w:p w14:paraId="76C16D78" w14:textId="77777777" w:rsidR="009F2AA9" w:rsidRPr="00980B3A" w:rsidRDefault="009F2AA9" w:rsidP="00725465">
            <w:pPr>
              <w:rPr>
                <w:rFonts w:eastAsia="Times New Roman" w:cs="Times New Roman"/>
              </w:rPr>
            </w:pPr>
            <w:r w:rsidRPr="00980B3A">
              <w:rPr>
                <w:rFonts w:eastAsia="Times New Roman" w:cs="Times New Roman"/>
              </w:rPr>
              <w:t>Основным методом добычи является подземный способ. Разработка рудных тел осуществляется буровзрывным методом с применением современного самоходного оборудования для доставки, погрузки и транспортировки руды. Проветривание горных выработок обеспечивается системой стволов с вентиляторами главного проветривания, что поддерживает безопасные условия труда и снижает концентрацию пыли и вредных газов в воздухе.</w:t>
            </w:r>
          </w:p>
          <w:p w14:paraId="759199F7" w14:textId="77777777" w:rsidR="009F2AA9" w:rsidRPr="00980B3A" w:rsidRDefault="009F2AA9" w:rsidP="00725465">
            <w:pPr>
              <w:rPr>
                <w:rFonts w:eastAsia="Times New Roman" w:cs="Times New Roman"/>
              </w:rPr>
            </w:pPr>
            <w:r w:rsidRPr="00980B3A">
              <w:rPr>
                <w:rFonts w:eastAsia="Times New Roman" w:cs="Times New Roman"/>
              </w:rPr>
              <w:lastRenderedPageBreak/>
              <w:t>Параллельно планируется возобновление работ на существующем карьере № 6 для отработки верхних горизонтов. Добыча будет вестись экскаваторно-автомобильным способом с применением буровзрывных работ. После завершения выемки запасов открытые горные работы будут поэтапно прекращаться, а нарушенные земли — рекультивироваться с восстановлением рельефа и почвенного покрова.</w:t>
            </w:r>
          </w:p>
          <w:p w14:paraId="6DCC7EDB" w14:textId="77777777" w:rsidR="009F2AA9" w:rsidRPr="00980B3A" w:rsidRDefault="009F2AA9" w:rsidP="00725465">
            <w:pPr>
              <w:rPr>
                <w:rFonts w:eastAsia="Times New Roman" w:cs="Times New Roman"/>
                <w:b/>
                <w:bCs/>
              </w:rPr>
            </w:pPr>
            <w:r w:rsidRPr="00980B3A">
              <w:rPr>
                <w:rFonts w:eastAsia="Times New Roman" w:cs="Times New Roman"/>
                <w:b/>
                <w:bCs/>
              </w:rPr>
              <w:t>Переработка руды</w:t>
            </w:r>
          </w:p>
          <w:p w14:paraId="592B8793" w14:textId="77777777" w:rsidR="009F2AA9" w:rsidRPr="00980B3A" w:rsidRDefault="009F2AA9" w:rsidP="00725465">
            <w:pPr>
              <w:rPr>
                <w:rFonts w:eastAsia="Times New Roman" w:cs="Times New Roman"/>
              </w:rPr>
            </w:pPr>
            <w:r w:rsidRPr="00980B3A">
              <w:rPr>
                <w:rFonts w:eastAsia="Times New Roman" w:cs="Times New Roman"/>
              </w:rPr>
              <w:t>Добытая руда с шахты и карьера будет направляться на действующую ЗИФ ТОО «Казахалтын Technology». Технологический процесс включает дробление и измельчение руды, гравитационное и флотационное обогащение, сорбцию золота на активированном угле, последующую десорбцию и электролиз для получения сплава Доре. Производственный цикл построен по принципу замкнутого водооборота, что позволяет минимизировать водопотребление и снизить нагрузку на окружающую среду.</w:t>
            </w:r>
          </w:p>
          <w:p w14:paraId="75FD0185" w14:textId="77777777" w:rsidR="009F2AA9" w:rsidRPr="00980B3A" w:rsidRDefault="009F2AA9" w:rsidP="00725465">
            <w:pPr>
              <w:rPr>
                <w:rFonts w:eastAsia="Times New Roman" w:cs="Times New Roman"/>
                <w:b/>
                <w:bCs/>
              </w:rPr>
            </w:pPr>
            <w:r w:rsidRPr="00980B3A">
              <w:rPr>
                <w:rFonts w:eastAsia="Times New Roman" w:cs="Times New Roman"/>
                <w:b/>
                <w:bCs/>
              </w:rPr>
              <w:t>Водоснабжение и водоотведение</w:t>
            </w:r>
          </w:p>
          <w:p w14:paraId="06303378" w14:textId="77777777" w:rsidR="009F2AA9" w:rsidRPr="00980B3A" w:rsidRDefault="009F2AA9" w:rsidP="00725465">
            <w:pPr>
              <w:pStyle w:val="a7"/>
              <w:spacing w:before="0" w:beforeAutospacing="0" w:after="0" w:afterAutospacing="0"/>
              <w:jc w:val="both"/>
            </w:pPr>
            <w:r w:rsidRPr="00980B3A">
              <w:t xml:space="preserve">Производственные процессы обеспечиваются технической водой, которая циркулирует в системе оборотного водоснабжения. Хозяйственно-бытовые сточные воды проходят очистку на очистных сооружениях ГОК «Жолымбет» и затем сбрасываются в хвостохранилище, откуда вновь поступают в оборотную систему водоснабжения ЗИФ. </w:t>
            </w:r>
          </w:p>
          <w:p w14:paraId="023348A8" w14:textId="77777777" w:rsidR="009F2AA9" w:rsidRPr="00980B3A" w:rsidRDefault="009F2AA9" w:rsidP="00725465">
            <w:pPr>
              <w:pStyle w:val="a7"/>
              <w:spacing w:before="0" w:beforeAutospacing="0" w:after="0" w:afterAutospacing="0"/>
            </w:pPr>
            <w:r w:rsidRPr="00980B3A">
              <w:rPr>
                <w:b/>
                <w:bCs/>
              </w:rPr>
              <w:t xml:space="preserve">Энергоснабжение. </w:t>
            </w:r>
            <w:r w:rsidRPr="00980B3A">
              <w:t>Электроснабжение предприятия осуществляется от существующих линий электропередачи среднего напряжения. Для обеспечения бесперебойной работы технологического оборудования предусмотрены резервные источники питания на базе дизель-генераторных установок.</w:t>
            </w:r>
          </w:p>
          <w:p w14:paraId="04770224" w14:textId="77777777" w:rsidR="009F2AA9" w:rsidRPr="00980B3A" w:rsidRDefault="009F2AA9" w:rsidP="00725465">
            <w:pPr>
              <w:rPr>
                <w:rFonts w:eastAsia="Times New Roman" w:cs="Times New Roman"/>
                <w:b/>
                <w:bCs/>
              </w:rPr>
            </w:pPr>
            <w:r w:rsidRPr="00980B3A">
              <w:rPr>
                <w:rFonts w:eastAsia="Times New Roman" w:cs="Times New Roman"/>
                <w:b/>
                <w:bCs/>
              </w:rPr>
              <w:t xml:space="preserve">Отходы и охрана окружающей среды. </w:t>
            </w:r>
            <w:r w:rsidRPr="00980B3A">
              <w:rPr>
                <w:rFonts w:eastAsia="Times New Roman" w:cs="Times New Roman"/>
              </w:rPr>
              <w:t>Производственные и бытовые отходы временно складируются на специально оборудованных площадках, исключающих загрязнение почвы и вод, после чего передаются специализированным организациям, имеющим лицензии на обращение с отходами. Складирование вскрышных пород будет осуществляться во внешний отвал. Часть вскрышных пород будет использована на производственные нужды: отсыпку дорог, промышленных площадок и т. п.</w:t>
            </w:r>
          </w:p>
          <w:p w14:paraId="6499DFE4" w14:textId="77777777" w:rsidR="009F2AA9" w:rsidRPr="00980B3A" w:rsidRDefault="009F2AA9" w:rsidP="00725465">
            <w:pPr>
              <w:rPr>
                <w:lang w:val="kk-KZ"/>
              </w:rPr>
            </w:pPr>
            <w:r w:rsidRPr="00980B3A">
              <w:rPr>
                <w:rFonts w:eastAsia="Times New Roman" w:cs="Times New Roman"/>
              </w:rPr>
              <w:t>В рамках проекта предусмотрен комплекс природоохранных мероприятий: пылеподавление на рабочих площадках и дорогах, снижение шумового воздействия техники, рекультивация нарушенных земель, регулярный контроль за состоянием атмосферного воздуха, поверхностных и подземных вод, а также почв. Планируется проведение производственного экологического мониторинга на всех этапах эксплуатации предприятия.</w:t>
            </w:r>
          </w:p>
        </w:tc>
      </w:tr>
      <w:tr w:rsidR="009F2AA9" w:rsidRPr="00980B3A" w14:paraId="286E27DD" w14:textId="77777777" w:rsidTr="00725465">
        <w:trPr>
          <w:jc w:val="center"/>
        </w:trPr>
        <w:tc>
          <w:tcPr>
            <w:tcW w:w="5000" w:type="pct"/>
          </w:tcPr>
          <w:p w14:paraId="71677130" w14:textId="77777777" w:rsidR="009F2AA9" w:rsidRPr="00980B3A" w:rsidRDefault="009F2AA9" w:rsidP="00725465">
            <w:pPr>
              <w:overflowPunct w:val="0"/>
            </w:pPr>
            <w:r w:rsidRPr="00980B3A">
              <w:lastRenderedPageBreak/>
              <w:t>Начала 2026 год, завершение 2030 год</w:t>
            </w:r>
            <w:r w:rsidRPr="00980B3A">
              <w:rPr>
                <w:rFonts w:eastAsia="Times New Roman" w:cs="Times New Roman"/>
                <w:lang w:eastAsia="zh-CN"/>
              </w:rPr>
              <w:t>.</w:t>
            </w:r>
          </w:p>
        </w:tc>
      </w:tr>
      <w:tr w:rsidR="009F2AA9" w:rsidRPr="00980B3A" w14:paraId="0BD1BC68" w14:textId="77777777" w:rsidTr="00725465">
        <w:trPr>
          <w:jc w:val="center"/>
        </w:trPr>
        <w:tc>
          <w:tcPr>
            <w:tcW w:w="5000" w:type="pct"/>
          </w:tcPr>
          <w:p w14:paraId="24FC12A4" w14:textId="77777777" w:rsidR="009F2AA9" w:rsidRPr="00980B3A" w:rsidRDefault="009F2AA9" w:rsidP="00725465">
            <w:pPr>
              <w:rPr>
                <w:rFonts w:eastAsia="Times New Roman" w:cs="Times New Roman"/>
                <w:bCs/>
              </w:rPr>
            </w:pPr>
            <w:r w:rsidRPr="00980B3A">
              <w:t>Месторождение Жолымбет расположено в 50 км от районного центра п.г.т. Шортанды, в 310км от областного центра г. Кокшетау, в 125 км от г. Астана, с которыми связано автомобильными дорогами</w:t>
            </w:r>
          </w:p>
          <w:p w14:paraId="7563F0BF" w14:textId="77777777" w:rsidR="009F2AA9" w:rsidRPr="00980B3A" w:rsidRDefault="009F2AA9" w:rsidP="00725465">
            <w:pPr>
              <w:rPr>
                <w:rFonts w:eastAsia="Times New Roman" w:cs="Times New Roman"/>
                <w:bCs/>
              </w:rPr>
            </w:pPr>
            <w:r w:rsidRPr="00980B3A">
              <w:rPr>
                <w:rFonts w:eastAsia="Times New Roman" w:cs="Times New Roman"/>
                <w:bCs/>
              </w:rPr>
              <w:t>Участок расположен на свободной от застройки территории. Все здания и сооружения размещены в пределах границы земельного отвода. Общая площадь горного отвода 4,1 кв. км. Глубина горного отвода – по участку «Южный» 540 м, по участку «Центральный» и «Северный» 1200 м.</w:t>
            </w:r>
          </w:p>
          <w:p w14:paraId="1617C10E" w14:textId="77777777" w:rsidR="009F2AA9" w:rsidRPr="00980B3A" w:rsidRDefault="009F2AA9" w:rsidP="00725465">
            <w:r w:rsidRPr="00980B3A">
              <w:t>Координаты месторождения:</w:t>
            </w:r>
          </w:p>
          <w:p w14:paraId="2855FEB1" w14:textId="77777777" w:rsidR="009F2AA9" w:rsidRPr="00980B3A" w:rsidRDefault="009F2AA9" w:rsidP="00725465">
            <w:pPr>
              <w:ind w:firstLine="786"/>
            </w:pPr>
            <w:r w:rsidRPr="00980B3A">
              <w:t>Участок южный (площадь 0,9 кв. км)</w:t>
            </w:r>
          </w:p>
          <w:p w14:paraId="0618A685" w14:textId="77777777" w:rsidR="009F2AA9" w:rsidRPr="00980B3A" w:rsidRDefault="009F2AA9" w:rsidP="009F2AA9">
            <w:pPr>
              <w:pStyle w:val="a5"/>
              <w:widowControl/>
              <w:numPr>
                <w:ilvl w:val="0"/>
                <w:numId w:val="3"/>
              </w:numPr>
              <w:rPr>
                <w:rFonts w:eastAsia="Times New Roman" w:cs="Times New Roman"/>
                <w:bCs/>
              </w:rPr>
            </w:pPr>
            <w:r w:rsidRPr="00980B3A">
              <w:t>51°43′12″ с. ш. 71°43′32″ в. д.</w:t>
            </w:r>
          </w:p>
          <w:p w14:paraId="7AB8E41A" w14:textId="77777777" w:rsidR="009F2AA9" w:rsidRPr="00980B3A" w:rsidRDefault="009F2AA9" w:rsidP="009F2AA9">
            <w:pPr>
              <w:pStyle w:val="a5"/>
              <w:widowControl/>
              <w:numPr>
                <w:ilvl w:val="0"/>
                <w:numId w:val="3"/>
              </w:numPr>
              <w:rPr>
                <w:rFonts w:eastAsia="Times New Roman" w:cs="Times New Roman"/>
                <w:bCs/>
              </w:rPr>
            </w:pPr>
            <w:r w:rsidRPr="00980B3A">
              <w:t>51°43′12″ с. ш. 71°43′20″ в. д.</w:t>
            </w:r>
          </w:p>
          <w:p w14:paraId="2213A498" w14:textId="77777777" w:rsidR="009F2AA9" w:rsidRPr="00980B3A" w:rsidRDefault="009F2AA9" w:rsidP="009F2AA9">
            <w:pPr>
              <w:pStyle w:val="a5"/>
              <w:widowControl/>
              <w:numPr>
                <w:ilvl w:val="0"/>
                <w:numId w:val="3"/>
              </w:numPr>
              <w:rPr>
                <w:rFonts w:eastAsia="Times New Roman" w:cs="Times New Roman"/>
                <w:bCs/>
              </w:rPr>
            </w:pPr>
            <w:r w:rsidRPr="00980B3A">
              <w:t>51°42′36″ с. ш. 71°42′56″ в. д.</w:t>
            </w:r>
          </w:p>
          <w:p w14:paraId="669E2B77" w14:textId="77777777" w:rsidR="009F2AA9" w:rsidRPr="00980B3A" w:rsidRDefault="009F2AA9" w:rsidP="009F2AA9">
            <w:pPr>
              <w:pStyle w:val="a5"/>
              <w:widowControl/>
              <w:numPr>
                <w:ilvl w:val="0"/>
                <w:numId w:val="3"/>
              </w:numPr>
              <w:rPr>
                <w:rFonts w:eastAsia="Times New Roman" w:cs="Times New Roman"/>
                <w:bCs/>
              </w:rPr>
            </w:pPr>
            <w:r w:rsidRPr="00980B3A">
              <w:t>51°42′36″ с. ш. 71°42′19″ в. д.</w:t>
            </w:r>
          </w:p>
          <w:p w14:paraId="5CF662AC" w14:textId="77777777" w:rsidR="009F2AA9" w:rsidRPr="00980B3A" w:rsidRDefault="009F2AA9" w:rsidP="00725465">
            <w:pPr>
              <w:pStyle w:val="a5"/>
              <w:rPr>
                <w:rFonts w:eastAsia="Times New Roman" w:cs="Times New Roman"/>
                <w:bCs/>
              </w:rPr>
            </w:pPr>
            <w:r w:rsidRPr="00980B3A">
              <w:rPr>
                <w:rFonts w:eastAsia="Times New Roman" w:cs="Times New Roman"/>
                <w:bCs/>
              </w:rPr>
              <w:t>Участки Центральный и Северный (площадь 3,2 кв. км)</w:t>
            </w:r>
          </w:p>
          <w:p w14:paraId="733456A5" w14:textId="77777777" w:rsidR="009F2AA9" w:rsidRPr="00980B3A" w:rsidRDefault="009F2AA9" w:rsidP="009F2AA9">
            <w:pPr>
              <w:pStyle w:val="a5"/>
              <w:widowControl/>
              <w:numPr>
                <w:ilvl w:val="0"/>
                <w:numId w:val="4"/>
              </w:numPr>
            </w:pPr>
            <w:r w:rsidRPr="00980B3A">
              <w:t>51°45′30″ с. ш. 71°43′30″ в. д</w:t>
            </w:r>
          </w:p>
          <w:p w14:paraId="39ECE2F1" w14:textId="77777777" w:rsidR="009F2AA9" w:rsidRPr="00980B3A" w:rsidRDefault="009F2AA9" w:rsidP="009F2AA9">
            <w:pPr>
              <w:pStyle w:val="a5"/>
              <w:widowControl/>
              <w:numPr>
                <w:ilvl w:val="0"/>
                <w:numId w:val="4"/>
              </w:numPr>
              <w:rPr>
                <w:rFonts w:eastAsia="Times New Roman" w:cs="Times New Roman"/>
                <w:bCs/>
              </w:rPr>
            </w:pPr>
            <w:r w:rsidRPr="00980B3A">
              <w:lastRenderedPageBreak/>
              <w:t>51°43′30″ с. ш. 71°43′57″ в. д.</w:t>
            </w:r>
          </w:p>
          <w:p w14:paraId="4FCAF9B6" w14:textId="77777777" w:rsidR="009F2AA9" w:rsidRPr="00980B3A" w:rsidRDefault="009F2AA9" w:rsidP="009F2AA9">
            <w:pPr>
              <w:pStyle w:val="a5"/>
              <w:widowControl/>
              <w:numPr>
                <w:ilvl w:val="0"/>
                <w:numId w:val="4"/>
              </w:numPr>
              <w:rPr>
                <w:rFonts w:eastAsia="Times New Roman" w:cs="Times New Roman"/>
                <w:bCs/>
              </w:rPr>
            </w:pPr>
            <w:r w:rsidRPr="00980B3A">
              <w:t>51°44′44″ с. ш. 71°43′57″ в. д.</w:t>
            </w:r>
          </w:p>
          <w:p w14:paraId="38DAA3DE" w14:textId="77777777" w:rsidR="009F2AA9" w:rsidRPr="00980B3A" w:rsidRDefault="009F2AA9" w:rsidP="009F2AA9">
            <w:pPr>
              <w:pStyle w:val="a5"/>
              <w:widowControl/>
              <w:numPr>
                <w:ilvl w:val="0"/>
                <w:numId w:val="4"/>
              </w:numPr>
              <w:rPr>
                <w:rFonts w:eastAsia="Times New Roman" w:cs="Times New Roman"/>
                <w:bCs/>
              </w:rPr>
            </w:pPr>
            <w:r w:rsidRPr="00980B3A">
              <w:t>51°43′38″ с. ш. 71°44′23″ в. д.</w:t>
            </w:r>
          </w:p>
          <w:p w14:paraId="36CD52F1" w14:textId="77777777" w:rsidR="009F2AA9" w:rsidRPr="00980B3A" w:rsidRDefault="009F2AA9" w:rsidP="009F2AA9">
            <w:pPr>
              <w:pStyle w:val="a5"/>
              <w:widowControl/>
              <w:numPr>
                <w:ilvl w:val="0"/>
                <w:numId w:val="4"/>
              </w:numPr>
              <w:rPr>
                <w:rFonts w:eastAsia="Times New Roman" w:cs="Times New Roman"/>
                <w:bCs/>
              </w:rPr>
            </w:pPr>
            <w:r w:rsidRPr="00980B3A">
              <w:t>51°43′51″ с. ш. 71°43′33″ в. д.</w:t>
            </w:r>
          </w:p>
          <w:p w14:paraId="7DF3B27A" w14:textId="77777777" w:rsidR="009F2AA9" w:rsidRPr="00980B3A" w:rsidRDefault="009F2AA9" w:rsidP="009F2AA9">
            <w:pPr>
              <w:pStyle w:val="a5"/>
              <w:widowControl/>
              <w:numPr>
                <w:ilvl w:val="0"/>
                <w:numId w:val="4"/>
              </w:numPr>
              <w:rPr>
                <w:rFonts w:eastAsia="Times New Roman" w:cs="Times New Roman"/>
                <w:bCs/>
              </w:rPr>
            </w:pPr>
            <w:r w:rsidRPr="00980B3A">
              <w:t>51°43′51″ с. ш. 71°43′08″ в. д.</w:t>
            </w:r>
          </w:p>
          <w:p w14:paraId="0912E4BD" w14:textId="77777777" w:rsidR="009F2AA9" w:rsidRPr="00980B3A" w:rsidRDefault="009F2AA9" w:rsidP="009F2AA9">
            <w:pPr>
              <w:pStyle w:val="a5"/>
              <w:widowControl/>
              <w:numPr>
                <w:ilvl w:val="0"/>
                <w:numId w:val="4"/>
              </w:numPr>
              <w:rPr>
                <w:rFonts w:eastAsia="Times New Roman" w:cs="Times New Roman"/>
                <w:bCs/>
              </w:rPr>
            </w:pPr>
            <w:r w:rsidRPr="00980B3A">
              <w:t>51°44′55″ с. ш. 71°43′06″ в. д.</w:t>
            </w:r>
          </w:p>
          <w:p w14:paraId="34DDE839" w14:textId="77777777" w:rsidR="009F2AA9" w:rsidRPr="00980B3A" w:rsidRDefault="009F2AA9" w:rsidP="009F2AA9">
            <w:pPr>
              <w:pStyle w:val="a5"/>
              <w:widowControl/>
              <w:numPr>
                <w:ilvl w:val="0"/>
                <w:numId w:val="4"/>
              </w:numPr>
              <w:rPr>
                <w:rFonts w:eastAsia="Times New Roman" w:cs="Times New Roman"/>
                <w:bCs/>
              </w:rPr>
            </w:pPr>
            <w:r w:rsidRPr="00980B3A">
              <w:t>51°44′38″ с. ш. 71°43′43″ в. д.</w:t>
            </w:r>
          </w:p>
          <w:p w14:paraId="4022AA13" w14:textId="77777777" w:rsidR="009F2AA9" w:rsidRPr="00980B3A" w:rsidRDefault="009F2AA9" w:rsidP="009F2AA9">
            <w:pPr>
              <w:pStyle w:val="a5"/>
              <w:widowControl/>
              <w:numPr>
                <w:ilvl w:val="0"/>
                <w:numId w:val="4"/>
              </w:numPr>
              <w:rPr>
                <w:rFonts w:eastAsia="Times New Roman" w:cs="Times New Roman"/>
                <w:bCs/>
              </w:rPr>
            </w:pPr>
            <w:r w:rsidRPr="00980B3A">
              <w:t>51°44′47″ с. ш. 71°42′29″ в. д.</w:t>
            </w:r>
          </w:p>
          <w:p w14:paraId="0CE36CCD" w14:textId="77777777" w:rsidR="009F2AA9" w:rsidRPr="00980B3A" w:rsidRDefault="009F2AA9" w:rsidP="00725465">
            <w:r w:rsidRPr="00980B3A">
              <w:rPr>
                <w:rFonts w:eastAsia="Times New Roman" w:cs="Times New Roman"/>
                <w:bCs/>
              </w:rPr>
              <w:t xml:space="preserve">Право недропользования для добычи золотосодержащих руд месторождения Жолымбет до 2039 г. </w:t>
            </w:r>
          </w:p>
        </w:tc>
      </w:tr>
      <w:tr w:rsidR="009F2AA9" w:rsidRPr="00980B3A" w14:paraId="3225E2B4" w14:textId="77777777" w:rsidTr="00725465">
        <w:trPr>
          <w:jc w:val="center"/>
        </w:trPr>
        <w:tc>
          <w:tcPr>
            <w:tcW w:w="5000" w:type="pct"/>
            <w:vAlign w:val="center"/>
          </w:tcPr>
          <w:p w14:paraId="0835A3A6" w14:textId="77777777" w:rsidR="009F2AA9" w:rsidRPr="00980B3A" w:rsidRDefault="009F2AA9" w:rsidP="00725465">
            <w:pPr>
              <w:rPr>
                <w:rFonts w:eastAsia="Times New Roman" w:cs="Times New Roman"/>
              </w:rPr>
            </w:pPr>
            <w:r w:rsidRPr="00980B3A">
              <w:rPr>
                <w:rFonts w:eastAsia="Times New Roman" w:cs="Times New Roman"/>
              </w:rPr>
              <w:lastRenderedPageBreak/>
              <w:t>Породы месторождения «Жолымбет» характеризуются низкой водообильностью. Питание трещинно-грунтовых вод происходит в основном за счёт фильтрации атмосферных осадков. Гидрогеологические условия месторождения считаются простыми и хорошо изучены в ходе разведочных и эксплуатационных работ. Притоки подземных вод на верхних горизонтах незначительные и составляют около 5–10 м³/час. На более глубоких горизонтах (до отметки 640 м) поступление воды практически отсутствует. При соединении выработок с вышележащими горизонтами за счёт дренажа подземных вод приток может увеличиваться в 2–3 раза. На горизонте 430 м, где установлен постоянный водоотлив, общий приток трещинных вод составляет примерно 80–120 м³/час. Ниже глубины 560 м породы считаются практически безводными. На проектируемых горизонтах (от 680 до 1000 м) притоки воды также ожидаются незначительными — порядка 5–10 м³/час. При дренажных связях с вышележащими выработками и при поступлении технической воды приток может увеличиться в 2–3 раза. В районе месторождения протекает небольшая река Ащылы-Айрык — левый приток реки Селета. Русло реки пересыхает, вода в ней солоноватая и непригодна для питья. Ближайший водный объект — река Айшылы-Айрык — расположена примерно в 0,6 км к северо-западу от участка горных работ. Таким образом, месторождение находится за пределами водоохранных зон, а проводимые горные работы не оказывают влияния на гидрологический режим и санитарно-экологическое состояние поверхностных водных объектов.</w:t>
            </w:r>
          </w:p>
          <w:p w14:paraId="0CD3BDD2" w14:textId="77777777" w:rsidR="009F2AA9" w:rsidRPr="00980B3A" w:rsidRDefault="009F2AA9" w:rsidP="00725465">
            <w:pPr>
              <w:autoSpaceDE w:val="0"/>
              <w:autoSpaceDN w:val="0"/>
              <w:adjustRightInd w:val="0"/>
              <w:rPr>
                <w:rFonts w:cs="Times New Roman"/>
                <w:bCs/>
              </w:rPr>
            </w:pPr>
            <w:r w:rsidRPr="00980B3A">
              <w:rPr>
                <w:rFonts w:cs="Times New Roman"/>
              </w:rPr>
              <w:t>Вода по двум водоотливным ставам диаметром Ду =159 мм (рабочему и резервному) по стволу шахты «Глубокая» выдается на гор.430 м, откуда на поверхность по стволу шахты «Центральная». Шахтная вода на гор.760 м поступает с вышележащих горизонтов и с зумпфов стволов шахт «Глубокая» и «Вентиляционная». Ожидаемый водоприток в зумпф ствола шахты «Глубокая» 20÷25 м3/час. На период отработки запасов горизонтов 800, 840 и 880 м водоотливной комплекс гор. 760 м переносится на гор. 920 м у ствола шахты «Глубокая» и оборудуется тремя насосными агрегатами типа ЦНСА 105-490, мощностью электродвигателя 250 кВт. Вода по двум ставам Ду =150 мм выдается на гор.430 м в существующий водоотливной комплекс ствола шахты «Центральная» и далее на поверхность.</w:t>
            </w:r>
          </w:p>
        </w:tc>
      </w:tr>
      <w:tr w:rsidR="009F2AA9" w:rsidRPr="00980B3A" w14:paraId="5221C938" w14:textId="77777777" w:rsidTr="00725465">
        <w:trPr>
          <w:jc w:val="center"/>
        </w:trPr>
        <w:tc>
          <w:tcPr>
            <w:tcW w:w="5000" w:type="pct"/>
          </w:tcPr>
          <w:p w14:paraId="7276DCD1" w14:textId="77777777" w:rsidR="009F2AA9" w:rsidRPr="00980B3A" w:rsidRDefault="009F2AA9" w:rsidP="00725465">
            <w:pPr>
              <w:rPr>
                <w:rFonts w:eastAsia="Times New Roman" w:cs="Times New Roman"/>
              </w:rPr>
            </w:pPr>
            <w:r w:rsidRPr="00980B3A">
              <w:rPr>
                <w:rFonts w:eastAsia="Times New Roman" w:cs="Times New Roman"/>
              </w:rPr>
              <w:t>Хозяйственно-бытовое водоснабжение рабочих карьера и шахты осуществляется за счет существующих централизованных сетей водоснабжения в АБК и других хозяйственно-бытовых помещений предприятия.</w:t>
            </w:r>
          </w:p>
          <w:p w14:paraId="55023E6D" w14:textId="77777777" w:rsidR="009F2AA9" w:rsidRPr="00980B3A" w:rsidRDefault="009F2AA9" w:rsidP="00725465">
            <w:pPr>
              <w:pStyle w:val="11"/>
              <w:ind w:firstLine="0"/>
              <w:rPr>
                <w:rFonts w:eastAsia="Calibri"/>
                <w:bCs/>
                <w:szCs w:val="24"/>
              </w:rPr>
            </w:pPr>
            <w:r w:rsidRPr="00980B3A">
              <w:rPr>
                <w:szCs w:val="24"/>
              </w:rPr>
              <w:t xml:space="preserve">Для производственных нужд будет использоваться шахтная вода на основании разрешения на специальное водопользование № </w:t>
            </w:r>
            <w:r w:rsidRPr="00980B3A">
              <w:rPr>
                <w:rFonts w:ascii="TimesNewRoman" w:hAnsi="TimesNewRoman" w:cs="TimesNewRoman"/>
                <w:szCs w:val="24"/>
              </w:rPr>
              <w:t>KZ77VTE00225689 от 15.02.2024 года</w:t>
            </w:r>
            <w:r w:rsidRPr="00980B3A">
              <w:rPr>
                <w:szCs w:val="24"/>
              </w:rPr>
              <w:t>.</w:t>
            </w:r>
          </w:p>
        </w:tc>
      </w:tr>
      <w:tr w:rsidR="009F2AA9" w:rsidRPr="00980B3A" w14:paraId="6E904C87" w14:textId="77777777" w:rsidTr="00725465">
        <w:trPr>
          <w:jc w:val="center"/>
        </w:trPr>
        <w:tc>
          <w:tcPr>
            <w:tcW w:w="5000" w:type="pct"/>
            <w:shd w:val="clear" w:color="auto" w:fill="FFFFFF" w:themeFill="background1"/>
          </w:tcPr>
          <w:p w14:paraId="75313937" w14:textId="77777777" w:rsidR="009F2AA9" w:rsidRPr="00980B3A" w:rsidRDefault="009F2AA9" w:rsidP="00725465">
            <w:pPr>
              <w:pStyle w:val="a7"/>
              <w:spacing w:before="0" w:beforeAutospacing="0" w:after="0" w:afterAutospacing="0"/>
            </w:pPr>
            <w:r w:rsidRPr="00980B3A">
              <w:t xml:space="preserve">Общий объём водопотребления по проекту составит </w:t>
            </w:r>
            <w:r w:rsidRPr="00980B3A">
              <w:rPr>
                <w:rStyle w:val="a9"/>
                <w:rFonts w:eastAsia="Cambria"/>
              </w:rPr>
              <w:t>33 392,825 м³ в год</w:t>
            </w:r>
            <w:r w:rsidRPr="00980B3A">
              <w:t>.</w:t>
            </w:r>
          </w:p>
          <w:p w14:paraId="7C6CE4F1" w14:textId="77777777" w:rsidR="009F2AA9" w:rsidRPr="00980B3A" w:rsidRDefault="009F2AA9" w:rsidP="00725465">
            <w:pPr>
              <w:pStyle w:val="a7"/>
              <w:spacing w:before="0" w:beforeAutospacing="0" w:after="0" w:afterAutospacing="0"/>
            </w:pPr>
            <w:r w:rsidRPr="00980B3A">
              <w:t>Из этого объёма:</w:t>
            </w:r>
          </w:p>
          <w:p w14:paraId="7897FC64" w14:textId="77777777" w:rsidR="009F2AA9" w:rsidRPr="00980B3A" w:rsidRDefault="009F2AA9" w:rsidP="009F2AA9">
            <w:pPr>
              <w:pStyle w:val="a7"/>
              <w:numPr>
                <w:ilvl w:val="0"/>
                <w:numId w:val="10"/>
              </w:numPr>
              <w:spacing w:before="0" w:beforeAutospacing="0" w:after="0" w:afterAutospacing="0"/>
            </w:pPr>
            <w:r w:rsidRPr="00980B3A">
              <w:t xml:space="preserve">на </w:t>
            </w:r>
            <w:r w:rsidRPr="00980B3A">
              <w:rPr>
                <w:rStyle w:val="a9"/>
                <w:rFonts w:eastAsia="Cambria"/>
              </w:rPr>
              <w:t>хозяйственно-бытовые нужды</w:t>
            </w:r>
            <w:r w:rsidRPr="00980B3A">
              <w:t xml:space="preserve"> из существующего водопровода расходуется </w:t>
            </w:r>
            <w:r w:rsidRPr="00980B3A">
              <w:rPr>
                <w:rStyle w:val="a9"/>
                <w:rFonts w:eastAsia="Cambria"/>
              </w:rPr>
              <w:t>11 239,625 м³/год</w:t>
            </w:r>
            <w:r w:rsidRPr="00980B3A">
              <w:t>;</w:t>
            </w:r>
          </w:p>
          <w:p w14:paraId="79BA787E" w14:textId="77777777" w:rsidR="009F2AA9" w:rsidRPr="00980B3A" w:rsidRDefault="009F2AA9" w:rsidP="009F2AA9">
            <w:pPr>
              <w:pStyle w:val="a7"/>
              <w:numPr>
                <w:ilvl w:val="0"/>
                <w:numId w:val="10"/>
              </w:numPr>
              <w:spacing w:before="0" w:beforeAutospacing="0" w:after="0" w:afterAutospacing="0"/>
            </w:pPr>
            <w:r w:rsidRPr="00980B3A">
              <w:lastRenderedPageBreak/>
              <w:t xml:space="preserve">на </w:t>
            </w:r>
            <w:r w:rsidRPr="00980B3A">
              <w:rPr>
                <w:rStyle w:val="a9"/>
                <w:rFonts w:eastAsia="Cambria"/>
              </w:rPr>
              <w:t>производственные цели</w:t>
            </w:r>
            <w:r w:rsidRPr="00980B3A">
              <w:t xml:space="preserve"> (безвозвратное водопользование) — </w:t>
            </w:r>
            <w:r w:rsidRPr="00980B3A">
              <w:rPr>
                <w:rStyle w:val="a9"/>
                <w:rFonts w:eastAsia="Cambria"/>
              </w:rPr>
              <w:t>22 153,2 м³/год</w:t>
            </w:r>
            <w:r w:rsidRPr="00980B3A">
              <w:t>, в том числе;</w:t>
            </w:r>
          </w:p>
          <w:p w14:paraId="01AD76D5" w14:textId="77777777" w:rsidR="009F2AA9" w:rsidRPr="00980B3A" w:rsidRDefault="009F2AA9" w:rsidP="009F2AA9">
            <w:pPr>
              <w:pStyle w:val="a7"/>
              <w:numPr>
                <w:ilvl w:val="0"/>
                <w:numId w:val="10"/>
              </w:numPr>
              <w:spacing w:before="0" w:beforeAutospacing="0" w:after="0" w:afterAutospacing="0"/>
            </w:pPr>
            <w:r w:rsidRPr="00980B3A">
              <w:t xml:space="preserve">гидрообеспылевание дорог на территории карьера — </w:t>
            </w:r>
            <w:r w:rsidRPr="00980B3A">
              <w:rPr>
                <w:rStyle w:val="a9"/>
                <w:rFonts w:eastAsia="Cambria"/>
              </w:rPr>
              <w:t>8 208 м³/год</w:t>
            </w:r>
            <w:r w:rsidRPr="00980B3A">
              <w:t>;</w:t>
            </w:r>
          </w:p>
          <w:p w14:paraId="76B482FF" w14:textId="77777777" w:rsidR="009F2AA9" w:rsidRPr="00980B3A" w:rsidRDefault="009F2AA9" w:rsidP="009F2AA9">
            <w:pPr>
              <w:pStyle w:val="a7"/>
              <w:numPr>
                <w:ilvl w:val="0"/>
                <w:numId w:val="10"/>
              </w:numPr>
              <w:spacing w:before="0" w:beforeAutospacing="0" w:after="0" w:afterAutospacing="0"/>
            </w:pPr>
            <w:r w:rsidRPr="00980B3A">
              <w:t xml:space="preserve">гидрообеспылевание дорог шахты — </w:t>
            </w:r>
            <w:r w:rsidRPr="00980B3A">
              <w:rPr>
                <w:rStyle w:val="a9"/>
                <w:rFonts w:eastAsia="Cambria"/>
              </w:rPr>
              <w:t>2 016 м³/год</w:t>
            </w:r>
            <w:r w:rsidRPr="00980B3A">
              <w:t>;</w:t>
            </w:r>
          </w:p>
          <w:p w14:paraId="061264A2" w14:textId="77777777" w:rsidR="009F2AA9" w:rsidRPr="00980B3A" w:rsidRDefault="009F2AA9" w:rsidP="009F2AA9">
            <w:pPr>
              <w:pStyle w:val="a7"/>
              <w:numPr>
                <w:ilvl w:val="0"/>
                <w:numId w:val="10"/>
              </w:numPr>
              <w:spacing w:before="0" w:beforeAutospacing="0" w:after="0" w:afterAutospacing="0"/>
              <w:rPr>
                <w:rStyle w:val="a9"/>
                <w:rFonts w:eastAsia="Cambria"/>
                <w:b w:val="0"/>
                <w:bCs w:val="0"/>
              </w:rPr>
            </w:pPr>
            <w:r w:rsidRPr="00980B3A">
              <w:t xml:space="preserve">гидрозабойка скважин в карьере — </w:t>
            </w:r>
            <w:r w:rsidRPr="00980B3A">
              <w:rPr>
                <w:rStyle w:val="a9"/>
                <w:rFonts w:eastAsia="Cambria"/>
              </w:rPr>
              <w:t xml:space="preserve">5 346 м³/год; </w:t>
            </w:r>
          </w:p>
          <w:p w14:paraId="0AAB45F0" w14:textId="77777777" w:rsidR="009F2AA9" w:rsidRPr="00980B3A" w:rsidRDefault="009F2AA9" w:rsidP="009F2AA9">
            <w:pPr>
              <w:pStyle w:val="a7"/>
              <w:numPr>
                <w:ilvl w:val="0"/>
                <w:numId w:val="10"/>
              </w:numPr>
              <w:spacing w:before="0" w:beforeAutospacing="0" w:after="0" w:afterAutospacing="0"/>
            </w:pPr>
            <w:r w:rsidRPr="00980B3A">
              <w:t xml:space="preserve">гидрозабойка скважин (шахта) – </w:t>
            </w:r>
            <w:r w:rsidRPr="00980B3A">
              <w:rPr>
                <w:b/>
                <w:bCs/>
              </w:rPr>
              <w:t>6570 м3/год;</w:t>
            </w:r>
          </w:p>
          <w:p w14:paraId="67A6CCAB" w14:textId="77777777" w:rsidR="009F2AA9" w:rsidRPr="00980B3A" w:rsidRDefault="009F2AA9" w:rsidP="009F2AA9">
            <w:pPr>
              <w:pStyle w:val="a7"/>
              <w:numPr>
                <w:ilvl w:val="0"/>
                <w:numId w:val="10"/>
              </w:numPr>
              <w:spacing w:before="0" w:beforeAutospacing="0" w:after="0" w:afterAutospacing="0"/>
            </w:pPr>
            <w:r w:rsidRPr="00980B3A">
              <w:t>полив зеленых насаждений</w:t>
            </w:r>
            <w:r w:rsidRPr="00980B3A">
              <w:rPr>
                <w:b/>
                <w:bCs/>
              </w:rPr>
              <w:t xml:space="preserve"> – 7,2 м3/год;</w:t>
            </w:r>
          </w:p>
          <w:p w14:paraId="0506BD14" w14:textId="77777777" w:rsidR="009F2AA9" w:rsidRPr="00980B3A" w:rsidRDefault="009F2AA9" w:rsidP="009F2AA9">
            <w:pPr>
              <w:pStyle w:val="a7"/>
              <w:numPr>
                <w:ilvl w:val="0"/>
                <w:numId w:val="10"/>
              </w:numPr>
              <w:spacing w:before="0" w:beforeAutospacing="0" w:after="0" w:afterAutospacing="0"/>
            </w:pPr>
            <w:r w:rsidRPr="00980B3A">
              <w:t>полив твердых покрытий</w:t>
            </w:r>
            <w:r w:rsidRPr="00980B3A">
              <w:rPr>
                <w:b/>
                <w:bCs/>
              </w:rPr>
              <w:t xml:space="preserve"> – 6,0 м3/год. </w:t>
            </w:r>
          </w:p>
        </w:tc>
      </w:tr>
      <w:tr w:rsidR="009F2AA9" w:rsidRPr="00980B3A" w14:paraId="6FD3E352" w14:textId="77777777" w:rsidTr="00725465">
        <w:trPr>
          <w:jc w:val="center"/>
        </w:trPr>
        <w:tc>
          <w:tcPr>
            <w:tcW w:w="5000" w:type="pct"/>
          </w:tcPr>
          <w:p w14:paraId="30D4D3F3" w14:textId="77777777" w:rsidR="009F2AA9" w:rsidRPr="00980B3A" w:rsidRDefault="009F2AA9" w:rsidP="00725465">
            <w:pPr>
              <w:ind w:firstLine="504"/>
            </w:pPr>
            <w:r w:rsidRPr="00980B3A">
              <w:lastRenderedPageBreak/>
              <w:t xml:space="preserve">Основное использование водных ресурсов планируется для обеспечения технологических процессов, включая пылеподавление на карьерных и шахтных дорогах, а также гидрозабойку буровых скважин. Для </w:t>
            </w:r>
            <w:r w:rsidRPr="00980B3A">
              <w:rPr>
                <w:rStyle w:val="a9"/>
              </w:rPr>
              <w:t>технических нужд</w:t>
            </w:r>
            <w:r w:rsidRPr="00980B3A">
              <w:t xml:space="preserve"> используется шахтная вода. Вода для </w:t>
            </w:r>
            <w:r w:rsidRPr="00980B3A">
              <w:rPr>
                <w:rStyle w:val="a9"/>
              </w:rPr>
              <w:t>питьевых и хозяйственно-бытовых целей</w:t>
            </w:r>
            <w:r w:rsidRPr="00980B3A">
              <w:t xml:space="preserve"> подаётся от существующего водопровода, обеспечивая санитарно-гигиенические условия персонала предприятия.</w:t>
            </w:r>
          </w:p>
        </w:tc>
      </w:tr>
      <w:tr w:rsidR="009F2AA9" w:rsidRPr="00980B3A" w14:paraId="4C9448F3" w14:textId="77777777" w:rsidTr="00725465">
        <w:trPr>
          <w:trHeight w:val="70"/>
          <w:jc w:val="center"/>
        </w:trPr>
        <w:tc>
          <w:tcPr>
            <w:tcW w:w="5000" w:type="pct"/>
          </w:tcPr>
          <w:p w14:paraId="2EC4BD06" w14:textId="77777777" w:rsidR="009F2AA9" w:rsidRPr="00980B3A" w:rsidRDefault="009F2AA9" w:rsidP="00725465">
            <w:pPr>
              <w:ind w:firstLine="502"/>
              <w:rPr>
                <w:rFonts w:eastAsia="Times New Roman"/>
              </w:rPr>
            </w:pPr>
            <w:r w:rsidRPr="00980B3A">
              <w:rPr>
                <w:bCs/>
              </w:rPr>
              <w:t>При проведении строительства операций по недропользованию, добыче и переработке</w:t>
            </w:r>
            <w:r w:rsidRPr="00980B3A">
              <w:rPr>
                <w:bCs/>
                <w:i/>
              </w:rPr>
              <w:t xml:space="preserve"> </w:t>
            </w:r>
            <w:r w:rsidRPr="00980B3A">
              <w:rPr>
                <w:bCs/>
              </w:rPr>
              <w:t>полезных ископаемых не требуется.</w:t>
            </w:r>
          </w:p>
        </w:tc>
      </w:tr>
      <w:tr w:rsidR="009F2AA9" w:rsidRPr="00980B3A" w14:paraId="1DE5A999" w14:textId="77777777" w:rsidTr="00725465">
        <w:trPr>
          <w:jc w:val="center"/>
        </w:trPr>
        <w:tc>
          <w:tcPr>
            <w:tcW w:w="5000" w:type="pct"/>
          </w:tcPr>
          <w:p w14:paraId="6FBF6DD6" w14:textId="77777777" w:rsidR="009F2AA9" w:rsidRPr="00980B3A" w:rsidRDefault="009F2AA9" w:rsidP="00725465">
            <w:pPr>
              <w:suppressAutoHyphens/>
              <w:ind w:firstLine="502"/>
            </w:pPr>
            <w:r w:rsidRPr="00980B3A">
              <w:rPr>
                <w:rFonts w:eastAsia="Times New Roman"/>
              </w:rPr>
              <w:t>Использование растительных ресурсов в рамках намечаемой деятельности не предусматривается.</w:t>
            </w:r>
          </w:p>
        </w:tc>
      </w:tr>
      <w:tr w:rsidR="009F2AA9" w:rsidRPr="00980B3A" w14:paraId="61F9DCB8" w14:textId="77777777" w:rsidTr="00725465">
        <w:trPr>
          <w:jc w:val="center"/>
        </w:trPr>
        <w:tc>
          <w:tcPr>
            <w:tcW w:w="5000" w:type="pct"/>
          </w:tcPr>
          <w:p w14:paraId="0EA819FE" w14:textId="77777777" w:rsidR="009F2AA9" w:rsidRPr="00980B3A" w:rsidRDefault="009F2AA9" w:rsidP="00725465">
            <w:pPr>
              <w:shd w:val="clear" w:color="auto" w:fill="FFFFFF"/>
              <w:tabs>
                <w:tab w:val="left" w:pos="709"/>
                <w:tab w:val="left" w:pos="851"/>
                <w:tab w:val="left" w:pos="993"/>
                <w:tab w:val="left" w:pos="1560"/>
              </w:tabs>
              <w:suppressAutoHyphens/>
              <w:ind w:firstLine="502"/>
              <w:textAlignment w:val="baseline"/>
              <w:rPr>
                <w:rFonts w:eastAsia="Times New Roman"/>
              </w:rPr>
            </w:pPr>
            <w:r w:rsidRPr="00980B3A">
              <w:rPr>
                <w:rFonts w:eastAsia="Times New Roman"/>
              </w:rPr>
              <w:t>Использование животного мира в рамках намечаемой деятельности не предусматривается.</w:t>
            </w:r>
          </w:p>
        </w:tc>
      </w:tr>
      <w:tr w:rsidR="009F2AA9" w:rsidRPr="00980B3A" w14:paraId="03D967D5" w14:textId="77777777" w:rsidTr="00725465">
        <w:trPr>
          <w:jc w:val="center"/>
        </w:trPr>
        <w:tc>
          <w:tcPr>
            <w:tcW w:w="5000" w:type="pct"/>
          </w:tcPr>
          <w:p w14:paraId="49956891" w14:textId="77777777" w:rsidR="009F2AA9" w:rsidRPr="00980B3A" w:rsidRDefault="009F2AA9" w:rsidP="00725465">
            <w:pPr>
              <w:ind w:firstLine="502"/>
              <w:outlineLvl w:val="2"/>
              <w:rPr>
                <w:rFonts w:eastAsia="Times New Roman" w:cs="Times New Roman"/>
                <w:b/>
                <w:bCs/>
              </w:rPr>
            </w:pPr>
            <w:bookmarkStart w:id="5" w:name="_Toc219971793"/>
            <w:r w:rsidRPr="00980B3A">
              <w:rPr>
                <w:rFonts w:eastAsia="Times New Roman" w:cs="Times New Roman"/>
                <w:bCs/>
              </w:rPr>
              <w:t>Намечаемая деятельность не предусматривает использование объектов животного мира, их частей, дериватов, полезных свойств и продуктов жизнедеятельности животных.</w:t>
            </w:r>
            <w:bookmarkEnd w:id="5"/>
          </w:p>
        </w:tc>
      </w:tr>
      <w:tr w:rsidR="009F2AA9" w:rsidRPr="00980B3A" w14:paraId="7AD01A00" w14:textId="77777777" w:rsidTr="00725465">
        <w:trPr>
          <w:jc w:val="center"/>
        </w:trPr>
        <w:tc>
          <w:tcPr>
            <w:tcW w:w="5000" w:type="pct"/>
          </w:tcPr>
          <w:p w14:paraId="46711219" w14:textId="77777777" w:rsidR="009F2AA9" w:rsidRPr="00980B3A" w:rsidRDefault="009F2AA9" w:rsidP="00725465">
            <w:pPr>
              <w:ind w:firstLine="510"/>
              <w:outlineLvl w:val="2"/>
              <w:rPr>
                <w:rFonts w:eastAsia="Times New Roman" w:cs="Times New Roman"/>
                <w:bCs/>
              </w:rPr>
            </w:pPr>
            <w:bookmarkStart w:id="6" w:name="_Toc219971794"/>
            <w:r w:rsidRPr="00980B3A">
              <w:rPr>
                <w:rFonts w:eastAsia="Times New Roman" w:cs="Times New Roman"/>
                <w:bCs/>
              </w:rPr>
              <w:t>Намечаемая деятельность не предусматривает использование объектов животного мира, их частей, дериватов, полезных свойств и продуктов жизнедеятельности животных.</w:t>
            </w:r>
            <w:bookmarkEnd w:id="6"/>
          </w:p>
        </w:tc>
      </w:tr>
      <w:tr w:rsidR="009F2AA9" w:rsidRPr="00980B3A" w14:paraId="5460FB41" w14:textId="77777777" w:rsidTr="00725465">
        <w:trPr>
          <w:jc w:val="center"/>
        </w:trPr>
        <w:tc>
          <w:tcPr>
            <w:tcW w:w="5000" w:type="pct"/>
          </w:tcPr>
          <w:p w14:paraId="1C8278CC" w14:textId="77777777" w:rsidR="009F2AA9" w:rsidRPr="00980B3A" w:rsidRDefault="009F2AA9" w:rsidP="00725465">
            <w:pPr>
              <w:ind w:firstLine="510"/>
              <w:outlineLvl w:val="2"/>
              <w:rPr>
                <w:rFonts w:eastAsia="Times New Roman" w:cs="Times New Roman"/>
                <w:b/>
                <w:bCs/>
              </w:rPr>
            </w:pPr>
            <w:bookmarkStart w:id="7" w:name="_Toc219971795"/>
            <w:r w:rsidRPr="00980B3A">
              <w:rPr>
                <w:rFonts w:eastAsia="Times New Roman" w:cs="Times New Roman"/>
                <w:bCs/>
              </w:rPr>
              <w:t>Намечаемая деятельность не предусматривает использование объектов животного мира, их частей, дериватов, полезных свойств и продуктов жизнедеятельности животных.</w:t>
            </w:r>
            <w:bookmarkEnd w:id="7"/>
          </w:p>
        </w:tc>
      </w:tr>
      <w:tr w:rsidR="009F2AA9" w:rsidRPr="00980B3A" w14:paraId="6DDCCFD3" w14:textId="77777777" w:rsidTr="00725465">
        <w:trPr>
          <w:jc w:val="center"/>
        </w:trPr>
        <w:tc>
          <w:tcPr>
            <w:tcW w:w="5000" w:type="pct"/>
          </w:tcPr>
          <w:p w14:paraId="2793E1F4" w14:textId="77777777" w:rsidR="009F2AA9" w:rsidRPr="00980B3A" w:rsidRDefault="009F2AA9" w:rsidP="00725465">
            <w:pPr>
              <w:ind w:firstLine="502"/>
              <w:rPr>
                <w:rFonts w:eastAsia="Times New Roman" w:cs="Times New Roman"/>
                <w:bCs/>
              </w:rPr>
            </w:pPr>
            <w:r w:rsidRPr="00980B3A">
              <w:rPr>
                <w:rFonts w:eastAsia="Times New Roman" w:cs="Times New Roman"/>
                <w:bCs/>
              </w:rPr>
              <w:t>Теплоснабжение – автономное. Источники теплоснабжения– котельные, работающие на сгорании угля.</w:t>
            </w:r>
          </w:p>
          <w:p w14:paraId="6F501259" w14:textId="77777777" w:rsidR="009F2AA9" w:rsidRPr="00980B3A" w:rsidRDefault="009F2AA9" w:rsidP="00725465">
            <w:pPr>
              <w:suppressAutoHyphens/>
              <w:ind w:firstLine="502"/>
              <w:rPr>
                <w:bCs/>
              </w:rPr>
            </w:pPr>
            <w:r w:rsidRPr="00980B3A">
              <w:rPr>
                <w:rFonts w:eastAsia="Times New Roman" w:cs="Times New Roman"/>
                <w:bCs/>
              </w:rPr>
              <w:t>Источник электроэнергии – ТЭЦ. Электроэнергия предаётся посредством ЛЭП.</w:t>
            </w:r>
          </w:p>
        </w:tc>
      </w:tr>
      <w:tr w:rsidR="009F2AA9" w:rsidRPr="00980B3A" w14:paraId="4DE6BFE6" w14:textId="77777777" w:rsidTr="00725465">
        <w:trPr>
          <w:jc w:val="center"/>
        </w:trPr>
        <w:tc>
          <w:tcPr>
            <w:tcW w:w="5000" w:type="pct"/>
          </w:tcPr>
          <w:p w14:paraId="4B1DB648" w14:textId="77777777" w:rsidR="009F2AA9" w:rsidRPr="00980B3A" w:rsidRDefault="009F2AA9" w:rsidP="00725465">
            <w:pPr>
              <w:suppressAutoHyphens/>
              <w:ind w:firstLine="502"/>
            </w:pPr>
            <w:r w:rsidRPr="00980B3A">
              <w:rPr>
                <w:rFonts w:eastAsia="Times New Roman"/>
                <w:bCs/>
              </w:rPr>
              <w:t>Риски истощения используемых природных ресурсов</w:t>
            </w:r>
            <w:r w:rsidRPr="00980B3A">
              <w:rPr>
                <w:rFonts w:eastAsia="Times New Roman"/>
              </w:rPr>
              <w:t xml:space="preserve"> – отсутствуют. </w:t>
            </w:r>
          </w:p>
        </w:tc>
      </w:tr>
      <w:tr w:rsidR="009F2AA9" w:rsidRPr="00980B3A" w14:paraId="0C5E8A01" w14:textId="77777777" w:rsidTr="00725465">
        <w:trPr>
          <w:jc w:val="center"/>
        </w:trPr>
        <w:tc>
          <w:tcPr>
            <w:tcW w:w="5000" w:type="pct"/>
          </w:tcPr>
          <w:p w14:paraId="285CA8EE" w14:textId="77777777" w:rsidR="009F2AA9" w:rsidRPr="00980B3A" w:rsidRDefault="009F2AA9" w:rsidP="00725465">
            <w:pPr>
              <w:ind w:firstLine="502"/>
              <w:rPr>
                <w:rFonts w:cs="Times New Roman"/>
              </w:rPr>
            </w:pPr>
            <w:bookmarkStart w:id="8" w:name="_Hlk197024693"/>
            <w:r w:rsidRPr="00980B3A">
              <w:rPr>
                <w:rFonts w:cs="Times New Roman"/>
              </w:rPr>
              <w:t>По данным разработанного проекта с учетом перспективы развития в целом у оператора будет функционировать:</w:t>
            </w:r>
          </w:p>
          <w:p w14:paraId="05C98C27" w14:textId="77777777" w:rsidR="009F2AA9" w:rsidRPr="00980B3A" w:rsidRDefault="009F2AA9" w:rsidP="00725465">
            <w:pPr>
              <w:ind w:firstLine="502"/>
              <w:rPr>
                <w:rFonts w:cs="Times New Roman"/>
              </w:rPr>
            </w:pPr>
            <w:r w:rsidRPr="00980B3A">
              <w:rPr>
                <w:rFonts w:cs="Times New Roman"/>
              </w:rPr>
              <w:t>- в 2026 г. - 102 источников выбросов вредных веществ в атмосферу, из них 12 – организованных, 90 – неорганизованных;</w:t>
            </w:r>
          </w:p>
          <w:p w14:paraId="201277E8" w14:textId="77777777" w:rsidR="009F2AA9" w:rsidRPr="00980B3A" w:rsidRDefault="009F2AA9" w:rsidP="00725465">
            <w:pPr>
              <w:ind w:firstLine="502"/>
              <w:rPr>
                <w:rFonts w:cs="Times New Roman"/>
              </w:rPr>
            </w:pPr>
            <w:r w:rsidRPr="00980B3A">
              <w:rPr>
                <w:rFonts w:cs="Times New Roman"/>
              </w:rPr>
              <w:t>- в 2027 г. - 92 источников выбросов вредных веществ в атмосферу, из них 12 – организованных, 80 – неорганизованных;</w:t>
            </w:r>
          </w:p>
          <w:p w14:paraId="7F8EBA8C" w14:textId="77777777" w:rsidR="009F2AA9" w:rsidRPr="00980B3A" w:rsidRDefault="009F2AA9" w:rsidP="00725465">
            <w:pPr>
              <w:ind w:firstLine="502"/>
              <w:rPr>
                <w:rFonts w:cs="Times New Roman"/>
              </w:rPr>
            </w:pPr>
            <w:r w:rsidRPr="00980B3A">
              <w:rPr>
                <w:rFonts w:cs="Times New Roman"/>
              </w:rPr>
              <w:t>- в 2028–2030 гг. 70 источников выбросов вредных веществ в атмосферу, из них 12 – организованных, 58 – неорганизованных;</w:t>
            </w:r>
          </w:p>
          <w:p w14:paraId="219780B3" w14:textId="77777777" w:rsidR="009F2AA9" w:rsidRPr="00980B3A" w:rsidRDefault="009F2AA9" w:rsidP="00725465">
            <w:pPr>
              <w:ind w:firstLine="502"/>
              <w:rPr>
                <w:rFonts w:cs="Times New Roman"/>
              </w:rPr>
            </w:pPr>
            <w:r w:rsidRPr="00980B3A">
              <w:rPr>
                <w:rFonts w:cs="Times New Roman"/>
              </w:rPr>
              <w:t>О</w:t>
            </w:r>
            <w:r w:rsidRPr="00980B3A">
              <w:rPr>
                <w:rFonts w:cs="Times New Roman"/>
                <w:snapToGrid w:val="0"/>
              </w:rPr>
              <w:t xml:space="preserve">сновными загрязняющими веществами, выделяющимися в процессе работы предприятия, являются: </w:t>
            </w:r>
            <w:r w:rsidRPr="00980B3A">
              <w:rPr>
                <w:rFonts w:cs="Times New Roman"/>
              </w:rPr>
              <w:t xml:space="preserve">Алюминий оксид (диАлюминий триоксид) (в пересчете на алюминий) (20); Железо (II, III) оксиды (в пересчете на железо) (диЖелезо триоксид, Железа оксид) (274); Марганец и его соединения (в пересчете на марганца (IV) оксид) (327); </w:t>
            </w:r>
            <w:r w:rsidRPr="00980B3A">
              <w:rPr>
                <w:rFonts w:cs="Times New Roman"/>
                <w:spacing w:val="-20"/>
              </w:rPr>
              <w:t xml:space="preserve">Азота (IV) диоксид (Азота диоксид) (4); Азот (II) оксид (Азота оксид) (6); серная кислота (517), </w:t>
            </w:r>
            <w:r w:rsidRPr="00980B3A">
              <w:rPr>
                <w:rFonts w:cs="Times New Roman"/>
              </w:rPr>
              <w:t>Углерод (Сажа, Углерод черный) (583);</w:t>
            </w:r>
            <w:r w:rsidRPr="00980B3A">
              <w:rPr>
                <w:rFonts w:cs="Times New Roman"/>
                <w:spacing w:val="-20"/>
              </w:rPr>
              <w:t xml:space="preserve"> Сера диоксид (Ангидрид</w:t>
            </w:r>
            <w:r w:rsidRPr="00980B3A">
              <w:rPr>
                <w:rFonts w:cs="Times New Roman"/>
              </w:rPr>
              <w:t xml:space="preserve"> сернистый, Сернистый газ, Сера (IV) оксид) (516); Сероводород (Дигидросульфид) (518); Углерод оксид (Окись углерода, Угарный газ) (584); Фтористые газообразные соединения /в пересчете на фтор/ (617), Смесь углеводородов предельных С1-С5 (1502*); Смесь углеводородов предельных С6-С10 (1503*); Пентилены (амилены - смесь изомеров) (460), Бензол (64), Диметилбензол (смесь о-, м-, п- изомеров) (203), </w:t>
            </w:r>
            <w:r w:rsidRPr="00980B3A">
              <w:rPr>
                <w:rFonts w:cs="Times New Roman"/>
              </w:rPr>
              <w:lastRenderedPageBreak/>
              <w:t>Метилбензол (349); Этилбензол (675); Бенз/а/пирен (3,4-Бензпирен) (54); Бутан-1-ол (Бутиловый спирт) (102), Этанол (Этиловый спирт) (667), 2-Этоксиэтанол (Этиловый эфир этиленгликоля, Этилцеллозольв) (1497*), Бутилацетат (Уксусной кислоты бутиловый эфир) (110), Проп-2-ен-1-аль (Акролеин, Акрилальдегид) (474), Пропан-2-он (Ацетон) (470), Керосин (654*), Уайт-спирит (1294*), Алканы С12-19 /в пересчете на С/ (Углеводороды предельные С12-С19 (в пересчете на С); Растворитель РПК-265П) (10), Эмульсол (смесь: вода - 97.6%, нитрит натрия - 0.2%, сода кальцинированная - 0.2%, масло минеральное - 2%) (1435*), Взвешенные частицы (116), Пыль неорганическая, содержащая двуокись кремния в %: более 70 (Динас) (493),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Пыль абразивная (Корунд белый, Монокорунд) (1027*).</w:t>
            </w:r>
          </w:p>
          <w:p w14:paraId="4C3125F9" w14:textId="77777777" w:rsidR="009F2AA9" w:rsidRPr="00980B3A" w:rsidRDefault="009F2AA9" w:rsidP="00725465">
            <w:pPr>
              <w:autoSpaceDE w:val="0"/>
              <w:autoSpaceDN w:val="0"/>
              <w:adjustRightInd w:val="0"/>
              <w:ind w:firstLine="504"/>
              <w:rPr>
                <w:rFonts w:cs="Times New Roman"/>
                <w:lang w:val="x-none"/>
              </w:rPr>
            </w:pPr>
            <w:r w:rsidRPr="00980B3A">
              <w:rPr>
                <w:rFonts w:cs="Times New Roman"/>
                <w:lang w:val="x-none"/>
              </w:rPr>
              <w:t>Суммарные выбросы загрязняющих веществ от предприятия на 202</w:t>
            </w:r>
            <w:r w:rsidRPr="00980B3A">
              <w:rPr>
                <w:rFonts w:cs="Times New Roman"/>
              </w:rPr>
              <w:t>6</w:t>
            </w:r>
            <w:r w:rsidRPr="00980B3A">
              <w:rPr>
                <w:rFonts w:cs="Times New Roman"/>
                <w:lang w:val="x-none"/>
              </w:rPr>
              <w:t>-20</w:t>
            </w:r>
            <w:r w:rsidRPr="00980B3A">
              <w:rPr>
                <w:rFonts w:cs="Times New Roman"/>
              </w:rPr>
              <w:t>30</w:t>
            </w:r>
            <w:r w:rsidRPr="00980B3A">
              <w:rPr>
                <w:rFonts w:cs="Times New Roman"/>
                <w:lang w:val="x-none"/>
              </w:rPr>
              <w:t xml:space="preserve"> года подлежащих нормированию составляют:</w:t>
            </w:r>
          </w:p>
          <w:p w14:paraId="148A9E39" w14:textId="77777777" w:rsidR="009F2AA9" w:rsidRPr="00A8477C" w:rsidRDefault="009F2AA9" w:rsidP="009F2AA9">
            <w:pPr>
              <w:pStyle w:val="11"/>
              <w:numPr>
                <w:ilvl w:val="0"/>
                <w:numId w:val="2"/>
              </w:numPr>
            </w:pPr>
            <w:r w:rsidRPr="00A8477C">
              <w:t>в 2026 году - 3279,52984791 тонн;</w:t>
            </w:r>
          </w:p>
          <w:p w14:paraId="24E49F3D" w14:textId="77777777" w:rsidR="009F2AA9" w:rsidRPr="00A8477C" w:rsidRDefault="009F2AA9" w:rsidP="009F2AA9">
            <w:pPr>
              <w:pStyle w:val="11"/>
              <w:numPr>
                <w:ilvl w:val="0"/>
                <w:numId w:val="2"/>
              </w:numPr>
            </w:pPr>
            <w:r w:rsidRPr="00A8477C">
              <w:t>в 2027 году - 2587,49373607 тонн;</w:t>
            </w:r>
          </w:p>
          <w:p w14:paraId="71BDB947" w14:textId="77777777" w:rsidR="009F2AA9" w:rsidRPr="00A8477C" w:rsidRDefault="009F2AA9" w:rsidP="009F2AA9">
            <w:pPr>
              <w:pStyle w:val="11"/>
              <w:numPr>
                <w:ilvl w:val="0"/>
                <w:numId w:val="2"/>
              </w:numPr>
            </w:pPr>
            <w:r w:rsidRPr="00A8477C">
              <w:t>в 2028 году - 1599,12516319 тонн;</w:t>
            </w:r>
          </w:p>
          <w:p w14:paraId="1679DBFF" w14:textId="77777777" w:rsidR="009F2AA9" w:rsidRPr="00A8477C" w:rsidRDefault="009F2AA9" w:rsidP="009F2AA9">
            <w:pPr>
              <w:pStyle w:val="11"/>
              <w:numPr>
                <w:ilvl w:val="0"/>
                <w:numId w:val="2"/>
              </w:numPr>
            </w:pPr>
            <w:r w:rsidRPr="00A8477C">
              <w:t>в 2029 году - 2046,77243475 тонн;</w:t>
            </w:r>
          </w:p>
          <w:p w14:paraId="5BF97B36" w14:textId="77777777" w:rsidR="009F2AA9" w:rsidRPr="00A8477C" w:rsidRDefault="009F2AA9" w:rsidP="009F2AA9">
            <w:pPr>
              <w:pStyle w:val="11"/>
              <w:numPr>
                <w:ilvl w:val="0"/>
                <w:numId w:val="2"/>
              </w:numPr>
            </w:pPr>
            <w:r w:rsidRPr="00A8477C">
              <w:t>в 2030 году - 2692,91645005 тонн.</w:t>
            </w:r>
          </w:p>
          <w:p w14:paraId="0CF89B97" w14:textId="77777777" w:rsidR="009F2AA9" w:rsidRPr="00980B3A" w:rsidRDefault="009F2AA9" w:rsidP="00725465">
            <w:pPr>
              <w:pStyle w:val="ab"/>
              <w:kinsoku w:val="0"/>
              <w:overflowPunct w:val="0"/>
              <w:adjustRightInd w:val="0"/>
              <w:ind w:right="125"/>
              <w:rPr>
                <w:spacing w:val="-1"/>
                <w:sz w:val="24"/>
                <w:szCs w:val="24"/>
              </w:rPr>
            </w:pPr>
            <w:bookmarkStart w:id="9" w:name="_Hlk219833467"/>
            <w:r w:rsidRPr="00980B3A">
              <w:rPr>
                <w:spacing w:val="-1"/>
                <w:sz w:val="24"/>
                <w:szCs w:val="24"/>
              </w:rPr>
              <w:t>Залповый</w:t>
            </w:r>
            <w:r w:rsidRPr="00980B3A">
              <w:rPr>
                <w:sz w:val="24"/>
                <w:szCs w:val="24"/>
              </w:rPr>
              <w:t xml:space="preserve"> </w:t>
            </w:r>
            <w:r w:rsidRPr="00980B3A">
              <w:rPr>
                <w:spacing w:val="-1"/>
                <w:sz w:val="24"/>
                <w:szCs w:val="24"/>
              </w:rPr>
              <w:t>максимальный</w:t>
            </w:r>
            <w:r w:rsidRPr="00980B3A">
              <w:rPr>
                <w:sz w:val="24"/>
                <w:szCs w:val="24"/>
              </w:rPr>
              <w:t xml:space="preserve"> </w:t>
            </w:r>
            <w:r w:rsidRPr="00980B3A">
              <w:rPr>
                <w:spacing w:val="-1"/>
                <w:sz w:val="24"/>
                <w:szCs w:val="24"/>
              </w:rPr>
              <w:t>разовый</w:t>
            </w:r>
            <w:r w:rsidRPr="00980B3A">
              <w:rPr>
                <w:sz w:val="24"/>
                <w:szCs w:val="24"/>
              </w:rPr>
              <w:t xml:space="preserve"> </w:t>
            </w:r>
            <w:r w:rsidRPr="00980B3A">
              <w:rPr>
                <w:spacing w:val="-1"/>
                <w:sz w:val="24"/>
                <w:szCs w:val="24"/>
              </w:rPr>
              <w:t>выброс загрязняющих</w:t>
            </w:r>
            <w:r w:rsidRPr="00980B3A">
              <w:rPr>
                <w:spacing w:val="2"/>
                <w:sz w:val="24"/>
                <w:szCs w:val="24"/>
              </w:rPr>
              <w:t xml:space="preserve"> </w:t>
            </w:r>
            <w:r w:rsidRPr="00980B3A">
              <w:rPr>
                <w:spacing w:val="-1"/>
                <w:sz w:val="24"/>
                <w:szCs w:val="24"/>
              </w:rPr>
              <w:t>веществ</w:t>
            </w:r>
            <w:r w:rsidRPr="00980B3A">
              <w:rPr>
                <w:sz w:val="24"/>
                <w:szCs w:val="24"/>
              </w:rPr>
              <w:t xml:space="preserve"> </w:t>
            </w:r>
            <w:r w:rsidRPr="00980B3A">
              <w:rPr>
                <w:spacing w:val="-1"/>
                <w:sz w:val="24"/>
                <w:szCs w:val="24"/>
              </w:rPr>
              <w:t>составляет:</w:t>
            </w:r>
          </w:p>
          <w:p w14:paraId="3875A295" w14:textId="77777777" w:rsidR="009F2AA9" w:rsidRPr="00980B3A" w:rsidRDefault="009F2AA9" w:rsidP="00725465">
            <w:pPr>
              <w:ind w:firstLine="709"/>
              <w:rPr>
                <w:rFonts w:cs="Times New Roman"/>
              </w:rPr>
            </w:pPr>
            <w:r w:rsidRPr="00980B3A">
              <w:rPr>
                <w:rFonts w:cs="Times New Roman"/>
              </w:rPr>
              <w:t xml:space="preserve">- в 2026 году – 19,4049 г/с. </w:t>
            </w:r>
          </w:p>
          <w:p w14:paraId="13EB06D9" w14:textId="77777777" w:rsidR="009F2AA9" w:rsidRPr="00980B3A" w:rsidRDefault="009F2AA9" w:rsidP="00725465">
            <w:pPr>
              <w:ind w:firstLine="709"/>
              <w:rPr>
                <w:rFonts w:cs="Times New Roman"/>
              </w:rPr>
            </w:pPr>
            <w:r w:rsidRPr="00980B3A">
              <w:rPr>
                <w:rFonts w:cs="Times New Roman"/>
              </w:rPr>
              <w:t xml:space="preserve">- в 2027 году – 18,784848 г/с. </w:t>
            </w:r>
          </w:p>
          <w:p w14:paraId="3A7268B5" w14:textId="77777777" w:rsidR="009F2AA9" w:rsidRPr="00980B3A" w:rsidRDefault="009F2AA9" w:rsidP="00725465">
            <w:pPr>
              <w:ind w:firstLine="709"/>
              <w:rPr>
                <w:rFonts w:cs="Times New Roman"/>
              </w:rPr>
            </w:pPr>
            <w:r w:rsidRPr="00980B3A">
              <w:rPr>
                <w:rFonts w:cs="Times New Roman"/>
              </w:rPr>
              <w:t xml:space="preserve">- в 2028 году – 17,748 г/с. </w:t>
            </w:r>
          </w:p>
          <w:p w14:paraId="5227B23B" w14:textId="77777777" w:rsidR="009F2AA9" w:rsidRPr="00980B3A" w:rsidRDefault="009F2AA9" w:rsidP="00725465">
            <w:pPr>
              <w:ind w:firstLine="709"/>
              <w:rPr>
                <w:rFonts w:cs="Times New Roman"/>
              </w:rPr>
            </w:pPr>
            <w:r w:rsidRPr="00980B3A">
              <w:rPr>
                <w:rFonts w:cs="Times New Roman"/>
              </w:rPr>
              <w:t xml:space="preserve">- в 2029 году – 17,84848 г/с. </w:t>
            </w:r>
          </w:p>
          <w:p w14:paraId="57ED7067" w14:textId="77777777" w:rsidR="009F2AA9" w:rsidRPr="00980B3A" w:rsidRDefault="009F2AA9" w:rsidP="00725465">
            <w:pPr>
              <w:ind w:firstLine="709"/>
              <w:rPr>
                <w:rFonts w:cs="Times New Roman"/>
              </w:rPr>
            </w:pPr>
            <w:r w:rsidRPr="00980B3A">
              <w:rPr>
                <w:rFonts w:cs="Times New Roman"/>
              </w:rPr>
              <w:t xml:space="preserve">- в 2030 году – 18,7848 г/с. </w:t>
            </w:r>
          </w:p>
          <w:bookmarkEnd w:id="9"/>
          <w:p w14:paraId="4AFDF9A2" w14:textId="77777777" w:rsidR="009F2AA9" w:rsidRPr="00980B3A" w:rsidRDefault="009F2AA9" w:rsidP="00725465">
            <w:pPr>
              <w:overflowPunct w:val="0"/>
              <w:autoSpaceDE w:val="0"/>
              <w:autoSpaceDN w:val="0"/>
              <w:adjustRightInd w:val="0"/>
              <w:ind w:firstLine="502"/>
              <w:rPr>
                <w:rFonts w:cs="Times New Roman"/>
              </w:rPr>
            </w:pPr>
            <w:r w:rsidRPr="00980B3A">
              <w:rPr>
                <w:rFonts w:cs="Times New Roman"/>
              </w:rPr>
              <w:t>В перечень загрязняющих веществ, подлежащих внесению в Регистр выбросов и переноса загрязнителей, никакие вещества, образующиеся в рамках намечаемой деятельности, не входят.</w:t>
            </w:r>
          </w:p>
        </w:tc>
      </w:tr>
      <w:bookmarkEnd w:id="8"/>
      <w:tr w:rsidR="009F2AA9" w:rsidRPr="00980B3A" w14:paraId="51C23AE7" w14:textId="77777777" w:rsidTr="00725465">
        <w:trPr>
          <w:jc w:val="center"/>
        </w:trPr>
        <w:tc>
          <w:tcPr>
            <w:tcW w:w="5000" w:type="pct"/>
          </w:tcPr>
          <w:p w14:paraId="21E10D26" w14:textId="77777777" w:rsidR="009F2AA9" w:rsidRPr="00980B3A" w:rsidRDefault="009F2AA9" w:rsidP="00725465">
            <w:pPr>
              <w:ind w:firstLine="502"/>
              <w:rPr>
                <w:b/>
                <w:bCs/>
              </w:rPr>
            </w:pPr>
            <w:r w:rsidRPr="00980B3A">
              <w:rPr>
                <w:rFonts w:eastAsia="Times New Roman" w:cs="Times New Roman"/>
                <w:bCs/>
              </w:rPr>
              <w:lastRenderedPageBreak/>
              <w:t>Сбросы загрязняющих веществ отсутствуют.</w:t>
            </w:r>
          </w:p>
        </w:tc>
      </w:tr>
      <w:tr w:rsidR="009F2AA9" w:rsidRPr="00980B3A" w14:paraId="5DD918CD" w14:textId="77777777" w:rsidTr="00725465">
        <w:trPr>
          <w:jc w:val="center"/>
        </w:trPr>
        <w:tc>
          <w:tcPr>
            <w:tcW w:w="5000" w:type="pct"/>
          </w:tcPr>
          <w:p w14:paraId="235A906D" w14:textId="77777777" w:rsidR="009F2AA9" w:rsidRPr="00980B3A" w:rsidRDefault="009F2AA9" w:rsidP="00725465">
            <w:pPr>
              <w:ind w:firstLine="502"/>
              <w:rPr>
                <w:rFonts w:eastAsia="Times New Roman" w:cs="Times New Roman"/>
              </w:rPr>
            </w:pPr>
            <w:bookmarkStart w:id="10" w:name="_Hlk219836102"/>
            <w:r w:rsidRPr="00980B3A">
              <w:rPr>
                <w:rFonts w:eastAsia="Times New Roman" w:cs="Times New Roman"/>
              </w:rPr>
              <w:t xml:space="preserve">Складирование вскрышных пород будет осуществляться во внешний отвал. Часть вскрышных пород будет использована на производственные нужды: отсыпку дорог, промышленных площадок и т. п. Для снижения площади земли занимаемым отвалами, часть (10%) объема карьерных вскрышных пород в качестве балластного материала будет ежегодно направляться на содержание технологических дорог, промышленных площадок и т. п. </w:t>
            </w:r>
          </w:p>
          <w:p w14:paraId="64637DA3" w14:textId="77777777" w:rsidR="009F2AA9" w:rsidRPr="00980B3A" w:rsidRDefault="009F2AA9" w:rsidP="00725465">
            <w:pPr>
              <w:ind w:firstLine="502"/>
              <w:rPr>
                <w:rFonts w:eastAsia="Times New Roman" w:cs="Times New Roman"/>
              </w:rPr>
            </w:pPr>
            <w:r w:rsidRPr="00980B3A">
              <w:rPr>
                <w:rFonts w:eastAsia="Times New Roman" w:cs="Times New Roman"/>
              </w:rPr>
              <w:t>Ежегодный объем образования и размещения вскрышных пород составит:</w:t>
            </w:r>
          </w:p>
          <w:p w14:paraId="57D7C076" w14:textId="77777777" w:rsidR="009F2AA9" w:rsidRPr="00980B3A" w:rsidRDefault="009F2AA9" w:rsidP="00725465">
            <w:pPr>
              <w:ind w:firstLine="502"/>
              <w:rPr>
                <w:rFonts w:eastAsia="Times New Roman" w:cs="Times New Roman"/>
              </w:rPr>
            </w:pPr>
            <w:r w:rsidRPr="00980B3A">
              <w:rPr>
                <w:rFonts w:eastAsia="Times New Roman" w:cs="Times New Roman"/>
              </w:rPr>
              <w:t>2026 год – 3</w:t>
            </w:r>
            <w:r w:rsidRPr="00980B3A">
              <w:rPr>
                <w:rFonts w:eastAsia="Times New Roman" w:cs="Times New Roman"/>
                <w:lang w:val="en-US"/>
              </w:rPr>
              <w:t> </w:t>
            </w:r>
            <w:r w:rsidRPr="00980B3A">
              <w:rPr>
                <w:rFonts w:eastAsia="Times New Roman" w:cs="Times New Roman"/>
              </w:rPr>
              <w:t>330 548 т/год;</w:t>
            </w:r>
          </w:p>
          <w:p w14:paraId="0AFF5E70" w14:textId="77777777" w:rsidR="009F2AA9" w:rsidRPr="00980B3A" w:rsidRDefault="009F2AA9" w:rsidP="00725465">
            <w:pPr>
              <w:ind w:firstLine="502"/>
              <w:rPr>
                <w:rFonts w:eastAsia="Times New Roman" w:cs="Times New Roman"/>
              </w:rPr>
            </w:pPr>
            <w:r w:rsidRPr="00980B3A">
              <w:rPr>
                <w:rFonts w:eastAsia="Times New Roman" w:cs="Times New Roman"/>
              </w:rPr>
              <w:t>2027 год – 735</w:t>
            </w:r>
            <w:r w:rsidRPr="00980B3A">
              <w:rPr>
                <w:rFonts w:eastAsia="Times New Roman" w:cs="Times New Roman"/>
                <w:lang w:val="en-US"/>
              </w:rPr>
              <w:t> </w:t>
            </w:r>
            <w:r w:rsidRPr="00980B3A">
              <w:rPr>
                <w:rFonts w:eastAsia="Times New Roman" w:cs="Times New Roman"/>
              </w:rPr>
              <w:t>603.1 т/год;</w:t>
            </w:r>
          </w:p>
          <w:p w14:paraId="01D6B3ED" w14:textId="77777777" w:rsidR="009F2AA9" w:rsidRPr="00980B3A" w:rsidRDefault="009F2AA9" w:rsidP="00725465">
            <w:pPr>
              <w:ind w:firstLine="502"/>
              <w:rPr>
                <w:rFonts w:eastAsia="Times New Roman" w:cs="Times New Roman"/>
              </w:rPr>
            </w:pPr>
            <w:r w:rsidRPr="00980B3A">
              <w:rPr>
                <w:rFonts w:eastAsia="Times New Roman" w:cs="Times New Roman"/>
              </w:rPr>
              <w:t>2028 год – 303 596 т/год;</w:t>
            </w:r>
          </w:p>
          <w:p w14:paraId="24C13848" w14:textId="77777777" w:rsidR="009F2AA9" w:rsidRPr="00980B3A" w:rsidRDefault="009F2AA9" w:rsidP="00725465">
            <w:pPr>
              <w:ind w:firstLine="502"/>
              <w:rPr>
                <w:rFonts w:eastAsia="Times New Roman" w:cs="Times New Roman"/>
              </w:rPr>
            </w:pPr>
            <w:r w:rsidRPr="00980B3A">
              <w:rPr>
                <w:rFonts w:eastAsia="Times New Roman" w:cs="Times New Roman"/>
              </w:rPr>
              <w:t>2029 год – 230</w:t>
            </w:r>
            <w:r w:rsidRPr="00980B3A">
              <w:rPr>
                <w:rFonts w:eastAsia="Times New Roman" w:cs="Times New Roman"/>
                <w:lang w:val="en-US"/>
              </w:rPr>
              <w:t> </w:t>
            </w:r>
            <w:r w:rsidRPr="00980B3A">
              <w:rPr>
                <w:rFonts w:eastAsia="Times New Roman" w:cs="Times New Roman"/>
              </w:rPr>
              <w:t>671 т/год;</w:t>
            </w:r>
          </w:p>
          <w:p w14:paraId="2398E9F1" w14:textId="77777777" w:rsidR="009F2AA9" w:rsidRPr="00980B3A" w:rsidRDefault="009F2AA9" w:rsidP="00725465">
            <w:pPr>
              <w:ind w:firstLine="502"/>
              <w:rPr>
                <w:rFonts w:eastAsia="Times New Roman" w:cs="Times New Roman"/>
              </w:rPr>
            </w:pPr>
            <w:r w:rsidRPr="00980B3A">
              <w:rPr>
                <w:rFonts w:eastAsia="Times New Roman" w:cs="Times New Roman"/>
              </w:rPr>
              <w:t>2030 год – 241</w:t>
            </w:r>
            <w:r w:rsidRPr="00980B3A">
              <w:rPr>
                <w:rFonts w:eastAsia="Times New Roman" w:cs="Times New Roman"/>
                <w:lang w:val="en-US"/>
              </w:rPr>
              <w:t> </w:t>
            </w:r>
            <w:r w:rsidRPr="00980B3A">
              <w:rPr>
                <w:rFonts w:eastAsia="Times New Roman" w:cs="Times New Roman"/>
              </w:rPr>
              <w:t>032 т/год.</w:t>
            </w:r>
          </w:p>
          <w:p w14:paraId="3C538D7B" w14:textId="77777777" w:rsidR="009F2AA9" w:rsidRPr="00980B3A" w:rsidRDefault="009F2AA9" w:rsidP="00725465">
            <w:pPr>
              <w:suppressAutoHyphens/>
              <w:ind w:firstLine="502"/>
              <w:rPr>
                <w:rFonts w:eastAsia="Times New Roman"/>
              </w:rPr>
            </w:pPr>
            <w:r w:rsidRPr="00980B3A">
              <w:rPr>
                <w:rFonts w:eastAsia="Times New Roman"/>
              </w:rPr>
              <w:t>Ветошь промасленная в объеме 1,5 т/год сжигается в котельной.</w:t>
            </w:r>
          </w:p>
          <w:p w14:paraId="6C6773BC" w14:textId="77777777" w:rsidR="009F2AA9" w:rsidRPr="00980B3A" w:rsidRDefault="009F2AA9" w:rsidP="00725465">
            <w:pPr>
              <w:ind w:firstLine="502"/>
            </w:pPr>
            <w:r w:rsidRPr="00980B3A">
              <w:t>На период эксплуатации предприятия также образуются следующие виды отходов</w:t>
            </w:r>
            <w:r w:rsidRPr="00980B3A">
              <w:rPr>
                <w:lang w:val="kk-KZ"/>
              </w:rPr>
              <w:t>,</w:t>
            </w:r>
            <w:r w:rsidRPr="00980B3A">
              <w:t xml:space="preserve"> </w:t>
            </w:r>
            <w:r w:rsidRPr="00980B3A">
              <w:rPr>
                <w:lang w:val="kk-KZ"/>
              </w:rPr>
              <w:t>в</w:t>
            </w:r>
            <w:r w:rsidRPr="00980B3A">
              <w:t xml:space="preserve">ывоз </w:t>
            </w:r>
            <w:r w:rsidRPr="00980B3A">
              <w:rPr>
                <w:lang w:val="kk-KZ"/>
              </w:rPr>
              <w:t xml:space="preserve">которых </w:t>
            </w:r>
            <w:r w:rsidRPr="00980B3A">
              <w:t>осуществляется специализированными организациями по договору. Временное хранение отходов не менее 6 месяцев</w:t>
            </w:r>
            <w:r w:rsidRPr="00980B3A">
              <w:rPr>
                <w:lang w:val="kk-KZ"/>
              </w:rPr>
              <w:t xml:space="preserve"> в специально отведенных местах хранения</w:t>
            </w:r>
            <w:r w:rsidRPr="00980B3A">
              <w:t>.</w:t>
            </w:r>
          </w:p>
          <w:p w14:paraId="57CFDB25" w14:textId="77777777" w:rsidR="009F2AA9" w:rsidRPr="00980B3A" w:rsidRDefault="009F2AA9" w:rsidP="00725465">
            <w:pPr>
              <w:outlineLvl w:val="2"/>
              <w:rPr>
                <w:rFonts w:eastAsia="Times New Roman" w:cs="Times New Roman"/>
                <w:b/>
                <w:bCs/>
              </w:rPr>
            </w:pPr>
            <w:bookmarkStart w:id="11" w:name="_Toc219971796"/>
            <w:r w:rsidRPr="00980B3A">
              <w:rPr>
                <w:rFonts w:eastAsia="Times New Roman" w:cs="Times New Roman"/>
                <w:b/>
                <w:bCs/>
              </w:rPr>
              <w:t>Опасные отходы</w:t>
            </w:r>
            <w:bookmarkEnd w:id="11"/>
          </w:p>
          <w:p w14:paraId="5C17115A" w14:textId="77777777" w:rsidR="009F2AA9" w:rsidRPr="00980B3A" w:rsidRDefault="009F2AA9" w:rsidP="009F2AA9">
            <w:pPr>
              <w:widowControl/>
              <w:numPr>
                <w:ilvl w:val="0"/>
                <w:numId w:val="8"/>
              </w:numPr>
              <w:ind w:hanging="218"/>
              <w:rPr>
                <w:rFonts w:eastAsia="Times New Roman" w:cs="Times New Roman"/>
              </w:rPr>
            </w:pPr>
            <w:r w:rsidRPr="00980B3A">
              <w:rPr>
                <w:rFonts w:eastAsia="Times New Roman" w:cs="Times New Roman"/>
              </w:rPr>
              <w:t>Нефтешламы – 05 01 03* – 0,972 т/год</w:t>
            </w:r>
          </w:p>
          <w:p w14:paraId="7C018DA5" w14:textId="77777777" w:rsidR="009F2AA9" w:rsidRPr="00980B3A" w:rsidRDefault="009F2AA9" w:rsidP="009F2AA9">
            <w:pPr>
              <w:widowControl/>
              <w:numPr>
                <w:ilvl w:val="0"/>
                <w:numId w:val="8"/>
              </w:numPr>
              <w:spacing w:before="100" w:beforeAutospacing="1" w:after="100" w:afterAutospacing="1"/>
              <w:ind w:hanging="218"/>
              <w:rPr>
                <w:rFonts w:eastAsia="Times New Roman" w:cs="Times New Roman"/>
              </w:rPr>
            </w:pPr>
            <w:r w:rsidRPr="00980B3A">
              <w:rPr>
                <w:rFonts w:eastAsia="Times New Roman" w:cs="Times New Roman"/>
              </w:rPr>
              <w:t>Отработанные масла – 13 02 08* – 30,0 т/год</w:t>
            </w:r>
          </w:p>
          <w:p w14:paraId="62A3FEFB" w14:textId="77777777" w:rsidR="009F2AA9" w:rsidRPr="00980B3A" w:rsidRDefault="009F2AA9" w:rsidP="009F2AA9">
            <w:pPr>
              <w:widowControl/>
              <w:numPr>
                <w:ilvl w:val="0"/>
                <w:numId w:val="8"/>
              </w:numPr>
              <w:spacing w:before="100" w:beforeAutospacing="1" w:after="100" w:afterAutospacing="1"/>
              <w:ind w:hanging="218"/>
              <w:rPr>
                <w:rFonts w:eastAsia="Times New Roman" w:cs="Times New Roman"/>
              </w:rPr>
            </w:pPr>
            <w:r w:rsidRPr="00980B3A">
              <w:rPr>
                <w:rFonts w:eastAsia="Times New Roman" w:cs="Times New Roman"/>
              </w:rPr>
              <w:t>Тара из-под ЛКМ – 15 01 10* – 0,256 т/год</w:t>
            </w:r>
          </w:p>
          <w:p w14:paraId="4879CFC1" w14:textId="77777777" w:rsidR="009F2AA9" w:rsidRPr="00980B3A" w:rsidRDefault="009F2AA9" w:rsidP="009F2AA9">
            <w:pPr>
              <w:widowControl/>
              <w:numPr>
                <w:ilvl w:val="0"/>
                <w:numId w:val="8"/>
              </w:numPr>
              <w:spacing w:before="100" w:beforeAutospacing="1" w:after="100" w:afterAutospacing="1"/>
              <w:ind w:hanging="218"/>
              <w:rPr>
                <w:rFonts w:eastAsia="Times New Roman" w:cs="Times New Roman"/>
              </w:rPr>
            </w:pPr>
            <w:r w:rsidRPr="00980B3A">
              <w:rPr>
                <w:rFonts w:eastAsia="Times New Roman" w:cs="Times New Roman"/>
              </w:rPr>
              <w:t>Отработанные топливные фильтры – 16 01 07* – 1,6 т/год</w:t>
            </w:r>
          </w:p>
          <w:p w14:paraId="04240086" w14:textId="77777777" w:rsidR="009F2AA9" w:rsidRPr="00980B3A" w:rsidRDefault="009F2AA9" w:rsidP="009F2AA9">
            <w:pPr>
              <w:widowControl/>
              <w:numPr>
                <w:ilvl w:val="0"/>
                <w:numId w:val="8"/>
              </w:numPr>
              <w:spacing w:before="100" w:beforeAutospacing="1" w:after="100" w:afterAutospacing="1"/>
              <w:ind w:hanging="218"/>
              <w:rPr>
                <w:rFonts w:eastAsia="Times New Roman" w:cs="Times New Roman"/>
              </w:rPr>
            </w:pPr>
            <w:r w:rsidRPr="00980B3A">
              <w:rPr>
                <w:rFonts w:eastAsia="Times New Roman" w:cs="Times New Roman"/>
              </w:rPr>
              <w:lastRenderedPageBreak/>
              <w:t>Отработанные масляные фильтры – 16 01 07* – 0,864 т/год</w:t>
            </w:r>
          </w:p>
          <w:p w14:paraId="7434CD3F" w14:textId="77777777" w:rsidR="009F2AA9" w:rsidRPr="00980B3A" w:rsidRDefault="009F2AA9" w:rsidP="009F2AA9">
            <w:pPr>
              <w:widowControl/>
              <w:numPr>
                <w:ilvl w:val="0"/>
                <w:numId w:val="8"/>
              </w:numPr>
              <w:spacing w:before="100" w:beforeAutospacing="1" w:after="100" w:afterAutospacing="1"/>
              <w:ind w:hanging="218"/>
              <w:rPr>
                <w:rFonts w:eastAsia="Times New Roman" w:cs="Times New Roman"/>
              </w:rPr>
            </w:pPr>
            <w:r w:rsidRPr="00980B3A">
              <w:rPr>
                <w:rFonts w:eastAsia="Times New Roman" w:cs="Times New Roman"/>
              </w:rPr>
              <w:t>Тара из-под взрывчатых веществ – 15 01 10* – 6,902 т/год</w:t>
            </w:r>
          </w:p>
          <w:p w14:paraId="28B2EF69" w14:textId="77777777" w:rsidR="009F2AA9" w:rsidRPr="00980B3A" w:rsidRDefault="009F2AA9" w:rsidP="009F2AA9">
            <w:pPr>
              <w:widowControl/>
              <w:numPr>
                <w:ilvl w:val="0"/>
                <w:numId w:val="8"/>
              </w:numPr>
              <w:spacing w:before="100" w:beforeAutospacing="1" w:after="100" w:afterAutospacing="1"/>
              <w:ind w:hanging="218"/>
              <w:rPr>
                <w:rFonts w:eastAsia="Times New Roman" w:cs="Times New Roman"/>
              </w:rPr>
            </w:pPr>
            <w:r w:rsidRPr="00980B3A">
              <w:rPr>
                <w:rFonts w:eastAsia="Times New Roman" w:cs="Times New Roman"/>
              </w:rPr>
              <w:t>Отработанные аккумуляторы – 16 06 01* – 5,627 т/год</w:t>
            </w:r>
          </w:p>
          <w:p w14:paraId="73975CFE" w14:textId="77777777" w:rsidR="009F2AA9" w:rsidRPr="00980B3A" w:rsidRDefault="009F2AA9" w:rsidP="009F2AA9">
            <w:pPr>
              <w:widowControl/>
              <w:numPr>
                <w:ilvl w:val="0"/>
                <w:numId w:val="8"/>
              </w:numPr>
              <w:spacing w:before="100" w:beforeAutospacing="1" w:after="100" w:afterAutospacing="1"/>
              <w:ind w:hanging="218"/>
              <w:rPr>
                <w:rFonts w:eastAsia="Times New Roman" w:cs="Times New Roman"/>
              </w:rPr>
            </w:pPr>
            <w:r w:rsidRPr="00980B3A">
              <w:rPr>
                <w:rFonts w:eastAsia="Times New Roman" w:cs="Times New Roman"/>
              </w:rPr>
              <w:t>Использованные баллоны из-под огнетушителей – 17 04 09* – 0,5 т/год</w:t>
            </w:r>
          </w:p>
          <w:p w14:paraId="10D771EA" w14:textId="77777777" w:rsidR="009F2AA9" w:rsidRPr="00980B3A" w:rsidRDefault="009F2AA9" w:rsidP="009F2AA9">
            <w:pPr>
              <w:widowControl/>
              <w:numPr>
                <w:ilvl w:val="0"/>
                <w:numId w:val="8"/>
              </w:numPr>
              <w:spacing w:before="100" w:beforeAutospacing="1" w:after="100" w:afterAutospacing="1"/>
              <w:ind w:hanging="218"/>
              <w:rPr>
                <w:rFonts w:eastAsia="Times New Roman" w:cs="Times New Roman"/>
              </w:rPr>
            </w:pPr>
            <w:r w:rsidRPr="00980B3A">
              <w:rPr>
                <w:rFonts w:eastAsia="Times New Roman" w:cs="Times New Roman"/>
              </w:rPr>
              <w:t>Замазученный грунт – 17 05 03* – 2,5 т/год</w:t>
            </w:r>
          </w:p>
          <w:p w14:paraId="3439D861" w14:textId="77777777" w:rsidR="009F2AA9" w:rsidRPr="00980B3A" w:rsidRDefault="009F2AA9" w:rsidP="009F2AA9">
            <w:pPr>
              <w:widowControl/>
              <w:numPr>
                <w:ilvl w:val="0"/>
                <w:numId w:val="8"/>
              </w:numPr>
              <w:ind w:hanging="218"/>
              <w:rPr>
                <w:rFonts w:eastAsia="Times New Roman" w:cs="Times New Roman"/>
              </w:rPr>
            </w:pPr>
            <w:r w:rsidRPr="00980B3A">
              <w:rPr>
                <w:rFonts w:eastAsia="Times New Roman" w:cs="Times New Roman"/>
              </w:rPr>
              <w:t>Отработанные люминесцентные лампы – 20 01 21* – 0,15 т/год</w:t>
            </w:r>
          </w:p>
          <w:p w14:paraId="2A2EC7D3" w14:textId="77777777" w:rsidR="009F2AA9" w:rsidRPr="00980B3A" w:rsidRDefault="009F2AA9" w:rsidP="00725465">
            <w:pPr>
              <w:outlineLvl w:val="2"/>
              <w:rPr>
                <w:rFonts w:eastAsia="Times New Roman" w:cs="Times New Roman"/>
                <w:b/>
                <w:bCs/>
              </w:rPr>
            </w:pPr>
            <w:bookmarkStart w:id="12" w:name="_Toc219971797"/>
            <w:r w:rsidRPr="00980B3A">
              <w:rPr>
                <w:rFonts w:eastAsia="Times New Roman" w:cs="Times New Roman"/>
                <w:b/>
                <w:bCs/>
              </w:rPr>
              <w:t>Неопасные отходы</w:t>
            </w:r>
            <w:bookmarkEnd w:id="12"/>
          </w:p>
          <w:p w14:paraId="5FB4A12C" w14:textId="77777777" w:rsidR="009F2AA9" w:rsidRPr="00980B3A" w:rsidRDefault="009F2AA9" w:rsidP="009F2AA9">
            <w:pPr>
              <w:widowControl/>
              <w:numPr>
                <w:ilvl w:val="0"/>
                <w:numId w:val="9"/>
              </w:numPr>
              <w:tabs>
                <w:tab w:val="clear" w:pos="644"/>
                <w:tab w:val="num" w:pos="720"/>
              </w:tabs>
              <w:ind w:left="720" w:hanging="218"/>
              <w:rPr>
                <w:rFonts w:eastAsia="Times New Roman" w:cs="Times New Roman"/>
              </w:rPr>
            </w:pPr>
            <w:r w:rsidRPr="00980B3A">
              <w:rPr>
                <w:rFonts w:eastAsia="Times New Roman" w:cs="Times New Roman"/>
              </w:rPr>
              <w:t>Хвосты геологических проб – 01 01 01 – 7,0 т/год</w:t>
            </w:r>
          </w:p>
          <w:p w14:paraId="2F9805AE" w14:textId="77777777" w:rsidR="009F2AA9" w:rsidRPr="00980B3A" w:rsidRDefault="009F2AA9" w:rsidP="009F2AA9">
            <w:pPr>
              <w:widowControl/>
              <w:numPr>
                <w:ilvl w:val="0"/>
                <w:numId w:val="9"/>
              </w:numPr>
              <w:tabs>
                <w:tab w:val="clear" w:pos="644"/>
                <w:tab w:val="num" w:pos="720"/>
              </w:tabs>
              <w:spacing w:before="100" w:beforeAutospacing="1" w:after="100" w:afterAutospacing="1"/>
              <w:ind w:left="720" w:hanging="218"/>
              <w:rPr>
                <w:rFonts w:eastAsia="Times New Roman" w:cs="Times New Roman"/>
              </w:rPr>
            </w:pPr>
            <w:r w:rsidRPr="00980B3A">
              <w:rPr>
                <w:rFonts w:eastAsia="Times New Roman" w:cs="Times New Roman"/>
              </w:rPr>
              <w:t>Древесные отходы – 15 01 03 – 10,8 т/год</w:t>
            </w:r>
          </w:p>
          <w:p w14:paraId="761E9EE0" w14:textId="77777777" w:rsidR="009F2AA9" w:rsidRPr="00980B3A" w:rsidRDefault="009F2AA9" w:rsidP="009F2AA9">
            <w:pPr>
              <w:widowControl/>
              <w:numPr>
                <w:ilvl w:val="0"/>
                <w:numId w:val="9"/>
              </w:numPr>
              <w:tabs>
                <w:tab w:val="clear" w:pos="644"/>
                <w:tab w:val="num" w:pos="720"/>
              </w:tabs>
              <w:spacing w:before="100" w:beforeAutospacing="1" w:after="100" w:afterAutospacing="1"/>
              <w:ind w:left="720" w:hanging="218"/>
              <w:rPr>
                <w:rFonts w:eastAsia="Times New Roman" w:cs="Times New Roman"/>
              </w:rPr>
            </w:pPr>
            <w:r w:rsidRPr="00980B3A">
              <w:rPr>
                <w:rFonts w:eastAsia="Times New Roman" w:cs="Times New Roman"/>
              </w:rPr>
              <w:t>Золошлаковые отходы (ЗШО) – 10 01 01 – 943,0 т/год</w:t>
            </w:r>
          </w:p>
          <w:p w14:paraId="0FC20033" w14:textId="77777777" w:rsidR="009F2AA9" w:rsidRPr="00980B3A" w:rsidRDefault="009F2AA9" w:rsidP="009F2AA9">
            <w:pPr>
              <w:widowControl/>
              <w:numPr>
                <w:ilvl w:val="0"/>
                <w:numId w:val="9"/>
              </w:numPr>
              <w:tabs>
                <w:tab w:val="clear" w:pos="644"/>
                <w:tab w:val="num" w:pos="720"/>
              </w:tabs>
              <w:spacing w:before="100" w:beforeAutospacing="1" w:after="100" w:afterAutospacing="1"/>
              <w:ind w:left="720" w:hanging="218"/>
              <w:rPr>
                <w:rFonts w:eastAsia="Times New Roman" w:cs="Times New Roman"/>
              </w:rPr>
            </w:pPr>
            <w:r w:rsidRPr="00980B3A">
              <w:rPr>
                <w:rFonts w:eastAsia="Times New Roman" w:cs="Times New Roman"/>
              </w:rPr>
              <w:t>Огарки сварочных электродов – 12 01 13 – 0,5 т/год</w:t>
            </w:r>
          </w:p>
          <w:p w14:paraId="208E4BB8" w14:textId="77777777" w:rsidR="009F2AA9" w:rsidRPr="00980B3A" w:rsidRDefault="009F2AA9" w:rsidP="009F2AA9">
            <w:pPr>
              <w:widowControl/>
              <w:numPr>
                <w:ilvl w:val="0"/>
                <w:numId w:val="9"/>
              </w:numPr>
              <w:tabs>
                <w:tab w:val="clear" w:pos="644"/>
                <w:tab w:val="num" w:pos="720"/>
              </w:tabs>
              <w:spacing w:before="100" w:beforeAutospacing="1" w:after="100" w:afterAutospacing="1"/>
              <w:ind w:left="720" w:hanging="218"/>
              <w:rPr>
                <w:rFonts w:eastAsia="Times New Roman" w:cs="Times New Roman"/>
              </w:rPr>
            </w:pPr>
            <w:r w:rsidRPr="00980B3A">
              <w:rPr>
                <w:rFonts w:eastAsia="Times New Roman" w:cs="Times New Roman"/>
              </w:rPr>
              <w:t>Мешки текстильные из-под проб – 15 01 09 – 5,0 т/год</w:t>
            </w:r>
          </w:p>
          <w:p w14:paraId="0DFB853F" w14:textId="77777777" w:rsidR="009F2AA9" w:rsidRPr="00980B3A" w:rsidRDefault="009F2AA9" w:rsidP="009F2AA9">
            <w:pPr>
              <w:widowControl/>
              <w:numPr>
                <w:ilvl w:val="0"/>
                <w:numId w:val="9"/>
              </w:numPr>
              <w:tabs>
                <w:tab w:val="clear" w:pos="644"/>
                <w:tab w:val="num" w:pos="720"/>
              </w:tabs>
              <w:spacing w:before="100" w:beforeAutospacing="1" w:after="100" w:afterAutospacing="1"/>
              <w:ind w:left="720" w:hanging="218"/>
              <w:rPr>
                <w:rFonts w:eastAsia="Times New Roman" w:cs="Times New Roman"/>
              </w:rPr>
            </w:pPr>
            <w:r w:rsidRPr="00980B3A">
              <w:rPr>
                <w:rFonts w:eastAsia="Times New Roman" w:cs="Times New Roman"/>
              </w:rPr>
              <w:t>Отработанные самоспасатели – 15 02 03 – 3,0 т/год</w:t>
            </w:r>
          </w:p>
          <w:p w14:paraId="05338C98" w14:textId="77777777" w:rsidR="009F2AA9" w:rsidRPr="00980B3A" w:rsidRDefault="009F2AA9" w:rsidP="009F2AA9">
            <w:pPr>
              <w:widowControl/>
              <w:numPr>
                <w:ilvl w:val="0"/>
                <w:numId w:val="9"/>
              </w:numPr>
              <w:tabs>
                <w:tab w:val="clear" w:pos="644"/>
                <w:tab w:val="num" w:pos="720"/>
              </w:tabs>
              <w:spacing w:before="100" w:beforeAutospacing="1" w:after="100" w:afterAutospacing="1"/>
              <w:ind w:left="720" w:hanging="218"/>
              <w:rPr>
                <w:rFonts w:eastAsia="Times New Roman" w:cs="Times New Roman"/>
              </w:rPr>
            </w:pPr>
            <w:r w:rsidRPr="00980B3A">
              <w:rPr>
                <w:rFonts w:eastAsia="Times New Roman" w:cs="Times New Roman"/>
              </w:rPr>
              <w:t>Отработанные шины автотранспортные – 16 01 03 – 119,0 т/год</w:t>
            </w:r>
          </w:p>
          <w:p w14:paraId="25A55A5E" w14:textId="77777777" w:rsidR="009F2AA9" w:rsidRPr="00980B3A" w:rsidRDefault="009F2AA9" w:rsidP="009F2AA9">
            <w:pPr>
              <w:widowControl/>
              <w:numPr>
                <w:ilvl w:val="0"/>
                <w:numId w:val="9"/>
              </w:numPr>
              <w:tabs>
                <w:tab w:val="clear" w:pos="644"/>
                <w:tab w:val="num" w:pos="720"/>
              </w:tabs>
              <w:spacing w:before="100" w:beforeAutospacing="1" w:after="100" w:afterAutospacing="1"/>
              <w:ind w:left="720" w:hanging="218"/>
              <w:rPr>
                <w:rFonts w:eastAsia="Times New Roman" w:cs="Times New Roman"/>
              </w:rPr>
            </w:pPr>
            <w:r w:rsidRPr="00980B3A">
              <w:rPr>
                <w:rFonts w:eastAsia="Times New Roman" w:cs="Times New Roman"/>
              </w:rPr>
              <w:t>Отходы и лом черных металлов – 16 01 17 – 500,0 т/год</w:t>
            </w:r>
          </w:p>
          <w:p w14:paraId="53889600" w14:textId="77777777" w:rsidR="009F2AA9" w:rsidRPr="00980B3A" w:rsidRDefault="009F2AA9" w:rsidP="009F2AA9">
            <w:pPr>
              <w:widowControl/>
              <w:numPr>
                <w:ilvl w:val="0"/>
                <w:numId w:val="9"/>
              </w:numPr>
              <w:tabs>
                <w:tab w:val="clear" w:pos="644"/>
                <w:tab w:val="num" w:pos="720"/>
              </w:tabs>
              <w:spacing w:before="100" w:beforeAutospacing="1" w:after="100" w:afterAutospacing="1"/>
              <w:ind w:left="720" w:hanging="218"/>
              <w:rPr>
                <w:rFonts w:eastAsia="Times New Roman" w:cs="Times New Roman"/>
              </w:rPr>
            </w:pPr>
            <w:r w:rsidRPr="00980B3A">
              <w:rPr>
                <w:rFonts w:eastAsia="Times New Roman" w:cs="Times New Roman"/>
              </w:rPr>
              <w:t>Лом и отходы отработанных абразивных изделий – 12 01 21 – 0,076 т/год</w:t>
            </w:r>
          </w:p>
          <w:p w14:paraId="39EF4D46" w14:textId="77777777" w:rsidR="009F2AA9" w:rsidRPr="00980B3A" w:rsidRDefault="009F2AA9" w:rsidP="009F2AA9">
            <w:pPr>
              <w:widowControl/>
              <w:numPr>
                <w:ilvl w:val="0"/>
                <w:numId w:val="9"/>
              </w:numPr>
              <w:tabs>
                <w:tab w:val="clear" w:pos="644"/>
                <w:tab w:val="num" w:pos="720"/>
              </w:tabs>
              <w:spacing w:before="100" w:beforeAutospacing="1" w:after="100" w:afterAutospacing="1"/>
              <w:ind w:left="720" w:hanging="218"/>
              <w:rPr>
                <w:rFonts w:eastAsia="Times New Roman" w:cs="Times New Roman"/>
              </w:rPr>
            </w:pPr>
            <w:r w:rsidRPr="00980B3A">
              <w:rPr>
                <w:rFonts w:eastAsia="Times New Roman" w:cs="Times New Roman"/>
              </w:rPr>
              <w:t>Отработанные воздушные фильтры – 15 02 03 – 0,672 т/год</w:t>
            </w:r>
          </w:p>
          <w:p w14:paraId="2C745704" w14:textId="77777777" w:rsidR="009F2AA9" w:rsidRPr="00980B3A" w:rsidRDefault="009F2AA9" w:rsidP="009F2AA9">
            <w:pPr>
              <w:widowControl/>
              <w:numPr>
                <w:ilvl w:val="0"/>
                <w:numId w:val="9"/>
              </w:numPr>
              <w:tabs>
                <w:tab w:val="clear" w:pos="644"/>
                <w:tab w:val="num" w:pos="720"/>
              </w:tabs>
              <w:spacing w:before="100" w:beforeAutospacing="1" w:after="100" w:afterAutospacing="1"/>
              <w:ind w:left="720" w:hanging="218"/>
              <w:rPr>
                <w:rFonts w:eastAsia="Times New Roman" w:cs="Times New Roman"/>
              </w:rPr>
            </w:pPr>
            <w:r w:rsidRPr="00980B3A">
              <w:rPr>
                <w:rFonts w:eastAsia="Times New Roman" w:cs="Times New Roman"/>
              </w:rPr>
              <w:t>Отработанные светодиодные лампы и светильники – 16 02 16 – 1,5 т/год</w:t>
            </w:r>
          </w:p>
          <w:p w14:paraId="063AED1A" w14:textId="77777777" w:rsidR="009F2AA9" w:rsidRPr="00980B3A" w:rsidRDefault="009F2AA9" w:rsidP="009F2AA9">
            <w:pPr>
              <w:widowControl/>
              <w:numPr>
                <w:ilvl w:val="0"/>
                <w:numId w:val="9"/>
              </w:numPr>
              <w:tabs>
                <w:tab w:val="clear" w:pos="644"/>
                <w:tab w:val="num" w:pos="720"/>
              </w:tabs>
              <w:spacing w:before="100" w:beforeAutospacing="1" w:after="100" w:afterAutospacing="1"/>
              <w:ind w:left="720" w:hanging="218"/>
              <w:rPr>
                <w:rFonts w:eastAsia="Times New Roman" w:cs="Times New Roman"/>
              </w:rPr>
            </w:pPr>
            <w:r w:rsidRPr="00980B3A">
              <w:rPr>
                <w:rFonts w:eastAsia="Times New Roman" w:cs="Times New Roman"/>
              </w:rPr>
              <w:t>Отработанные щелочные литиевые батареи от шахтерских фонарей – 16 06 05 – 0,5 т/год</w:t>
            </w:r>
          </w:p>
          <w:p w14:paraId="1DA6BE36" w14:textId="77777777" w:rsidR="009F2AA9" w:rsidRPr="00980B3A" w:rsidRDefault="009F2AA9" w:rsidP="009F2AA9">
            <w:pPr>
              <w:widowControl/>
              <w:numPr>
                <w:ilvl w:val="0"/>
                <w:numId w:val="9"/>
              </w:numPr>
              <w:tabs>
                <w:tab w:val="clear" w:pos="644"/>
                <w:tab w:val="num" w:pos="720"/>
              </w:tabs>
              <w:spacing w:before="100" w:beforeAutospacing="1" w:after="100" w:afterAutospacing="1"/>
              <w:ind w:left="720" w:hanging="218"/>
              <w:rPr>
                <w:rFonts w:eastAsia="Times New Roman" w:cs="Times New Roman"/>
              </w:rPr>
            </w:pPr>
            <w:r w:rsidRPr="00980B3A">
              <w:rPr>
                <w:rFonts w:eastAsia="Times New Roman" w:cs="Times New Roman"/>
              </w:rPr>
              <w:t>Строительные отходы – 17 01 07 – 500,0 т/год</w:t>
            </w:r>
          </w:p>
          <w:p w14:paraId="20DBE733" w14:textId="77777777" w:rsidR="009F2AA9" w:rsidRPr="00980B3A" w:rsidRDefault="009F2AA9" w:rsidP="009F2AA9">
            <w:pPr>
              <w:widowControl/>
              <w:numPr>
                <w:ilvl w:val="0"/>
                <w:numId w:val="9"/>
              </w:numPr>
              <w:tabs>
                <w:tab w:val="clear" w:pos="644"/>
                <w:tab w:val="num" w:pos="720"/>
              </w:tabs>
              <w:spacing w:before="100" w:beforeAutospacing="1" w:after="100" w:afterAutospacing="1"/>
              <w:ind w:left="720" w:hanging="218"/>
              <w:rPr>
                <w:rFonts w:eastAsia="Times New Roman" w:cs="Times New Roman"/>
              </w:rPr>
            </w:pPr>
            <w:r w:rsidRPr="00980B3A">
              <w:rPr>
                <w:rFonts w:eastAsia="Times New Roman" w:cs="Times New Roman"/>
              </w:rPr>
              <w:t>Отходы и лом меди – 17 04 01 – 3,5 т/год</w:t>
            </w:r>
          </w:p>
          <w:p w14:paraId="2F41513E" w14:textId="77777777" w:rsidR="009F2AA9" w:rsidRPr="00980B3A" w:rsidRDefault="009F2AA9" w:rsidP="009F2AA9">
            <w:pPr>
              <w:widowControl/>
              <w:numPr>
                <w:ilvl w:val="0"/>
                <w:numId w:val="9"/>
              </w:numPr>
              <w:tabs>
                <w:tab w:val="clear" w:pos="644"/>
                <w:tab w:val="num" w:pos="720"/>
              </w:tabs>
              <w:spacing w:before="100" w:beforeAutospacing="1" w:after="100" w:afterAutospacing="1"/>
              <w:ind w:left="720" w:hanging="218"/>
              <w:rPr>
                <w:rFonts w:eastAsia="Times New Roman" w:cs="Times New Roman"/>
              </w:rPr>
            </w:pPr>
            <w:r w:rsidRPr="00980B3A">
              <w:rPr>
                <w:rFonts w:eastAsia="Times New Roman" w:cs="Times New Roman"/>
              </w:rPr>
              <w:t>Отработанная конвейерная лента – 19 12 04 – 50,0 т/год</w:t>
            </w:r>
          </w:p>
          <w:p w14:paraId="77D67676" w14:textId="77777777" w:rsidR="009F2AA9" w:rsidRPr="00980B3A" w:rsidRDefault="009F2AA9" w:rsidP="009F2AA9">
            <w:pPr>
              <w:widowControl/>
              <w:numPr>
                <w:ilvl w:val="0"/>
                <w:numId w:val="9"/>
              </w:numPr>
              <w:tabs>
                <w:tab w:val="clear" w:pos="644"/>
                <w:tab w:val="num" w:pos="720"/>
              </w:tabs>
              <w:spacing w:before="100" w:beforeAutospacing="1" w:after="100" w:afterAutospacing="1"/>
              <w:ind w:left="720" w:hanging="218"/>
              <w:rPr>
                <w:rFonts w:eastAsia="Times New Roman" w:cs="Times New Roman"/>
              </w:rPr>
            </w:pPr>
            <w:r w:rsidRPr="00980B3A">
              <w:rPr>
                <w:rFonts w:eastAsia="Times New Roman" w:cs="Times New Roman"/>
              </w:rPr>
              <w:t>Отходы РТИ – 19 12 04 – 30,0 т/год</w:t>
            </w:r>
          </w:p>
          <w:p w14:paraId="798B7CE2" w14:textId="77777777" w:rsidR="009F2AA9" w:rsidRPr="00980B3A" w:rsidRDefault="009F2AA9" w:rsidP="009F2AA9">
            <w:pPr>
              <w:widowControl/>
              <w:numPr>
                <w:ilvl w:val="0"/>
                <w:numId w:val="9"/>
              </w:numPr>
              <w:tabs>
                <w:tab w:val="clear" w:pos="644"/>
                <w:tab w:val="num" w:pos="720"/>
              </w:tabs>
              <w:spacing w:before="100" w:beforeAutospacing="1" w:after="100" w:afterAutospacing="1"/>
              <w:ind w:left="720" w:hanging="218"/>
              <w:rPr>
                <w:rFonts w:eastAsia="Times New Roman" w:cs="Times New Roman"/>
              </w:rPr>
            </w:pPr>
            <w:r w:rsidRPr="00980B3A">
              <w:rPr>
                <w:rFonts w:eastAsia="Times New Roman" w:cs="Times New Roman"/>
              </w:rPr>
              <w:t>Макулатура – 20 01 01 – 25,0 т/год</w:t>
            </w:r>
          </w:p>
          <w:p w14:paraId="7742D938" w14:textId="77777777" w:rsidR="009F2AA9" w:rsidRPr="00980B3A" w:rsidRDefault="009F2AA9" w:rsidP="009F2AA9">
            <w:pPr>
              <w:widowControl/>
              <w:numPr>
                <w:ilvl w:val="0"/>
                <w:numId w:val="9"/>
              </w:numPr>
              <w:tabs>
                <w:tab w:val="clear" w:pos="644"/>
                <w:tab w:val="num" w:pos="720"/>
              </w:tabs>
              <w:spacing w:before="100" w:beforeAutospacing="1" w:after="100" w:afterAutospacing="1"/>
              <w:ind w:left="720" w:hanging="218"/>
              <w:rPr>
                <w:rFonts w:eastAsia="Times New Roman" w:cs="Times New Roman"/>
              </w:rPr>
            </w:pPr>
            <w:r w:rsidRPr="00980B3A">
              <w:rPr>
                <w:rFonts w:eastAsia="Times New Roman" w:cs="Times New Roman"/>
              </w:rPr>
              <w:t>Стеклобой – 20 01 02 – 0,8 т/год</w:t>
            </w:r>
          </w:p>
          <w:p w14:paraId="5A942191" w14:textId="77777777" w:rsidR="009F2AA9" w:rsidRPr="00980B3A" w:rsidRDefault="009F2AA9" w:rsidP="009F2AA9">
            <w:pPr>
              <w:widowControl/>
              <w:numPr>
                <w:ilvl w:val="0"/>
                <w:numId w:val="9"/>
              </w:numPr>
              <w:tabs>
                <w:tab w:val="clear" w:pos="644"/>
                <w:tab w:val="num" w:pos="720"/>
              </w:tabs>
              <w:spacing w:before="100" w:beforeAutospacing="1" w:after="100" w:afterAutospacing="1"/>
              <w:ind w:left="720" w:hanging="218"/>
              <w:rPr>
                <w:rFonts w:eastAsia="Times New Roman" w:cs="Times New Roman"/>
              </w:rPr>
            </w:pPr>
            <w:r w:rsidRPr="00980B3A">
              <w:rPr>
                <w:rFonts w:eastAsia="Times New Roman" w:cs="Times New Roman"/>
              </w:rPr>
              <w:t>Отходы электроники и оргтехники – 20 01 36 – 4,0 т/год</w:t>
            </w:r>
          </w:p>
          <w:p w14:paraId="7FD8AAFD" w14:textId="77777777" w:rsidR="009F2AA9" w:rsidRPr="00980B3A" w:rsidRDefault="009F2AA9" w:rsidP="009F2AA9">
            <w:pPr>
              <w:widowControl/>
              <w:numPr>
                <w:ilvl w:val="0"/>
                <w:numId w:val="9"/>
              </w:numPr>
              <w:tabs>
                <w:tab w:val="clear" w:pos="644"/>
                <w:tab w:val="num" w:pos="720"/>
              </w:tabs>
              <w:spacing w:before="100" w:beforeAutospacing="1" w:after="100" w:afterAutospacing="1"/>
              <w:ind w:left="720" w:hanging="218"/>
              <w:rPr>
                <w:rFonts w:eastAsia="Times New Roman" w:cs="Times New Roman"/>
              </w:rPr>
            </w:pPr>
            <w:r w:rsidRPr="00980B3A">
              <w:rPr>
                <w:rFonts w:eastAsia="Times New Roman" w:cs="Times New Roman"/>
              </w:rPr>
              <w:t>ПЭТ отходы – 20 01 39 – 14,0 т/год</w:t>
            </w:r>
          </w:p>
          <w:p w14:paraId="36249AA8" w14:textId="77777777" w:rsidR="009F2AA9" w:rsidRPr="00980B3A" w:rsidRDefault="009F2AA9" w:rsidP="009F2AA9">
            <w:pPr>
              <w:widowControl/>
              <w:numPr>
                <w:ilvl w:val="0"/>
                <w:numId w:val="9"/>
              </w:numPr>
              <w:tabs>
                <w:tab w:val="clear" w:pos="644"/>
                <w:tab w:val="num" w:pos="720"/>
              </w:tabs>
              <w:ind w:left="720" w:hanging="218"/>
              <w:rPr>
                <w:rFonts w:eastAsia="Times New Roman" w:cs="Times New Roman"/>
              </w:rPr>
            </w:pPr>
            <w:r w:rsidRPr="00980B3A">
              <w:rPr>
                <w:rFonts w:eastAsia="Times New Roman" w:cs="Times New Roman"/>
              </w:rPr>
              <w:t>Твердые бытовые отходы (ТБО) – 20 03 01 – 102,54 т/год</w:t>
            </w:r>
          </w:p>
          <w:p w14:paraId="354DE47E" w14:textId="77777777" w:rsidR="009F2AA9" w:rsidRPr="00980B3A" w:rsidRDefault="009F2AA9" w:rsidP="009F2AA9">
            <w:pPr>
              <w:widowControl/>
              <w:numPr>
                <w:ilvl w:val="0"/>
                <w:numId w:val="9"/>
              </w:numPr>
              <w:tabs>
                <w:tab w:val="clear" w:pos="644"/>
                <w:tab w:val="num" w:pos="720"/>
              </w:tabs>
              <w:ind w:left="720" w:hanging="218"/>
              <w:rPr>
                <w:rFonts w:eastAsia="Times New Roman" w:cs="Times New Roman"/>
              </w:rPr>
            </w:pPr>
            <w:r w:rsidRPr="00980B3A">
              <w:rPr>
                <w:rFonts w:eastAsia="Times New Roman" w:cs="Times New Roman"/>
              </w:rPr>
              <w:t>Отходы мебели смешанного состава (металл, древесные материалы, пластик) - 03 01 99 – 5 т/год</w:t>
            </w:r>
          </w:p>
          <w:p w14:paraId="084377DD" w14:textId="77777777" w:rsidR="009F2AA9" w:rsidRPr="00980B3A" w:rsidRDefault="009F2AA9" w:rsidP="00725465">
            <w:pPr>
              <w:pStyle w:val="ab"/>
              <w:ind w:firstLine="567"/>
              <w:jc w:val="both"/>
              <w:rPr>
                <w:iCs/>
                <w:sz w:val="24"/>
                <w:szCs w:val="24"/>
              </w:rPr>
            </w:pPr>
            <w:r w:rsidRPr="00980B3A">
              <w:rPr>
                <w:rFonts w:eastAsia="TimesNewRomanPSMT"/>
                <w:b/>
                <w:sz w:val="24"/>
                <w:szCs w:val="24"/>
              </w:rPr>
              <w:t xml:space="preserve">Вывод: </w:t>
            </w:r>
            <w:r w:rsidRPr="00980B3A">
              <w:rPr>
                <w:rFonts w:eastAsia="TimesNewRomanPSMT"/>
                <w:sz w:val="24"/>
                <w:szCs w:val="24"/>
              </w:rPr>
              <w:t>влияние от размещения отходов производства и потребления будет низким.</w:t>
            </w:r>
          </w:p>
          <w:p w14:paraId="1F5A14B5" w14:textId="77777777" w:rsidR="009F2AA9" w:rsidRPr="00980B3A" w:rsidRDefault="009F2AA9" w:rsidP="00725465">
            <w:pPr>
              <w:pStyle w:val="ab"/>
              <w:ind w:firstLine="567"/>
              <w:jc w:val="both"/>
              <w:rPr>
                <w:b/>
                <w:bCs/>
                <w:sz w:val="24"/>
                <w:szCs w:val="24"/>
              </w:rPr>
            </w:pPr>
            <w:r w:rsidRPr="00980B3A">
              <w:rPr>
                <w:sz w:val="24"/>
                <w:szCs w:val="24"/>
              </w:rPr>
              <w:t>В перечень загрязняющих веществ, подлежащих внесению в Регистр выбросов и переноса загрязнителей, никакие вещества, образующиеся в рамках намечаемой деятельности, не входят.</w:t>
            </w:r>
          </w:p>
        </w:tc>
      </w:tr>
      <w:bookmarkEnd w:id="10"/>
      <w:tr w:rsidR="009F2AA9" w:rsidRPr="00980B3A" w14:paraId="533A08E7" w14:textId="77777777" w:rsidTr="00725465">
        <w:trPr>
          <w:jc w:val="center"/>
        </w:trPr>
        <w:tc>
          <w:tcPr>
            <w:tcW w:w="5000" w:type="pct"/>
          </w:tcPr>
          <w:p w14:paraId="6C996163" w14:textId="77777777" w:rsidR="009F2AA9" w:rsidRPr="00980B3A" w:rsidRDefault="009F2AA9" w:rsidP="00725465">
            <w:pPr>
              <w:suppressAutoHyphens/>
              <w:ind w:firstLine="502"/>
            </w:pPr>
            <w:r w:rsidRPr="00980B3A">
              <w:lastRenderedPageBreak/>
              <w:t>Экологическое разрешение на воздействие – Департамент экологии по Акмолинский области.</w:t>
            </w:r>
          </w:p>
        </w:tc>
      </w:tr>
      <w:tr w:rsidR="009F2AA9" w:rsidRPr="00980B3A" w14:paraId="3E701B98" w14:textId="77777777" w:rsidTr="00725465">
        <w:trPr>
          <w:jc w:val="center"/>
        </w:trPr>
        <w:tc>
          <w:tcPr>
            <w:tcW w:w="5000" w:type="pct"/>
            <w:vAlign w:val="center"/>
          </w:tcPr>
          <w:p w14:paraId="74745C28" w14:textId="77777777" w:rsidR="009F2AA9" w:rsidRPr="00980B3A" w:rsidRDefault="009F2AA9" w:rsidP="00725465">
            <w:pPr>
              <w:ind w:firstLine="502"/>
              <w:rPr>
                <w:rFonts w:eastAsia="Times New Roman" w:cs="Times New Roman"/>
                <w:bCs/>
              </w:rPr>
            </w:pPr>
            <w:r w:rsidRPr="00980B3A">
              <w:rPr>
                <w:rFonts w:eastAsia="Times New Roman" w:cs="Times New Roman"/>
                <w:bCs/>
              </w:rPr>
              <w:t>Для наблюдения за режимом и составом подземных вод у предприятия имеется действующая сеть наблюдательных скважин. Осуществляется проведение ежеквартального мониторинга за состоянием подземных вод.</w:t>
            </w:r>
          </w:p>
          <w:p w14:paraId="2F006D5B" w14:textId="77777777" w:rsidR="009F2AA9" w:rsidRPr="00980B3A" w:rsidRDefault="009F2AA9" w:rsidP="00725465">
            <w:pPr>
              <w:ind w:firstLine="502"/>
              <w:rPr>
                <w:rFonts w:cs="Times New Roman"/>
              </w:rPr>
            </w:pPr>
            <w:r w:rsidRPr="00980B3A">
              <w:rPr>
                <w:rFonts w:eastAsia="Times New Roman" w:cs="Times New Roman"/>
                <w:bCs/>
              </w:rPr>
              <w:t>Предприятие ведет постоянный контроль за состоянием атмосферного воздуха, водных ресурсов и почвенного покрова на границе санитарно-защитной зоны предприятия, в результате мониторинговых исследований превышения загрязняющих веществ не выявлено.</w:t>
            </w:r>
          </w:p>
        </w:tc>
      </w:tr>
      <w:tr w:rsidR="009F2AA9" w:rsidRPr="00980B3A" w14:paraId="282C20CD" w14:textId="77777777" w:rsidTr="00725465">
        <w:trPr>
          <w:jc w:val="center"/>
        </w:trPr>
        <w:tc>
          <w:tcPr>
            <w:tcW w:w="5000" w:type="pct"/>
          </w:tcPr>
          <w:p w14:paraId="6DDF6065" w14:textId="77777777" w:rsidR="009F2AA9" w:rsidRPr="00980B3A" w:rsidRDefault="009F2AA9" w:rsidP="00725465">
            <w:pPr>
              <w:pStyle w:val="11"/>
              <w:ind w:firstLine="502"/>
              <w:rPr>
                <w:color w:val="000000"/>
                <w:szCs w:val="24"/>
              </w:rPr>
            </w:pPr>
            <w:bookmarkStart w:id="13" w:name="_Hlk158373561"/>
            <w:r w:rsidRPr="00980B3A">
              <w:rPr>
                <w:color w:val="000000"/>
                <w:szCs w:val="24"/>
              </w:rPr>
              <w:t xml:space="preserve">Концентрации загрязняющих веществ в приземном слое атмосферы не превысит ПДК, область воздействия будет ограничена территорией участка работ, что свидетельствуют о соблюдении гигиенических стандартов качества атмосферного воздуха по всем веществам, выбрасываемым источниками при работе. </w:t>
            </w:r>
          </w:p>
          <w:p w14:paraId="2D81FC27" w14:textId="77777777" w:rsidR="009F2AA9" w:rsidRPr="00980B3A" w:rsidRDefault="009F2AA9" w:rsidP="00725465">
            <w:pPr>
              <w:pStyle w:val="11"/>
              <w:ind w:firstLine="502"/>
              <w:rPr>
                <w:color w:val="000000"/>
                <w:szCs w:val="24"/>
              </w:rPr>
            </w:pPr>
            <w:r w:rsidRPr="00980B3A">
              <w:rPr>
                <w:color w:val="000000"/>
                <w:szCs w:val="24"/>
              </w:rPr>
              <w:lastRenderedPageBreak/>
              <w:t xml:space="preserve">Воздействие строительных работ на атмосферный воздух характеризуется как – низкой значимости. </w:t>
            </w:r>
          </w:p>
          <w:p w14:paraId="6EB32893" w14:textId="77777777" w:rsidR="009F2AA9" w:rsidRPr="00980B3A" w:rsidRDefault="009F2AA9" w:rsidP="00725465">
            <w:pPr>
              <w:pStyle w:val="11"/>
              <w:ind w:firstLine="502"/>
              <w:rPr>
                <w:color w:val="000000"/>
                <w:szCs w:val="24"/>
              </w:rPr>
            </w:pPr>
            <w:r w:rsidRPr="00980B3A">
              <w:rPr>
                <w:color w:val="000000"/>
                <w:szCs w:val="24"/>
              </w:rPr>
              <w:t>Воздействие строительных работ на поверхностные и подземные воды – отсутствует.</w:t>
            </w:r>
          </w:p>
          <w:p w14:paraId="6A288962" w14:textId="77777777" w:rsidR="009F2AA9" w:rsidRPr="00980B3A" w:rsidRDefault="009F2AA9" w:rsidP="00725465">
            <w:pPr>
              <w:pStyle w:val="11"/>
              <w:ind w:firstLine="502"/>
              <w:rPr>
                <w:color w:val="000000"/>
                <w:szCs w:val="24"/>
              </w:rPr>
            </w:pPr>
            <w:r w:rsidRPr="00980B3A">
              <w:rPr>
                <w:color w:val="000000"/>
                <w:szCs w:val="24"/>
              </w:rPr>
              <w:t>Изъятие новых земель не предусматривается. Прямое негативное воздействие намечаемой деятельности на земельные ресурсы не прогнозируется.</w:t>
            </w:r>
          </w:p>
          <w:p w14:paraId="302B69B7" w14:textId="77777777" w:rsidR="009F2AA9" w:rsidRPr="00980B3A" w:rsidRDefault="009F2AA9" w:rsidP="00725465">
            <w:pPr>
              <w:pStyle w:val="11"/>
              <w:ind w:firstLine="502"/>
              <w:rPr>
                <w:color w:val="000000"/>
                <w:szCs w:val="24"/>
              </w:rPr>
            </w:pPr>
            <w:r w:rsidRPr="00980B3A">
              <w:rPr>
                <w:color w:val="000000"/>
                <w:szCs w:val="24"/>
              </w:rPr>
              <w:t xml:space="preserve">Физическое воздействие на растительный мир (вырубка деревьев, уничтожение травянистой растительности) не предусматривается. Прямое воздействие намечаемых работ на растительность не прогнозируется. </w:t>
            </w:r>
          </w:p>
          <w:p w14:paraId="0C8367A7" w14:textId="77777777" w:rsidR="009F2AA9" w:rsidRPr="00980B3A" w:rsidRDefault="009F2AA9" w:rsidP="00725465">
            <w:pPr>
              <w:pStyle w:val="11"/>
              <w:ind w:firstLine="502"/>
              <w:rPr>
                <w:rFonts w:eastAsiaTheme="minorEastAsia"/>
                <w:szCs w:val="24"/>
              </w:rPr>
            </w:pPr>
            <w:r w:rsidRPr="00980B3A">
              <w:rPr>
                <w:color w:val="000000"/>
                <w:szCs w:val="24"/>
              </w:rPr>
              <w:t>Физическое воздействие на животный мир (охота, уничтожение мест обитания) не предусматривается. Прямое воздействие намечаемых работ на животный не прогнозируется.</w:t>
            </w:r>
            <w:bookmarkEnd w:id="13"/>
          </w:p>
        </w:tc>
      </w:tr>
      <w:tr w:rsidR="009F2AA9" w:rsidRPr="00980B3A" w14:paraId="6B910A44" w14:textId="77777777" w:rsidTr="00725465">
        <w:trPr>
          <w:jc w:val="center"/>
        </w:trPr>
        <w:tc>
          <w:tcPr>
            <w:tcW w:w="5000" w:type="pct"/>
          </w:tcPr>
          <w:p w14:paraId="3FF3159D" w14:textId="77777777" w:rsidR="009F2AA9" w:rsidRPr="00980B3A" w:rsidRDefault="009F2AA9" w:rsidP="00725465">
            <w:pPr>
              <w:shd w:val="clear" w:color="auto" w:fill="FFFFFF"/>
              <w:tabs>
                <w:tab w:val="left" w:pos="993"/>
                <w:tab w:val="left" w:pos="1560"/>
              </w:tabs>
              <w:suppressAutoHyphens/>
              <w:ind w:firstLine="567"/>
              <w:textAlignment w:val="baseline"/>
              <w:rPr>
                <w:rFonts w:eastAsia="Times New Roman"/>
              </w:rPr>
            </w:pPr>
            <w:r w:rsidRPr="00980B3A">
              <w:rPr>
                <w:rFonts w:eastAsia="Times New Roman"/>
              </w:rPr>
              <w:lastRenderedPageBreak/>
              <w:t>Трансграничных воздействий на окружающую среду не предусматривается.</w:t>
            </w:r>
          </w:p>
        </w:tc>
      </w:tr>
      <w:tr w:rsidR="009F2AA9" w:rsidRPr="00980B3A" w14:paraId="0356AAD7" w14:textId="77777777" w:rsidTr="00725465">
        <w:trPr>
          <w:jc w:val="center"/>
        </w:trPr>
        <w:tc>
          <w:tcPr>
            <w:tcW w:w="5000" w:type="pct"/>
          </w:tcPr>
          <w:p w14:paraId="3643B190" w14:textId="77777777" w:rsidR="009F2AA9" w:rsidRPr="00980B3A" w:rsidRDefault="009F2AA9" w:rsidP="00725465">
            <w:pPr>
              <w:pStyle w:val="11"/>
              <w:rPr>
                <w:szCs w:val="24"/>
              </w:rPr>
            </w:pPr>
            <w:bookmarkStart w:id="14" w:name="_Hlk158373498"/>
            <w:r w:rsidRPr="00980B3A">
              <w:rPr>
                <w:szCs w:val="24"/>
              </w:rPr>
              <w:t>При осуществлении намечаемой деятельности предлагаются следующие меры по предупреждению, исключению и снижению возможных форм неблагоприятного воздействия на окружающую среду:</w:t>
            </w:r>
          </w:p>
          <w:p w14:paraId="5DFFB9A7" w14:textId="77777777" w:rsidR="009F2AA9" w:rsidRPr="00980B3A" w:rsidRDefault="009F2AA9" w:rsidP="00725465">
            <w:pPr>
              <w:pStyle w:val="11"/>
              <w:rPr>
                <w:szCs w:val="24"/>
              </w:rPr>
            </w:pPr>
            <w:r w:rsidRPr="00980B3A">
              <w:rPr>
                <w:szCs w:val="24"/>
              </w:rPr>
              <w:t>- применение пылеподавления на дорогах при интенсивном движении транспорта путем орошения дорог поливомоечным автомобилем;</w:t>
            </w:r>
          </w:p>
          <w:p w14:paraId="36821B6D" w14:textId="77777777" w:rsidR="009F2AA9" w:rsidRPr="00980B3A" w:rsidRDefault="009F2AA9" w:rsidP="00725465">
            <w:pPr>
              <w:pStyle w:val="11"/>
              <w:rPr>
                <w:szCs w:val="24"/>
              </w:rPr>
            </w:pPr>
            <w:r w:rsidRPr="00980B3A">
              <w:rPr>
                <w:szCs w:val="24"/>
              </w:rPr>
              <w:t>- приобретение и установка контейнеров для раздельного накопления коммунальных отходов.</w:t>
            </w:r>
          </w:p>
          <w:bookmarkEnd w:id="14"/>
          <w:p w14:paraId="386303AF" w14:textId="77777777" w:rsidR="009F2AA9" w:rsidRPr="00980B3A" w:rsidRDefault="009F2AA9" w:rsidP="00725465">
            <w:pPr>
              <w:pStyle w:val="11"/>
              <w:rPr>
                <w:bCs/>
                <w:szCs w:val="24"/>
              </w:rPr>
            </w:pPr>
            <w:r w:rsidRPr="00980B3A">
              <w:rPr>
                <w:bCs/>
                <w:szCs w:val="24"/>
              </w:rPr>
              <w:t>- заключение договоров со специализированными предприятиями на вывоз отходов.</w:t>
            </w:r>
          </w:p>
          <w:p w14:paraId="4991174E" w14:textId="77777777" w:rsidR="009F2AA9" w:rsidRPr="00980B3A" w:rsidRDefault="009F2AA9" w:rsidP="00725465">
            <w:pPr>
              <w:pStyle w:val="11"/>
              <w:rPr>
                <w:bCs/>
                <w:szCs w:val="24"/>
              </w:rPr>
            </w:pPr>
            <w:r w:rsidRPr="00980B3A">
              <w:rPr>
                <w:bCs/>
                <w:szCs w:val="24"/>
              </w:rPr>
              <w:t>- соблюдение правил безопасности при обращении с отходами.</w:t>
            </w:r>
          </w:p>
          <w:p w14:paraId="5E37F728" w14:textId="77777777" w:rsidR="009F2AA9" w:rsidRPr="00980B3A" w:rsidRDefault="009F2AA9" w:rsidP="00725465">
            <w:pPr>
              <w:pStyle w:val="11"/>
              <w:rPr>
                <w:bCs/>
                <w:szCs w:val="24"/>
              </w:rPr>
            </w:pPr>
            <w:r w:rsidRPr="00980B3A">
              <w:rPr>
                <w:bCs/>
                <w:szCs w:val="24"/>
              </w:rPr>
              <w:t>- применение технически исправных машин и механизмов;</w:t>
            </w:r>
          </w:p>
          <w:p w14:paraId="2411A1FC" w14:textId="77777777" w:rsidR="009F2AA9" w:rsidRPr="00980B3A" w:rsidRDefault="009F2AA9" w:rsidP="00725465">
            <w:pPr>
              <w:pStyle w:val="11"/>
              <w:rPr>
                <w:bCs/>
                <w:szCs w:val="24"/>
              </w:rPr>
            </w:pPr>
            <w:r w:rsidRPr="00980B3A">
              <w:rPr>
                <w:bCs/>
                <w:szCs w:val="24"/>
              </w:rPr>
              <w:t>- сбор хозяйственно-бытовых сточных вод в существующую канализацию;</w:t>
            </w:r>
          </w:p>
          <w:p w14:paraId="537FFBF7" w14:textId="77777777" w:rsidR="009F2AA9" w:rsidRPr="00980B3A" w:rsidRDefault="009F2AA9" w:rsidP="00725465">
            <w:pPr>
              <w:pStyle w:val="11"/>
              <w:rPr>
                <w:bCs/>
                <w:szCs w:val="24"/>
              </w:rPr>
            </w:pPr>
            <w:r w:rsidRPr="00980B3A">
              <w:rPr>
                <w:bCs/>
                <w:szCs w:val="24"/>
              </w:rPr>
              <w:t>- очистка хозяйственно-бытовых сточных вод с последующим повторным использованием в оборотной системе водоснабжения ЗИФ;</w:t>
            </w:r>
          </w:p>
          <w:p w14:paraId="6FF20E24" w14:textId="77777777" w:rsidR="009F2AA9" w:rsidRPr="00980B3A" w:rsidRDefault="009F2AA9" w:rsidP="00725465">
            <w:pPr>
              <w:pStyle w:val="11"/>
              <w:rPr>
                <w:bCs/>
                <w:szCs w:val="24"/>
              </w:rPr>
            </w:pPr>
            <w:r w:rsidRPr="00980B3A">
              <w:rPr>
                <w:bCs/>
                <w:szCs w:val="24"/>
              </w:rPr>
              <w:t>- контроль за техническим состоянием транспорта по избежание проливов ГСМ;</w:t>
            </w:r>
          </w:p>
          <w:p w14:paraId="34156BFF" w14:textId="77777777" w:rsidR="009F2AA9" w:rsidRPr="00980B3A" w:rsidRDefault="009F2AA9" w:rsidP="00725465">
            <w:pPr>
              <w:pStyle w:val="11"/>
              <w:rPr>
                <w:bCs/>
                <w:szCs w:val="24"/>
              </w:rPr>
            </w:pPr>
            <w:r w:rsidRPr="00980B3A">
              <w:rPr>
                <w:bCs/>
                <w:szCs w:val="24"/>
              </w:rPr>
              <w:t xml:space="preserve">- упорядочение складирования и транспортирования сыпучих и жидких материалов; </w:t>
            </w:r>
          </w:p>
          <w:p w14:paraId="34DCE549" w14:textId="77777777" w:rsidR="009F2AA9" w:rsidRPr="00980B3A" w:rsidRDefault="009F2AA9" w:rsidP="00725465">
            <w:pPr>
              <w:pStyle w:val="11"/>
              <w:rPr>
                <w:bCs/>
                <w:szCs w:val="24"/>
              </w:rPr>
            </w:pPr>
            <w:r w:rsidRPr="00980B3A">
              <w:rPr>
                <w:bCs/>
                <w:szCs w:val="24"/>
              </w:rPr>
              <w:t xml:space="preserve">- использование готовых изделий и материалов; </w:t>
            </w:r>
          </w:p>
          <w:p w14:paraId="1954FE95" w14:textId="77777777" w:rsidR="009F2AA9" w:rsidRPr="00980B3A" w:rsidRDefault="009F2AA9" w:rsidP="00725465">
            <w:pPr>
              <w:pStyle w:val="11"/>
              <w:rPr>
                <w:bCs/>
                <w:szCs w:val="24"/>
              </w:rPr>
            </w:pPr>
            <w:r w:rsidRPr="00980B3A">
              <w:rPr>
                <w:bCs/>
                <w:szCs w:val="24"/>
              </w:rPr>
              <w:t>- не допускать утечек воды из системы водоснабжения;</w:t>
            </w:r>
          </w:p>
          <w:p w14:paraId="6CB76488" w14:textId="77777777" w:rsidR="009F2AA9" w:rsidRPr="00980B3A" w:rsidRDefault="009F2AA9" w:rsidP="00725465">
            <w:pPr>
              <w:pStyle w:val="11"/>
              <w:rPr>
                <w:bCs/>
                <w:szCs w:val="24"/>
              </w:rPr>
            </w:pPr>
            <w:r w:rsidRPr="00980B3A">
              <w:rPr>
                <w:bCs/>
                <w:szCs w:val="24"/>
              </w:rPr>
              <w:t>- регулярные инструктажи по технике безопасности;</w:t>
            </w:r>
          </w:p>
          <w:p w14:paraId="52989D68" w14:textId="77777777" w:rsidR="009F2AA9" w:rsidRPr="00980B3A" w:rsidRDefault="009F2AA9" w:rsidP="00725465">
            <w:pPr>
              <w:pStyle w:val="11"/>
              <w:rPr>
                <w:bCs/>
                <w:szCs w:val="24"/>
              </w:rPr>
            </w:pPr>
            <w:r w:rsidRPr="00980B3A">
              <w:rPr>
                <w:bCs/>
                <w:szCs w:val="24"/>
              </w:rPr>
              <w:t>- соблюдение правил техники безопасности, охраны здоровья и окружающей среды;</w:t>
            </w:r>
          </w:p>
          <w:p w14:paraId="43DB7D1E" w14:textId="77777777" w:rsidR="009F2AA9" w:rsidRPr="00980B3A" w:rsidRDefault="009F2AA9" w:rsidP="00725465">
            <w:pPr>
              <w:pStyle w:val="11"/>
              <w:rPr>
                <w:bCs/>
                <w:szCs w:val="24"/>
              </w:rPr>
            </w:pPr>
            <w:r w:rsidRPr="00980B3A">
              <w:rPr>
                <w:bCs/>
                <w:szCs w:val="24"/>
              </w:rPr>
              <w:t>- проведение мероприятий по восстановлению нарушенных участков;</w:t>
            </w:r>
          </w:p>
          <w:p w14:paraId="565BB5AC" w14:textId="77777777" w:rsidR="009F2AA9" w:rsidRPr="00980B3A" w:rsidRDefault="009F2AA9" w:rsidP="00725465">
            <w:pPr>
              <w:pStyle w:val="11"/>
              <w:rPr>
                <w:bCs/>
                <w:szCs w:val="24"/>
              </w:rPr>
            </w:pPr>
            <w:r w:rsidRPr="00980B3A">
              <w:rPr>
                <w:bCs/>
                <w:szCs w:val="24"/>
              </w:rPr>
              <w:t>- озеленение территории;</w:t>
            </w:r>
          </w:p>
          <w:p w14:paraId="17557628" w14:textId="77777777" w:rsidR="009F2AA9" w:rsidRPr="00980B3A" w:rsidRDefault="009F2AA9" w:rsidP="00725465">
            <w:pPr>
              <w:pStyle w:val="11"/>
              <w:rPr>
                <w:bCs/>
                <w:szCs w:val="24"/>
              </w:rPr>
            </w:pPr>
            <w:r w:rsidRPr="00980B3A">
              <w:rPr>
                <w:bCs/>
                <w:szCs w:val="24"/>
              </w:rPr>
              <w:t xml:space="preserve">- обеспечение регулярной уборки территории и уборку мусора; </w:t>
            </w:r>
          </w:p>
          <w:p w14:paraId="44A29ADF" w14:textId="77777777" w:rsidR="009F2AA9" w:rsidRPr="00980B3A" w:rsidRDefault="009F2AA9" w:rsidP="00725465">
            <w:pPr>
              <w:pStyle w:val="11"/>
              <w:rPr>
                <w:bCs/>
                <w:szCs w:val="24"/>
              </w:rPr>
            </w:pPr>
            <w:r w:rsidRPr="00980B3A">
              <w:rPr>
                <w:bCs/>
                <w:szCs w:val="24"/>
              </w:rPr>
              <w:t xml:space="preserve">- заправка строительной техники в специально организованных местах; </w:t>
            </w:r>
          </w:p>
          <w:p w14:paraId="2D1C3BA6" w14:textId="77777777" w:rsidR="009F2AA9" w:rsidRPr="00980B3A" w:rsidRDefault="009F2AA9" w:rsidP="00725465">
            <w:pPr>
              <w:pStyle w:val="11"/>
              <w:rPr>
                <w:bCs/>
                <w:szCs w:val="24"/>
              </w:rPr>
            </w:pPr>
            <w:r w:rsidRPr="00980B3A">
              <w:rPr>
                <w:bCs/>
                <w:szCs w:val="24"/>
              </w:rPr>
              <w:t xml:space="preserve">- поддержание чистоты и порядка на площадке; </w:t>
            </w:r>
          </w:p>
          <w:p w14:paraId="2F291297" w14:textId="77777777" w:rsidR="009F2AA9" w:rsidRPr="00980B3A" w:rsidRDefault="009F2AA9" w:rsidP="00725465">
            <w:pPr>
              <w:pStyle w:val="11"/>
              <w:rPr>
                <w:bCs/>
                <w:szCs w:val="24"/>
              </w:rPr>
            </w:pPr>
            <w:r w:rsidRPr="00980B3A">
              <w:rPr>
                <w:bCs/>
                <w:szCs w:val="24"/>
              </w:rPr>
              <w:t>- не допущение слива бытовых и хозяйственных сточных вод на рельеф.</w:t>
            </w:r>
          </w:p>
          <w:p w14:paraId="55BB090A" w14:textId="77777777" w:rsidR="009F2AA9" w:rsidRPr="00980B3A" w:rsidRDefault="009F2AA9" w:rsidP="00725465">
            <w:pPr>
              <w:pStyle w:val="11"/>
              <w:ind w:firstLine="510"/>
              <w:rPr>
                <w:bCs/>
                <w:szCs w:val="24"/>
              </w:rPr>
            </w:pPr>
            <w:r w:rsidRPr="00980B3A">
              <w:rPr>
                <w:bCs/>
                <w:szCs w:val="24"/>
              </w:rPr>
              <w:t>В результате осуществления предлагаемых природоохранных мероприятий при эксплуатации объекта будут стабилизированы нормативные санитарно-гигиенические условия для проживания населения в районах, прилегающих к территории предприятия.</w:t>
            </w:r>
          </w:p>
        </w:tc>
      </w:tr>
      <w:tr w:rsidR="009F2AA9" w:rsidRPr="00980B3A" w14:paraId="147F8ED7" w14:textId="77777777" w:rsidTr="00725465">
        <w:trPr>
          <w:jc w:val="center"/>
        </w:trPr>
        <w:tc>
          <w:tcPr>
            <w:tcW w:w="5000" w:type="pct"/>
          </w:tcPr>
          <w:p w14:paraId="2EE4A44B" w14:textId="77777777" w:rsidR="009F2AA9" w:rsidRPr="00980B3A" w:rsidRDefault="009F2AA9" w:rsidP="00725465">
            <w:pPr>
              <w:suppressAutoHyphens/>
              <w:ind w:firstLine="510"/>
              <w:rPr>
                <w:rFonts w:eastAsia="Times New Roman"/>
              </w:rPr>
            </w:pPr>
            <w:r w:rsidRPr="00980B3A">
              <w:rPr>
                <w:rFonts w:eastAsia="Times New Roman"/>
              </w:rPr>
              <w:t xml:space="preserve">Альтернативного выбора других мест не предусматривается, так как реализация намечаемой деятельности, будет осуществляться на территории действующего </w:t>
            </w:r>
            <w:r w:rsidRPr="00980B3A">
              <w:rPr>
                <w:rStyle w:val="ListParagraphChar2"/>
                <w:rFonts w:eastAsia="Batang"/>
              </w:rPr>
              <w:t xml:space="preserve">предприятия ГОК Жолымбет </w:t>
            </w:r>
            <w:r w:rsidRPr="00980B3A">
              <w:rPr>
                <w:rFonts w:eastAsia="Times New Roman"/>
              </w:rPr>
              <w:t>ТОО «Казахалтын».</w:t>
            </w:r>
          </w:p>
        </w:tc>
      </w:tr>
    </w:tbl>
    <w:p w14:paraId="7C978D6B" w14:textId="77777777" w:rsidR="009F2AA9" w:rsidRPr="00980B3A" w:rsidRDefault="009F2AA9" w:rsidP="009F2AA9">
      <w:pPr>
        <w:ind w:firstLine="720"/>
        <w:rPr>
          <w:color w:val="auto"/>
        </w:rPr>
      </w:pPr>
    </w:p>
    <w:p w14:paraId="5D192E5E" w14:textId="77777777" w:rsidR="009F2AA9" w:rsidRPr="00980B3A" w:rsidRDefault="009F2AA9" w:rsidP="009F2AA9">
      <w:pPr>
        <w:ind w:firstLine="720"/>
        <w:rPr>
          <w:color w:val="auto"/>
        </w:rPr>
      </w:pPr>
    </w:p>
    <w:p w14:paraId="2A14A697" w14:textId="77777777" w:rsidR="009F2AA9" w:rsidRPr="00980B3A" w:rsidRDefault="009F2AA9" w:rsidP="009F2AA9">
      <w:pPr>
        <w:ind w:firstLine="720"/>
        <w:rPr>
          <w:color w:val="auto"/>
        </w:rPr>
      </w:pPr>
    </w:p>
    <w:p w14:paraId="7547AB8B" w14:textId="77777777" w:rsidR="009F2AA9" w:rsidRPr="00980B3A" w:rsidRDefault="009F2AA9" w:rsidP="009F2AA9">
      <w:pPr>
        <w:jc w:val="left"/>
        <w:rPr>
          <w:rFonts w:eastAsia="Times New Roman" w:cs="Times New Roman"/>
          <w:b/>
          <w:bCs/>
          <w:color w:val="auto"/>
          <w:sz w:val="40"/>
          <w:szCs w:val="40"/>
        </w:rPr>
      </w:pPr>
      <w:r w:rsidRPr="00980B3A">
        <w:rPr>
          <w:color w:val="auto"/>
        </w:rPr>
        <w:lastRenderedPageBreak/>
        <w:br w:type="page"/>
      </w:r>
    </w:p>
    <w:p w14:paraId="7D15D4C4" w14:textId="77777777" w:rsidR="0006534D" w:rsidRDefault="0006534D"/>
    <w:sectPr w:rsidR="000653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imesNewRoman">
    <w:altName w:val="Yu Gothic UI"/>
    <w:panose1 w:val="00000000000000000000"/>
    <w:charset w:val="CC"/>
    <w:family w:val="auto"/>
    <w:notTrueType/>
    <w:pitch w:val="default"/>
    <w:sig w:usb0="00000201" w:usb1="00000000" w:usb2="00000000" w:usb3="00000000" w:csb0="00000004" w:csb1="00000000"/>
  </w:font>
  <w:font w:name="TimesNewRomanPSMT">
    <w:altName w:val="MS Mincho"/>
    <w:panose1 w:val="00000000000000000000"/>
    <w:charset w:val="80"/>
    <w:family w:val="auto"/>
    <w:notTrueType/>
    <w:pitch w:val="default"/>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B32EC"/>
    <w:multiLevelType w:val="hybridMultilevel"/>
    <w:tmpl w:val="539C1864"/>
    <w:lvl w:ilvl="0" w:tplc="FFFFFFFF">
      <w:start w:val="1"/>
      <w:numFmt w:val="decimal"/>
      <w:lvlText w:val="%1."/>
      <w:lvlJc w:val="left"/>
      <w:pPr>
        <w:ind w:left="1353"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AA91742"/>
    <w:multiLevelType w:val="hybridMultilevel"/>
    <w:tmpl w:val="539C1864"/>
    <w:lvl w:ilvl="0" w:tplc="FFFFFFFF">
      <w:start w:val="1"/>
      <w:numFmt w:val="decimal"/>
      <w:lvlText w:val="%1."/>
      <w:lvlJc w:val="left"/>
      <w:pPr>
        <w:ind w:left="1353"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23F2F18"/>
    <w:multiLevelType w:val="multilevel"/>
    <w:tmpl w:val="61543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D328C"/>
    <w:multiLevelType w:val="multilevel"/>
    <w:tmpl w:val="34A27530"/>
    <w:lvl w:ilvl="0">
      <w:start w:val="1"/>
      <w:numFmt w:val="decimal"/>
      <w:pStyle w:val="1"/>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1C5022E"/>
    <w:multiLevelType w:val="multilevel"/>
    <w:tmpl w:val="A4806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EE35E6"/>
    <w:multiLevelType w:val="multilevel"/>
    <w:tmpl w:val="E43C766E"/>
    <w:lvl w:ilvl="0">
      <w:start w:val="13"/>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6" w15:restartNumberingAfterBreak="0">
    <w:nsid w:val="3B92183F"/>
    <w:multiLevelType w:val="multilevel"/>
    <w:tmpl w:val="B8E8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500C64"/>
    <w:multiLevelType w:val="multilevel"/>
    <w:tmpl w:val="05CE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582E0B"/>
    <w:multiLevelType w:val="hybridMultilevel"/>
    <w:tmpl w:val="4B48A082"/>
    <w:lvl w:ilvl="0" w:tplc="8654D6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58E4D0F"/>
    <w:multiLevelType w:val="multilevel"/>
    <w:tmpl w:val="E16A2F2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41503"/>
    <w:multiLevelType w:val="multilevel"/>
    <w:tmpl w:val="8A38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0"/>
  </w:num>
  <w:num w:numId="4">
    <w:abstractNumId w:val="1"/>
  </w:num>
  <w:num w:numId="5">
    <w:abstractNumId w:val="7"/>
  </w:num>
  <w:num w:numId="6">
    <w:abstractNumId w:val="9"/>
  </w:num>
  <w:num w:numId="7">
    <w:abstractNumId w:val="6"/>
  </w:num>
  <w:num w:numId="8">
    <w:abstractNumId w:val="4"/>
  </w:num>
  <w:num w:numId="9">
    <w:abstractNumId w:val="5"/>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FA4"/>
    <w:rsid w:val="0006534D"/>
    <w:rsid w:val="00390CEB"/>
    <w:rsid w:val="0066119F"/>
    <w:rsid w:val="00773C24"/>
    <w:rsid w:val="008F3FA4"/>
    <w:rsid w:val="009F2AA9"/>
    <w:rsid w:val="00AB61D0"/>
    <w:rsid w:val="00C60B77"/>
    <w:rsid w:val="00CF1316"/>
    <w:rsid w:val="00F70A71"/>
    <w:rsid w:val="00FC7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6B2F06-2A5F-4DE4-964D-8076C727D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AA9"/>
    <w:pPr>
      <w:widowControl w:val="0"/>
      <w:spacing w:after="0" w:line="240" w:lineRule="auto"/>
      <w:jc w:val="both"/>
    </w:pPr>
    <w:rPr>
      <w:rFonts w:ascii="Times New Roman" w:eastAsia="Microsoft Sans Serif" w:hAnsi="Times New Roman" w:cs="Microsoft Sans Serif"/>
      <w:color w:val="000000"/>
      <w:sz w:val="24"/>
      <w:szCs w:val="24"/>
      <w:lang w:eastAsia="ru-RU" w:bidi="ru-RU"/>
    </w:rPr>
  </w:style>
  <w:style w:type="paragraph" w:styleId="1">
    <w:name w:val="heading 1"/>
    <w:basedOn w:val="a"/>
    <w:next w:val="a"/>
    <w:link w:val="10"/>
    <w:qFormat/>
    <w:rsid w:val="009F2AA9"/>
    <w:pPr>
      <w:keepNext/>
      <w:keepLines/>
      <w:numPr>
        <w:numId w:val="1"/>
      </w:numPr>
      <w:jc w:val="center"/>
      <w:outlineLvl w:val="0"/>
    </w:pPr>
    <w:rPr>
      <w:rFonts w:eastAsiaTheme="majorEastAsia" w:cstheme="majorBidi"/>
      <w:b/>
      <w:color w:val="auto"/>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F2AA9"/>
    <w:rPr>
      <w:rFonts w:ascii="Times New Roman" w:eastAsiaTheme="majorEastAsia" w:hAnsi="Times New Roman" w:cstheme="majorBidi"/>
      <w:b/>
      <w:sz w:val="24"/>
      <w:szCs w:val="32"/>
      <w:lang w:eastAsia="ru-RU" w:bidi="ru-RU"/>
    </w:rPr>
  </w:style>
  <w:style w:type="character" w:customStyle="1" w:styleId="a3">
    <w:name w:val="Подпись к таблице_"/>
    <w:basedOn w:val="a0"/>
    <w:link w:val="a4"/>
    <w:rsid w:val="009F2AA9"/>
    <w:rPr>
      <w:rFonts w:ascii="Times New Roman" w:eastAsia="Times New Roman" w:hAnsi="Times New Roman" w:cs="Times New Roman"/>
      <w:b/>
      <w:bCs/>
    </w:rPr>
  </w:style>
  <w:style w:type="paragraph" w:customStyle="1" w:styleId="a4">
    <w:name w:val="Подпись к таблице"/>
    <w:basedOn w:val="a"/>
    <w:link w:val="a3"/>
    <w:rsid w:val="009F2AA9"/>
    <w:rPr>
      <w:rFonts w:eastAsia="Times New Roman" w:cs="Times New Roman"/>
      <w:b/>
      <w:bCs/>
      <w:color w:val="auto"/>
      <w:sz w:val="22"/>
      <w:szCs w:val="22"/>
      <w:lang w:eastAsia="en-US" w:bidi="ar-SA"/>
    </w:rPr>
  </w:style>
  <w:style w:type="paragraph" w:customStyle="1" w:styleId="11">
    <w:name w:val="Абзац списка1"/>
    <w:basedOn w:val="a"/>
    <w:link w:val="ListParagraphChar2"/>
    <w:qFormat/>
    <w:rsid w:val="009F2AA9"/>
    <w:pPr>
      <w:widowControl/>
      <w:ind w:firstLine="709"/>
      <w:contextualSpacing/>
    </w:pPr>
    <w:rPr>
      <w:rFonts w:eastAsia="Times New Roman" w:cs="Times New Roman"/>
      <w:color w:val="auto"/>
      <w:szCs w:val="20"/>
      <w:lang w:bidi="ar-SA"/>
    </w:rPr>
  </w:style>
  <w:style w:type="character" w:customStyle="1" w:styleId="ListParagraphChar2">
    <w:name w:val="List Paragraph Char2"/>
    <w:link w:val="11"/>
    <w:locked/>
    <w:rsid w:val="009F2AA9"/>
    <w:rPr>
      <w:rFonts w:ascii="Times New Roman" w:eastAsia="Times New Roman" w:hAnsi="Times New Roman" w:cs="Times New Roman"/>
      <w:sz w:val="24"/>
      <w:szCs w:val="20"/>
      <w:lang w:eastAsia="ru-RU"/>
    </w:rPr>
  </w:style>
  <w:style w:type="paragraph" w:styleId="a5">
    <w:name w:val="List Paragraph"/>
    <w:aliases w:val="Абзац,Paragraph,Citation List,Resume Title,List Paragraph Char Char,Bullet 1,List Paragraph1,b1,Number_1,SGLText List Paragraph,new,lp1,Normal Sentence,Colorful List - Accent 11,ListPar1,List Paragraph2,List Paragraph11,list1,Figure_name,罗"/>
    <w:basedOn w:val="a"/>
    <w:link w:val="a6"/>
    <w:uiPriority w:val="34"/>
    <w:qFormat/>
    <w:rsid w:val="009F2AA9"/>
    <w:pPr>
      <w:ind w:left="720"/>
      <w:contextualSpacing/>
    </w:pPr>
  </w:style>
  <w:style w:type="paragraph" w:styleId="a7">
    <w:name w:val="Normal (Web)"/>
    <w:aliases w:val="Обычный (Web), Знак4,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
    <w:basedOn w:val="a"/>
    <w:link w:val="a8"/>
    <w:uiPriority w:val="99"/>
    <w:unhideWhenUsed/>
    <w:qFormat/>
    <w:rsid w:val="009F2AA9"/>
    <w:pPr>
      <w:widowControl/>
      <w:spacing w:before="100" w:beforeAutospacing="1" w:after="100" w:afterAutospacing="1"/>
      <w:jc w:val="left"/>
    </w:pPr>
    <w:rPr>
      <w:rFonts w:eastAsia="Times New Roman" w:cs="Times New Roman"/>
      <w:color w:val="auto"/>
      <w:lang w:bidi="ar-SA"/>
    </w:rPr>
  </w:style>
  <w:style w:type="character" w:styleId="a9">
    <w:name w:val="Strong"/>
    <w:basedOn w:val="a0"/>
    <w:uiPriority w:val="22"/>
    <w:qFormat/>
    <w:rsid w:val="009F2AA9"/>
    <w:rPr>
      <w:b/>
      <w:bCs/>
    </w:rPr>
  </w:style>
  <w:style w:type="character" w:customStyle="1" w:styleId="a6">
    <w:name w:val="Абзац списка Знак"/>
    <w:aliases w:val="Абзац Знак,Paragraph Знак,Citation List Знак,Resume Title Знак,List Paragraph Char Char Знак,Bullet 1 Знак,List Paragraph1 Знак,b1 Знак,Number_1 Знак,SGLText List Paragraph Знак,new Знак,lp1 Знак,Normal Sentence Знак,ListPar1 Знак"/>
    <w:link w:val="a5"/>
    <w:uiPriority w:val="34"/>
    <w:qFormat/>
    <w:rsid w:val="009F2AA9"/>
    <w:rPr>
      <w:rFonts w:ascii="Times New Roman" w:eastAsia="Microsoft Sans Serif" w:hAnsi="Times New Roman" w:cs="Microsoft Sans Serif"/>
      <w:color w:val="000000"/>
      <w:sz w:val="24"/>
      <w:szCs w:val="24"/>
      <w:lang w:eastAsia="ru-RU" w:bidi="ru-RU"/>
    </w:rPr>
  </w:style>
  <w:style w:type="table" w:styleId="aa">
    <w:name w:val="Table Grid"/>
    <w:basedOn w:val="a1"/>
    <w:uiPriority w:val="59"/>
    <w:rsid w:val="009F2AA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1, Знак Знак Знак, Знак Знак Знак Знак"/>
    <w:basedOn w:val="a"/>
    <w:link w:val="ac"/>
    <w:qFormat/>
    <w:rsid w:val="009F2AA9"/>
    <w:pPr>
      <w:widowControl/>
      <w:jc w:val="center"/>
    </w:pPr>
    <w:rPr>
      <w:rFonts w:eastAsia="Times New Roman" w:cs="Times New Roman"/>
      <w:color w:val="auto"/>
      <w:sz w:val="28"/>
      <w:szCs w:val="20"/>
      <w:lang w:val="x-none" w:eastAsia="x-none" w:bidi="ar-SA"/>
    </w:rPr>
  </w:style>
  <w:style w:type="character" w:customStyle="1" w:styleId="ac">
    <w:name w:val="Основной текст Знак"/>
    <w:aliases w:val="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 Знак Знак Знак Знак Знак,Основной текст Знак1 Знак1"/>
    <w:basedOn w:val="a0"/>
    <w:link w:val="ab"/>
    <w:rsid w:val="009F2AA9"/>
    <w:rPr>
      <w:rFonts w:ascii="Times New Roman" w:eastAsia="Times New Roman" w:hAnsi="Times New Roman" w:cs="Times New Roman"/>
      <w:sz w:val="28"/>
      <w:szCs w:val="20"/>
      <w:lang w:val="x-none" w:eastAsia="x-none"/>
    </w:rPr>
  </w:style>
  <w:style w:type="character" w:customStyle="1" w:styleId="a8">
    <w:name w:val="Обычный (Интернет) Знак"/>
    <w:aliases w:val="Обычный (Web) Знак1,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w:basedOn w:val="a0"/>
    <w:link w:val="a7"/>
    <w:uiPriority w:val="99"/>
    <w:rsid w:val="009F2AA9"/>
    <w:rPr>
      <w:rFonts w:ascii="Times New Roman" w:eastAsia="Times New Roman" w:hAnsi="Times New Roman" w:cs="Times New Roman"/>
      <w:sz w:val="24"/>
      <w:szCs w:val="24"/>
      <w:lang w:eastAsia="ru-RU"/>
    </w:rPr>
  </w:style>
  <w:style w:type="paragraph" w:customStyle="1" w:styleId="12">
    <w:name w:val="Заголовок1"/>
    <w:basedOn w:val="1"/>
    <w:qFormat/>
    <w:rsid w:val="009F2AA9"/>
    <w:pPr>
      <w:keepLines w:val="0"/>
      <w:widowControl/>
      <w:numPr>
        <w:numId w:val="0"/>
      </w:numPr>
      <w:ind w:firstLine="567"/>
      <w:jc w:val="both"/>
    </w:pPr>
    <w:rPr>
      <w:rFonts w:eastAsia="Times New Roman" w:cs="Times New Roman"/>
      <w:b w:val="0"/>
      <w:sz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3790</Words>
  <Characters>21607</Characters>
  <Application>Microsoft Office Word</Application>
  <DocSecurity>0</DocSecurity>
  <Lines>180</Lines>
  <Paragraphs>50</Paragraphs>
  <ScaleCrop>false</ScaleCrop>
  <Company/>
  <LinksUpToDate>false</LinksUpToDate>
  <CharactersWithSpaces>25347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Бексұлтан Төлеубеков</dc:creator>
  <cp:keywords/>
  <dc:description/>
  <cp:lastModifiedBy>Бексұлтан Төлеубеков</cp:lastModifiedBy>
  <cp:revision>2</cp:revision>
  <dcterms:created xsi:type="dcterms:W3CDTF">2026-01-22T10:32:00Z</dcterms:created>
  <dcterms:modified xsi:type="dcterms:W3CDTF">2026-01-22T10:33:00Z</dcterms:modified>
</cp:coreProperties>
</file>