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8BB55" w14:textId="0AE1FCD2" w:rsidR="00C8218C" w:rsidRPr="00935EEF" w:rsidRDefault="00A46DE8" w:rsidP="00A46DE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935EEF">
        <w:rPr>
          <w:rFonts w:ascii="Times New Roman" w:hAnsi="Times New Roman" w:cs="Times New Roman"/>
          <w:b/>
          <w:bCs/>
          <w:sz w:val="24"/>
          <w:szCs w:val="24"/>
          <w:lang w:val="kk-KZ"/>
        </w:rPr>
        <w:t>Нетехническое резюме</w:t>
      </w:r>
    </w:p>
    <w:p w14:paraId="4F0E59F6" w14:textId="4672071A" w:rsidR="00D645D2" w:rsidRPr="00935EEF" w:rsidRDefault="00542015" w:rsidP="00D645D2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4201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административном отношении район работ расположен в Махамбетском  районе Атырауской области Республики Казахстан. Непосредственно участок работ расположен на месторождении "Юговосточный Новобогат".</w:t>
      </w:r>
      <w:r w:rsidR="00D645D2" w:rsidRPr="00935EEF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07E32AF6" wp14:editId="7FB5DF5D">
            <wp:extent cx="5979160" cy="342976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66" cy="343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EEF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7F7C5004" wp14:editId="120FCF1A">
            <wp:extent cx="5972175" cy="33572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92" cy="3362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5D2"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D645D2"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Установка комплексной подготовки газа (УКПГ-ЮВН) планируется ввести в эксплуатацию в 1 полугодии 2026 года. Назначением установки комплексной подготовки газа УКПГ-ЮВН является переработка попутного нефтяного газа с целью производства газа углеводородного топливного по СТ РК 1666-2007, газов углеводородных сжиженных топливных для коммунально-бытового потребления по СТ РК 1663-2007, пентан-гексановой фракции соответствующего по качеству требованиям СТ РК 2956-2017.</w:t>
      </w:r>
    </w:p>
    <w:p w14:paraId="749DFF51" w14:textId="7EBCBEC1" w:rsidR="00D645D2" w:rsidRPr="00D645D2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Номинальная проектная производительность УКПГ-ЮВН по сырому попутному нефтяному</w:t>
      </w:r>
      <w:r w:rsidR="00D2581D"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газу составляет 80+10% млн. Нм³/год. </w:t>
      </w:r>
    </w:p>
    <w:p w14:paraId="0DE14D14" w14:textId="00AA2663" w:rsidR="00D645D2" w:rsidRPr="00935EEF" w:rsidRDefault="00D645D2" w:rsidP="00D645D2">
      <w:pPr>
        <w:pStyle w:val="a6"/>
        <w:spacing w:before="112" w:line="244" w:lineRule="auto"/>
        <w:ind w:right="40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работы – непрерывный, 350 дней в году или 8400 часов.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2B998950" w14:textId="77777777" w:rsidR="00D2581D" w:rsidRPr="00D2581D" w:rsidRDefault="00D2581D" w:rsidP="00D2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  <w:t>Производственный процесс:</w:t>
      </w: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br/>
        <w:t>Проект предусматривает прием, очистку, осушку и переработку попутного нефтяного газа с получением товарной продукции:</w:t>
      </w:r>
    </w:p>
    <w:p w14:paraId="3C357CCF" w14:textId="77777777" w:rsidR="00D2581D" w:rsidRPr="00D2581D" w:rsidRDefault="00D2581D" w:rsidP="00D2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сухого товарного газа;</w:t>
      </w:r>
    </w:p>
    <w:p w14:paraId="6B01D442" w14:textId="77777777" w:rsidR="00D2581D" w:rsidRPr="00D2581D" w:rsidRDefault="00D2581D" w:rsidP="00D2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сжиженных углеводородных газов;</w:t>
      </w:r>
    </w:p>
    <w:p w14:paraId="4038D79F" w14:textId="77777777" w:rsidR="00D2581D" w:rsidRPr="00D2581D" w:rsidRDefault="00D2581D" w:rsidP="00D2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пентан-гексановой фракции.</w:t>
      </w:r>
    </w:p>
    <w:p w14:paraId="6D93AEF9" w14:textId="62345D04" w:rsidR="00D645D2" w:rsidRPr="00935EEF" w:rsidRDefault="00D645D2" w:rsidP="00D645D2">
      <w:pPr>
        <w:pStyle w:val="a6"/>
        <w:spacing w:before="112" w:line="244" w:lineRule="auto"/>
        <w:ind w:right="40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Географическое</w:t>
      </w:r>
      <w:r w:rsidRPr="00935EEF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</w:t>
      </w:r>
      <w:r w:rsidRPr="00935EEF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территории</w:t>
      </w:r>
      <w:r w:rsidRPr="00935EEF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определяет</w:t>
      </w:r>
      <w:r w:rsidRPr="00935EEF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значительное</w:t>
      </w:r>
      <w:r w:rsidRPr="00935EEF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</w:t>
      </w:r>
      <w:r w:rsidRPr="00935EEF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солнечной</w:t>
      </w:r>
      <w:r w:rsidRPr="00935EEF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радиации и небольшое количество атмосферных осадков, обуславливающие континентальность климата, основными чертами которого является преобладание антициклонических условий, резкие температурные изменения в течение года и суток, дефицит осадков.</w:t>
      </w:r>
    </w:p>
    <w:p w14:paraId="55AC84DC" w14:textId="77777777" w:rsidR="00D645D2" w:rsidRPr="00D645D2" w:rsidRDefault="00D645D2" w:rsidP="00D645D2">
      <w:pPr>
        <w:spacing w:before="113" w:after="120" w:line="242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зимнее время над акваторией моря и над побережьем господствуют холодные и сухие воздушные массы северо - восточного направления, а в летнее время преобладают сухие континентальные южные и юго - восточные массы. Под влиянием этих воздушных масс формируется континентальный засушливый климат со значительными перепадами годовых и суточных</w:t>
      </w:r>
      <w:r w:rsidRPr="00D645D2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температур.</w:t>
      </w:r>
      <w:r w:rsidRPr="00D645D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</w:t>
      </w:r>
      <w:r w:rsidRPr="00D645D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осадки</w:t>
      </w:r>
      <w:r w:rsidRPr="00D645D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весной</w:t>
      </w:r>
      <w:r w:rsidRPr="00D645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D645D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осенью</w:t>
      </w:r>
      <w:r w:rsidRPr="00D645D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приносят</w:t>
      </w:r>
      <w:r w:rsidRPr="00D645D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западные</w:t>
      </w:r>
      <w:r w:rsidRPr="00D645D2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воздушные</w:t>
      </w:r>
      <w:r w:rsidRPr="00D645D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массы.</w:t>
      </w:r>
      <w:r w:rsidRPr="00D645D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счет испарения с акватории Каспийского моря и переноса влажных воздушных масс местными бризами</w:t>
      </w:r>
      <w:r w:rsidRPr="00D645D2"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r w:rsidRPr="00D645D2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сушу</w:t>
      </w:r>
      <w:r w:rsidRPr="00D645D2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климатические</w:t>
      </w:r>
      <w:r w:rsidRPr="00D645D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</w:t>
      </w:r>
      <w:r w:rsidRPr="00D645D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прибрежной</w:t>
      </w:r>
      <w:r w:rsidRPr="00D645D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зоны</w:t>
      </w:r>
      <w:r w:rsidRPr="00D645D2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более</w:t>
      </w:r>
      <w:r w:rsidRPr="00D645D2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мягкие,</w:t>
      </w:r>
      <w:r w:rsidRPr="00D645D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летом</w:t>
      </w:r>
      <w:r w:rsidRPr="00D645D2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более</w:t>
      </w:r>
      <w:r w:rsidRPr="00D645D2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прохладные и влажные, зимой более теплые и влажные.</w:t>
      </w:r>
    </w:p>
    <w:p w14:paraId="5671D63E" w14:textId="6F99A7C3" w:rsidR="00D645D2" w:rsidRPr="00935EEF" w:rsidRDefault="00D645D2" w:rsidP="00D645D2">
      <w:pPr>
        <w:spacing w:before="120" w:after="120" w:line="242" w:lineRule="auto"/>
        <w:ind w:right="40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Особенностью местного климата является активная ветровая деятельность, как на высоте, так и в приземном слое, интенсивный турбулентный обмен, препятствующие появлению таких явлений, таких как штили и температурные инверсии. Что способствует хорошему рассеиванию загрязняющих веществ в атмосфере.</w:t>
      </w:r>
    </w:p>
    <w:p w14:paraId="74C5E6BD" w14:textId="14A530F1" w:rsidR="00D2581D" w:rsidRPr="00D645D2" w:rsidRDefault="00D2581D" w:rsidP="00D645D2">
      <w:pPr>
        <w:spacing w:before="120" w:after="120" w:line="242" w:lineRule="auto"/>
        <w:ind w:right="405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935E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Инициатор и оператор объекта:</w:t>
      </w:r>
    </w:p>
    <w:p w14:paraId="553C9368" w14:textId="77777777" w:rsidR="00D645D2" w:rsidRPr="00D645D2" w:rsidRDefault="00D645D2" w:rsidP="00D645D2">
      <w:pPr>
        <w:tabs>
          <w:tab w:val="left" w:pos="142"/>
          <w:tab w:val="left" w:pos="426"/>
          <w:tab w:val="left" w:pos="567"/>
          <w:tab w:val="left" w:pos="5387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Наименование предприятия: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ТОО «ПолисМунайКурылыс»</w:t>
      </w:r>
    </w:p>
    <w:p w14:paraId="0FEFEA2E" w14:textId="77777777" w:rsidR="00D645D2" w:rsidRPr="00D645D2" w:rsidRDefault="00D645D2" w:rsidP="00D645D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БИН:</w:t>
      </w:r>
      <w:r w:rsidRPr="00D645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070440010727</w:t>
      </w:r>
    </w:p>
    <w:p w14:paraId="01F7A1AF" w14:textId="77777777" w:rsidR="00D645D2" w:rsidRPr="00D645D2" w:rsidRDefault="00D645D2" w:rsidP="00D645D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Категория объекта:</w:t>
      </w:r>
      <w:r w:rsidRPr="00D645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1 категория </w:t>
      </w:r>
    </w:p>
    <w:p w14:paraId="1402682E" w14:textId="77777777" w:rsidR="00D645D2" w:rsidRPr="00D645D2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Вид деятельности </w:t>
      </w:r>
      <w:bookmarkStart w:id="0" w:name="_Hlk106977506"/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(ОКЭД) –</w:t>
      </w:r>
      <w:bookmarkEnd w:id="0"/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645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19100 - Предоставление услуг, способствующих добыче нефти и природного газа, 19201</w:t>
      </w:r>
    </w:p>
    <w:p w14:paraId="3B6369A1" w14:textId="29A151F6" w:rsidR="00D645D2" w:rsidRPr="00935EEF" w:rsidRDefault="00D645D2" w:rsidP="00D645D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1" w:name="_Hlk106977518"/>
      <w:r w:rsidRPr="00D645D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Месторасположение: </w:t>
      </w:r>
      <w:r w:rsidRPr="00D645D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Актобе, 030000, улица Г. Ибатова, 80</w:t>
      </w:r>
    </w:p>
    <w:p w14:paraId="299FD172" w14:textId="77777777" w:rsidR="00D2581D" w:rsidRPr="00935EEF" w:rsidRDefault="00D2581D" w:rsidP="00D2581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935EEF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Разработчик экологической документации:</w:t>
      </w:r>
    </w:p>
    <w:p w14:paraId="2CD2063D" w14:textId="7332CB04" w:rsidR="00D2581D" w:rsidRPr="00D645D2" w:rsidRDefault="00D2581D" w:rsidP="00D2581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35EE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ТОО «JASYLMEKEN», государственная лицензия №02741P от 09.02.2024 г.</w:t>
      </w:r>
    </w:p>
    <w:bookmarkEnd w:id="1"/>
    <w:p w14:paraId="6DDD145E" w14:textId="77777777" w:rsidR="00D645D2" w:rsidRPr="00D645D2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Межремонтный период эксплуатации основного оборудования – 1 год, так как на установке предусмотрено резервирование основного динамического оборудования, то период работы установки может продлятся до 23 месяцев и один месяц проведение остановочного ремонта.</w:t>
      </w:r>
    </w:p>
    <w:p w14:paraId="556349B7" w14:textId="77777777" w:rsidR="00D645D2" w:rsidRPr="00D645D2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Сырьем для установки комплексной переработки газа является попутный нефтяной газ месторождения "Юговосточный Новобогат". Газ данного месторождения отличается тем, 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что в своем составе не имеет таких вредных веществ как сероводород, меркаптаны и иные вещества, которые извлекать затратно и поэтому процессы извлечения таких нежелательных компонентов является капиталоёмкими.  Трудность реализации данного проекта заключается в отсутствии развитой инфраструктуры в виде автодорог, исходной воды, электроэнергии, подводящих газопроводов, отдаленность газопроводов товарного газа и т.д. </w:t>
      </w:r>
    </w:p>
    <w:p w14:paraId="5D0FDD27" w14:textId="77777777" w:rsidR="00D645D2" w:rsidRPr="00D645D2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Газопровод диаметром 273х8 подведен согласно техническим условиям №1 выданных </w:t>
      </w:r>
      <w:r w:rsidRPr="00D645D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ТОО "ПолисМунайКурылыс"</w:t>
      </w:r>
      <w:r w:rsidRPr="00D645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18.03.2025 года.</w:t>
      </w:r>
    </w:p>
    <w:p w14:paraId="0535F1BB" w14:textId="2F9C2406" w:rsidR="00D645D2" w:rsidRPr="00935EEF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35EE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Целевое назначение</w:t>
      </w:r>
      <w:r w:rsidR="005C6ED4" w:rsidRPr="00935EE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земли</w:t>
      </w:r>
      <w:r w:rsidRPr="00935EE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: </w:t>
      </w:r>
    </w:p>
    <w:p w14:paraId="01875613" w14:textId="77777777" w:rsidR="00D645D2" w:rsidRPr="00935EEF" w:rsidRDefault="00D645D2" w:rsidP="00D645D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35EE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Для строительства комплекса газоподготовительной установки (УКПГ) на месторождении </w:t>
      </w:r>
    </w:p>
    <w:p w14:paraId="36BAF3C5" w14:textId="46932D34" w:rsidR="003861B6" w:rsidRPr="00935EEF" w:rsidRDefault="00D645D2" w:rsidP="00D2581D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iCs/>
          <w:lang w:val="ru-RU" w:eastAsia="ru-RU"/>
        </w:rPr>
        <w:t>«Юговосточный Новобогат» в Махамбетском районе Атырауской области.</w:t>
      </w:r>
      <w:r w:rsidR="003861B6" w:rsidRPr="00935EEF">
        <w:rPr>
          <w:rFonts w:eastAsia="Times New Roman"/>
          <w:lang w:val="ru-KZ" w:eastAsia="ru-KZ"/>
        </w:rPr>
        <w:t xml:space="preserve"> </w:t>
      </w:r>
    </w:p>
    <w:p w14:paraId="1739F112" w14:textId="24E1F677" w:rsidR="00746F12" w:rsidRPr="00935EEF" w:rsidRDefault="00746F12" w:rsidP="00D2581D">
      <w:pPr>
        <w:pStyle w:val="a8"/>
        <w:jc w:val="both"/>
        <w:rPr>
          <w:rFonts w:eastAsia="Times New Roman"/>
          <w:bCs/>
          <w:i/>
          <w:iCs/>
          <w:lang w:val="ru-KZ" w:eastAsia="ru-KZ"/>
        </w:rPr>
      </w:pPr>
      <w:r w:rsidRPr="00935EEF">
        <w:rPr>
          <w:rFonts w:eastAsia="Microsoft Sans Serif"/>
          <w:bCs/>
          <w:i/>
          <w:iCs/>
          <w:spacing w:val="-2"/>
          <w:lang w:val="ru-RU"/>
        </w:rPr>
        <w:t>Координаты</w:t>
      </w:r>
      <w:r w:rsidRPr="00935EEF">
        <w:rPr>
          <w:rFonts w:eastAsia="Microsoft Sans Serif"/>
          <w:bCs/>
          <w:i/>
          <w:iCs/>
          <w:spacing w:val="-4"/>
          <w:lang w:val="ru-RU"/>
        </w:rPr>
        <w:t xml:space="preserve"> </w:t>
      </w:r>
      <w:r w:rsidRPr="00935EEF">
        <w:rPr>
          <w:rFonts w:eastAsia="Microsoft Sans Serif"/>
          <w:bCs/>
          <w:i/>
          <w:iCs/>
          <w:spacing w:val="-2"/>
          <w:lang w:val="ru-RU"/>
        </w:rPr>
        <w:t>угловых</w:t>
      </w:r>
      <w:r w:rsidRPr="00935EEF">
        <w:rPr>
          <w:rFonts w:eastAsia="Microsoft Sans Serif"/>
          <w:bCs/>
          <w:i/>
          <w:iCs/>
          <w:lang w:val="ru-RU"/>
        </w:rPr>
        <w:t xml:space="preserve"> </w:t>
      </w:r>
      <w:r w:rsidRPr="00935EEF">
        <w:rPr>
          <w:rFonts w:eastAsia="Microsoft Sans Serif"/>
          <w:bCs/>
          <w:i/>
          <w:iCs/>
          <w:spacing w:val="-2"/>
          <w:lang w:val="ru-RU"/>
        </w:rPr>
        <w:t>точек</w:t>
      </w:r>
      <w:r w:rsidRPr="00935EEF">
        <w:rPr>
          <w:rFonts w:eastAsia="Microsoft Sans Serif"/>
          <w:bCs/>
          <w:i/>
          <w:iCs/>
          <w:spacing w:val="1"/>
          <w:lang w:val="ru-RU"/>
        </w:rPr>
        <w:t xml:space="preserve"> </w:t>
      </w:r>
      <w:r w:rsidRPr="00935EEF">
        <w:rPr>
          <w:rFonts w:eastAsia="Microsoft Sans Serif"/>
          <w:bCs/>
          <w:i/>
          <w:iCs/>
          <w:spacing w:val="-2"/>
          <w:lang w:val="ru-RU"/>
        </w:rPr>
        <w:t>площадки</w:t>
      </w:r>
      <w:r w:rsidRPr="00935EEF">
        <w:rPr>
          <w:rFonts w:eastAsia="Microsoft Sans Serif"/>
          <w:bCs/>
          <w:i/>
          <w:iCs/>
          <w:spacing w:val="-7"/>
          <w:lang w:val="ru-RU"/>
        </w:rPr>
        <w:t xml:space="preserve"> </w:t>
      </w:r>
      <w:r w:rsidRPr="00935EEF">
        <w:rPr>
          <w:rFonts w:eastAsia="Microsoft Sans Serif"/>
          <w:bCs/>
          <w:i/>
          <w:iCs/>
          <w:spacing w:val="-2"/>
          <w:lang w:val="ru-RU"/>
        </w:rPr>
        <w:t>строительства</w:t>
      </w:r>
      <w:r w:rsidRPr="00935EEF">
        <w:rPr>
          <w:rFonts w:eastAsia="Microsoft Sans Serif"/>
          <w:bCs/>
          <w:i/>
          <w:iCs/>
          <w:spacing w:val="4"/>
          <w:lang w:val="ru-RU"/>
        </w:rPr>
        <w:t xml:space="preserve"> </w:t>
      </w:r>
      <w:r w:rsidRPr="00935EEF">
        <w:rPr>
          <w:rFonts w:eastAsia="Microsoft Sans Serif"/>
          <w:bCs/>
          <w:i/>
          <w:iCs/>
          <w:spacing w:val="-2"/>
          <w:lang w:val="ru-RU"/>
        </w:rPr>
        <w:t>УКПГ.</w:t>
      </w:r>
    </w:p>
    <w:tbl>
      <w:tblPr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3190"/>
        <w:gridCol w:w="3191"/>
      </w:tblGrid>
      <w:tr w:rsidR="00746F12" w:rsidRPr="00746F12" w14:paraId="10B9E4D6" w14:textId="77777777" w:rsidTr="00B805F6">
        <w:trPr>
          <w:trHeight w:val="182"/>
        </w:trPr>
        <w:tc>
          <w:tcPr>
            <w:tcW w:w="2991" w:type="dxa"/>
          </w:tcPr>
          <w:p w14:paraId="5180639C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2" w:lineRule="exact"/>
              <w:ind w:left="64" w:right="25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b/>
                <w:spacing w:val="-4"/>
                <w:sz w:val="24"/>
                <w:szCs w:val="24"/>
                <w:lang w:val="ru-RU"/>
              </w:rPr>
              <w:t>Поз.</w:t>
            </w:r>
          </w:p>
        </w:tc>
        <w:tc>
          <w:tcPr>
            <w:tcW w:w="3190" w:type="dxa"/>
          </w:tcPr>
          <w:p w14:paraId="457A43F1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2" w:lineRule="exact"/>
              <w:ind w:left="40" w:right="6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b/>
                <w:spacing w:val="-4"/>
                <w:sz w:val="24"/>
                <w:szCs w:val="24"/>
                <w:lang w:val="ru-RU"/>
              </w:rPr>
              <w:t>Северная</w:t>
            </w:r>
            <w:r w:rsidRPr="00746F12">
              <w:rPr>
                <w:rFonts w:ascii="Times New Roman" w:eastAsia="Microsoft Sans Serif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746F12">
              <w:rPr>
                <w:rFonts w:ascii="Times New Roman" w:eastAsia="Microsoft Sans Serif" w:hAnsi="Times New Roman" w:cs="Times New Roman"/>
                <w:b/>
                <w:spacing w:val="-2"/>
                <w:sz w:val="24"/>
                <w:szCs w:val="24"/>
                <w:lang w:val="ru-RU"/>
              </w:rPr>
              <w:t>широта</w:t>
            </w:r>
          </w:p>
        </w:tc>
        <w:tc>
          <w:tcPr>
            <w:tcW w:w="3191" w:type="dxa"/>
          </w:tcPr>
          <w:p w14:paraId="7E8D6072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2" w:lineRule="exact"/>
              <w:ind w:left="43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b/>
                <w:spacing w:val="-5"/>
                <w:sz w:val="24"/>
                <w:szCs w:val="24"/>
                <w:lang w:val="ru-RU"/>
              </w:rPr>
              <w:t>Восточная</w:t>
            </w:r>
            <w:r w:rsidRPr="00746F12">
              <w:rPr>
                <w:rFonts w:ascii="Times New Roman" w:eastAsia="Microsoft Sans Serif" w:hAnsi="Times New Roman" w:cs="Times New Roman"/>
                <w:b/>
                <w:spacing w:val="6"/>
                <w:sz w:val="24"/>
                <w:szCs w:val="24"/>
                <w:lang w:val="ru-RU"/>
              </w:rPr>
              <w:t xml:space="preserve"> </w:t>
            </w:r>
            <w:r w:rsidRPr="00746F12">
              <w:rPr>
                <w:rFonts w:ascii="Times New Roman" w:eastAsia="Microsoft Sans Serif" w:hAnsi="Times New Roman" w:cs="Times New Roman"/>
                <w:b/>
                <w:spacing w:val="-2"/>
                <w:sz w:val="24"/>
                <w:szCs w:val="24"/>
                <w:lang w:val="ru-RU"/>
              </w:rPr>
              <w:t>долгота</w:t>
            </w:r>
          </w:p>
        </w:tc>
      </w:tr>
      <w:tr w:rsidR="00746F12" w:rsidRPr="00746F12" w14:paraId="2348443D" w14:textId="77777777" w:rsidTr="00B805F6">
        <w:trPr>
          <w:trHeight w:val="184"/>
        </w:trPr>
        <w:tc>
          <w:tcPr>
            <w:tcW w:w="2991" w:type="dxa"/>
          </w:tcPr>
          <w:p w14:paraId="468C9D1D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4" w:lineRule="exact"/>
              <w:ind w:left="6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3190" w:type="dxa"/>
          </w:tcPr>
          <w:p w14:paraId="1B74444B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47°13'28"N</w:t>
            </w:r>
          </w:p>
        </w:tc>
        <w:tc>
          <w:tcPr>
            <w:tcW w:w="3191" w:type="dxa"/>
          </w:tcPr>
          <w:p w14:paraId="566CB428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51°13'53"E</w:t>
            </w:r>
          </w:p>
        </w:tc>
      </w:tr>
      <w:tr w:rsidR="00746F12" w:rsidRPr="00746F12" w14:paraId="59F02713" w14:textId="77777777" w:rsidTr="00B805F6">
        <w:trPr>
          <w:trHeight w:val="181"/>
        </w:trPr>
        <w:tc>
          <w:tcPr>
            <w:tcW w:w="2991" w:type="dxa"/>
          </w:tcPr>
          <w:p w14:paraId="266EAC9B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2" w:lineRule="exact"/>
              <w:ind w:left="6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3190" w:type="dxa"/>
          </w:tcPr>
          <w:p w14:paraId="7EE084FB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47°13'22"N</w:t>
            </w:r>
          </w:p>
        </w:tc>
        <w:tc>
          <w:tcPr>
            <w:tcW w:w="3191" w:type="dxa"/>
          </w:tcPr>
          <w:p w14:paraId="065A86C0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51°14'02"E</w:t>
            </w:r>
          </w:p>
        </w:tc>
      </w:tr>
      <w:tr w:rsidR="00746F12" w:rsidRPr="00746F12" w14:paraId="142DDC2F" w14:textId="77777777" w:rsidTr="00B805F6">
        <w:trPr>
          <w:trHeight w:val="182"/>
        </w:trPr>
        <w:tc>
          <w:tcPr>
            <w:tcW w:w="2991" w:type="dxa"/>
          </w:tcPr>
          <w:p w14:paraId="6D17EE00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2" w:lineRule="exact"/>
              <w:ind w:left="6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3190" w:type="dxa"/>
          </w:tcPr>
          <w:p w14:paraId="4A1257A2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47°13'08"N</w:t>
            </w:r>
          </w:p>
        </w:tc>
        <w:tc>
          <w:tcPr>
            <w:tcW w:w="3191" w:type="dxa"/>
          </w:tcPr>
          <w:p w14:paraId="3CB8AF67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51°13'42"E</w:t>
            </w:r>
          </w:p>
        </w:tc>
      </w:tr>
      <w:tr w:rsidR="00746F12" w:rsidRPr="00746F12" w14:paraId="6002D736" w14:textId="77777777" w:rsidTr="00B805F6">
        <w:trPr>
          <w:trHeight w:val="184"/>
        </w:trPr>
        <w:tc>
          <w:tcPr>
            <w:tcW w:w="2991" w:type="dxa"/>
          </w:tcPr>
          <w:p w14:paraId="3E64C1C7" w14:textId="77777777" w:rsidR="00746F12" w:rsidRPr="00746F12" w:rsidRDefault="00746F12" w:rsidP="00746F12">
            <w:pPr>
              <w:widowControl w:val="0"/>
              <w:autoSpaceDE w:val="0"/>
              <w:autoSpaceDN w:val="0"/>
              <w:spacing w:after="0" w:line="164" w:lineRule="exact"/>
              <w:ind w:left="64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3190" w:type="dxa"/>
          </w:tcPr>
          <w:p w14:paraId="3A6ACCCE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47°13'14"N</w:t>
            </w:r>
          </w:p>
        </w:tc>
        <w:tc>
          <w:tcPr>
            <w:tcW w:w="3191" w:type="dxa"/>
          </w:tcPr>
          <w:p w14:paraId="2E3FC8B0" w14:textId="77777777" w:rsidR="00746F12" w:rsidRPr="00746F12" w:rsidRDefault="00746F12" w:rsidP="00746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6F1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val="ru-RU"/>
              </w:rPr>
              <w:t>51°13'34"E</w:t>
            </w:r>
          </w:p>
        </w:tc>
      </w:tr>
    </w:tbl>
    <w:p w14:paraId="6A258ABD" w14:textId="77777777" w:rsidR="00746F12" w:rsidRPr="00935EEF" w:rsidRDefault="00746F12" w:rsidP="00D2581D">
      <w:pPr>
        <w:pStyle w:val="a8"/>
        <w:jc w:val="both"/>
        <w:rPr>
          <w:rFonts w:eastAsia="Times New Roman"/>
          <w:lang w:val="ru-KZ" w:eastAsia="ru-KZ"/>
        </w:rPr>
      </w:pPr>
    </w:p>
    <w:p w14:paraId="0AB3CABE" w14:textId="2418E568" w:rsidR="00746F12" w:rsidRPr="00935EEF" w:rsidRDefault="003861B6" w:rsidP="00D2581D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Участок размещения объекта находится на свободной от застройки территории, предоставленной в долгосрочное землепользование. Площадь земельного участка составляет 15,0 га.</w:t>
      </w:r>
      <w:r w:rsidR="00746F12" w:rsidRPr="00935EEF">
        <w:rPr>
          <w:rFonts w:eastAsia="Times New Roman"/>
          <w:lang w:val="kk-KZ" w:eastAsia="ru-KZ"/>
        </w:rPr>
        <w:t xml:space="preserve"> </w:t>
      </w:r>
      <w:r w:rsidRPr="00935EEF">
        <w:rPr>
          <w:rFonts w:eastAsia="Times New Roman"/>
          <w:lang w:val="ru-KZ" w:eastAsia="ru-KZ"/>
        </w:rPr>
        <w:t>Ближайшие населенные пункты расположены на значительном удалении. Объект находится вне жилой застройки, вне особо охраняемых природных территорий и земель государственного лесного фонда.</w:t>
      </w:r>
    </w:p>
    <w:p w14:paraId="7407095A" w14:textId="77777777" w:rsidR="00746F12" w:rsidRPr="00935EEF" w:rsidRDefault="00746F12" w:rsidP="00746F12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В двух километрах от УКПГ построена дожимная компрессорная станция, предназначенная для транспортировки товарного газа от УКПГ. Ближайшим источником электроэнергии является подстанции «ЮЗК», принадлежащей а/о «Эмбамунайгаз» по двум линиям вл 6 кв, а также от газопоршневой электростанции принадлежащей ТОО «Полисмунайкурылыс» через эту же линию. Также в составе УКПГ предусмотрены дизельные электростанции как резервные источники электроэнергии 4х200 квт для потребителей 1-категории общей установленной мощностью 800 квт.</w:t>
      </w:r>
    </w:p>
    <w:p w14:paraId="4CFEAE91" w14:textId="77777777" w:rsidR="00746F12" w:rsidRPr="00935EEF" w:rsidRDefault="00746F12" w:rsidP="00746F12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Электроснабжение установки комплексной подготовки газа производится согласно техническим условиям выданных а/о «Эмбамунайгаз» №112-2№844 от 11.02.2025-аннулированны, взамен выданы за №112-2/1095 от 24.02.2025 года, а также от «Атырау-Жарык» ТУ 27-1314 от 28.02.2025 года.</w:t>
      </w:r>
    </w:p>
    <w:p w14:paraId="617BC7AA" w14:textId="77777777" w:rsidR="00746F12" w:rsidRPr="00935EEF" w:rsidRDefault="00746F12" w:rsidP="00746F12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Трудность реализации данного проекта заключается в отсутствии развитой инфраструктуры в виде автодорог. Ближайшей крупной железнодорожной станцией является железнодорожный узел г. Атырау. Основным фактором при выборе данного размещения является то, что объект целенаправленно будет обслуживать месторождение Юговосточный Новобогат, в части утилизации попутного газа.</w:t>
      </w:r>
    </w:p>
    <w:p w14:paraId="6D42092E" w14:textId="06153485" w:rsidR="00746F12" w:rsidRPr="00935EEF" w:rsidRDefault="00746F12" w:rsidP="00746F12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По результатам проведенных полевых археологических исследований ТОО «Тоныкөк құрылыс» на территории месторождения Юго-Восто</w:t>
      </w:r>
      <w:r w:rsidR="00935EEF" w:rsidRPr="00935EEF">
        <w:rPr>
          <w:rFonts w:eastAsia="Times New Roman"/>
          <w:lang w:val="kk-KZ" w:eastAsia="ru-KZ"/>
        </w:rPr>
        <w:t>ч</w:t>
      </w:r>
      <w:r w:rsidRPr="00935EEF">
        <w:rPr>
          <w:rFonts w:eastAsia="Times New Roman"/>
          <w:lang w:val="ru-KZ" w:eastAsia="ru-KZ"/>
        </w:rPr>
        <w:t xml:space="preserve">ный Новобогат Атырауской области по выявлению объектов исторического и культурного наследия непосредственно на площадке строительства в результате сплошного обследования археологические или иные </w:t>
      </w:r>
      <w:r w:rsidRPr="00935EEF">
        <w:rPr>
          <w:rFonts w:eastAsia="Times New Roman"/>
          <w:lang w:val="ru-KZ" w:eastAsia="ru-KZ"/>
        </w:rPr>
        <w:lastRenderedPageBreak/>
        <w:t>виды памятников историко-культурного наследия обнаружено не было.</w:t>
      </w:r>
      <w:r w:rsidR="00935EEF" w:rsidRPr="00935EEF">
        <w:t xml:space="preserve"> </w:t>
      </w:r>
      <w:r w:rsidR="00935EEF" w:rsidRPr="00935EEF">
        <w:rPr>
          <w:rFonts w:eastAsia="Times New Roman"/>
          <w:lang w:val="ru-KZ" w:eastAsia="ru-KZ"/>
        </w:rPr>
        <w:t>Управление сельского хозяйства и земельных отношений Атырауской области выдало заключение №ЗТ-2025-02585818 от 31.07.2025 г. об отсутствии на территории площадки скотомогильников, захоронения сибирской язвы.</w:t>
      </w:r>
    </w:p>
    <w:p w14:paraId="7E9B60A6" w14:textId="3CDB5E9D" w:rsidR="00D2581D" w:rsidRPr="00935EEF" w:rsidRDefault="00746F12" w:rsidP="00D2581D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kk-KZ" w:eastAsia="ru-KZ"/>
        </w:rPr>
        <w:t xml:space="preserve"> </w:t>
      </w:r>
      <w:r w:rsidR="003861B6" w:rsidRPr="003861B6">
        <w:rPr>
          <w:rFonts w:eastAsia="Times New Roman"/>
          <w:lang w:val="ru-KZ" w:eastAsia="ru-KZ"/>
        </w:rPr>
        <w:t>Территория характеризуется пустынно-степными ландшафтами, с крайне разреженным растительным покровом. Постоянное проживание населения в границах участка отсутствует.</w:t>
      </w:r>
      <w:r w:rsidR="003861B6" w:rsidRPr="003861B6">
        <w:rPr>
          <w:rFonts w:eastAsia="Times New Roman"/>
          <w:lang w:val="ru-KZ" w:eastAsia="ru-KZ"/>
        </w:rPr>
        <w:br/>
        <w:t>Выбросы в атмосферу, шумовое воздействие и образование отходов локализуются в пределах промышленной площадки и не затрагивают территории проживания населения.</w:t>
      </w:r>
      <w:r w:rsidR="003861B6" w:rsidRPr="003861B6">
        <w:rPr>
          <w:rFonts w:eastAsia="Times New Roman"/>
          <w:lang w:val="ru-KZ" w:eastAsia="ru-KZ"/>
        </w:rPr>
        <w:br/>
        <w:t>Извлечение природных ресурсов в рамках проекта не осуществляется. Захоронение отходов не предусмотрено — отходы передаются лицензированным организациям.</w:t>
      </w:r>
      <w:r w:rsidR="00D2581D" w:rsidRPr="00935EEF">
        <w:t xml:space="preserve"> </w:t>
      </w:r>
      <w:r w:rsidR="00D2581D" w:rsidRPr="00935EEF">
        <w:rPr>
          <w:rFonts w:eastAsia="Times New Roman"/>
          <w:lang w:val="ru-KZ" w:eastAsia="ru-KZ"/>
        </w:rPr>
        <w:t>Электроснабжение — от существующих сетей и резервных дизельных электростанций.</w:t>
      </w:r>
    </w:p>
    <w:p w14:paraId="0156A6F9" w14:textId="47363D14" w:rsidR="00935EEF" w:rsidRPr="00935EEF" w:rsidRDefault="00935EEF" w:rsidP="00935EEF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Территория размещения проектируемых объектов расположена в Махамбетского районе Атырауской области и относится к Каспийскому водохозяйственному бассейну, который характеризуется отсутствием постоянной речной сети и ограниченностью ресурсов поверхностных вод, включая источники пресной воды.</w:t>
      </w:r>
      <w:r w:rsidRPr="00935EEF">
        <w:t xml:space="preserve"> </w:t>
      </w:r>
      <w:r w:rsidRPr="00935EEF">
        <w:rPr>
          <w:rFonts w:eastAsia="Times New Roman"/>
          <w:lang w:val="ru-KZ" w:eastAsia="ru-KZ"/>
        </w:rPr>
        <w:t>Участок проведения работ расположен на расстоянии порядка 33 км к северу от акватории Каспийского моря. В пределах площадки размещения проектируемых объектов и в зоне их непосредственного влияния поверхностные водные объекты, гидравлически связанные с Каспийским морем, отсутствуют.</w:t>
      </w:r>
    </w:p>
    <w:p w14:paraId="46C978B6" w14:textId="60F99BD6" w:rsidR="00935EEF" w:rsidRPr="00935EEF" w:rsidRDefault="00935EEF" w:rsidP="00935EEF">
      <w:pPr>
        <w:pStyle w:val="a8"/>
        <w:jc w:val="both"/>
        <w:rPr>
          <w:rFonts w:eastAsia="Times New Roman"/>
          <w:lang w:val="ru-RU" w:eastAsia="ru-KZ"/>
        </w:rPr>
      </w:pPr>
      <w:r w:rsidRPr="00935EEF">
        <w:rPr>
          <w:rFonts w:eastAsia="Times New Roman"/>
          <w:lang w:val="ru-KZ" w:eastAsia="ru-KZ"/>
        </w:rPr>
        <w:t>Ближайшей поверхностной водной артерией является Туманный канал, расположенная ориентировочно на расстоянии порядка 12,5 км к западу от площадки намечаемой деятельности. В границах проектируемого объекта и на прилегающей территории отсутствуют реки, каналы, временные и постоянные водотоки, озёра и иные поверхностные водоёмы, а также отсутствуют водоохранные зоны и прибрежные защитные полосы.)</w:t>
      </w:r>
      <w:r w:rsidRPr="00935EEF">
        <w:t xml:space="preserve"> </w:t>
      </w:r>
      <w:r w:rsidRPr="00935EEF">
        <w:rPr>
          <w:rFonts w:eastAsia="Times New Roman"/>
          <w:lang w:val="ru-KZ" w:eastAsia="ru-KZ"/>
        </w:rPr>
        <w:t>В гидрогеологическом отношении территория приурочена к юго-восточной части Западно- Прикаспийского артезианского бассейна второго порядка. Для бассейна характерно наличие в надсолевом этаже мощных водоносных комплексов в мезо-кайнозойских и верхнепермских осадочных толщах.</w:t>
      </w:r>
    </w:p>
    <w:p w14:paraId="1DE3C836" w14:textId="4B03422B" w:rsidR="003861B6" w:rsidRPr="00935EEF" w:rsidRDefault="00D2581D" w:rsidP="00D2581D">
      <w:pPr>
        <w:pStyle w:val="a8"/>
        <w:jc w:val="both"/>
        <w:rPr>
          <w:rFonts w:eastAsia="Times New Roman"/>
          <w:lang w:val="ru-KZ" w:eastAsia="ru-KZ"/>
        </w:rPr>
      </w:pPr>
      <w:r w:rsidRPr="00935EEF">
        <w:rPr>
          <w:rFonts w:eastAsia="Times New Roman"/>
          <w:lang w:val="ru-KZ" w:eastAsia="ru-KZ"/>
        </w:rPr>
        <w:t>Водоснабжение — от магистрального водовода и договорных источников.</w:t>
      </w:r>
    </w:p>
    <w:p w14:paraId="570E495B" w14:textId="12EF712D" w:rsidR="00935EEF" w:rsidRPr="00935EEF" w:rsidRDefault="00935EEF" w:rsidP="00D2581D">
      <w:pPr>
        <w:pStyle w:val="a8"/>
        <w:jc w:val="both"/>
        <w:rPr>
          <w:rFonts w:eastAsia="Times New Roman"/>
          <w:lang w:val="ru-RU" w:eastAsia="ru-KZ"/>
        </w:rPr>
      </w:pPr>
      <w:r w:rsidRPr="00935EEF">
        <w:rPr>
          <w:rFonts w:eastAsia="Times New Roman"/>
          <w:lang w:val="ru-RU" w:eastAsia="ru-KZ"/>
        </w:rPr>
        <w:t>За 2026 г. строительных работ в атмосферу будет выброшено 235,07482 тонн загрязняющих веществ.</w:t>
      </w:r>
      <w:r w:rsidRPr="00935EEF">
        <w:t xml:space="preserve"> </w:t>
      </w:r>
      <w:r w:rsidRPr="00935EEF">
        <w:rPr>
          <w:rFonts w:eastAsia="Times New Roman"/>
          <w:lang w:val="ru-RU" w:eastAsia="ru-KZ"/>
        </w:rPr>
        <w:t>12 стационарных источников, в том числе: 3 организованных, 9 неорганизованных;</w:t>
      </w:r>
    </w:p>
    <w:p w14:paraId="06D59275" w14:textId="5DC94E40" w:rsidR="00935EEF" w:rsidRPr="00935EEF" w:rsidRDefault="00935EEF" w:rsidP="00D2581D">
      <w:pPr>
        <w:pStyle w:val="a8"/>
        <w:jc w:val="both"/>
        <w:rPr>
          <w:rFonts w:eastAsia="Times New Roman"/>
          <w:lang w:val="ru-RU" w:eastAsia="ru-KZ"/>
        </w:rPr>
      </w:pPr>
      <w:r w:rsidRPr="00935EEF">
        <w:rPr>
          <w:rFonts w:eastAsia="Times New Roman"/>
          <w:lang w:val="ru-RU" w:eastAsia="ru-KZ"/>
        </w:rPr>
        <w:t xml:space="preserve">Предельные количества накопления отходов по их видам составит в 2026 г. (по </w:t>
      </w:r>
      <w:r w:rsidRPr="00935EEF">
        <w:rPr>
          <w:rFonts w:eastAsia="Times New Roman"/>
          <w:lang w:val="ru-RU" w:eastAsia="ru-KZ"/>
        </w:rPr>
        <w:t>РООС</w:t>
      </w:r>
      <w:r w:rsidRPr="00935EEF">
        <w:rPr>
          <w:rFonts w:eastAsia="Times New Roman"/>
          <w:lang w:val="ru-RU" w:eastAsia="ru-KZ"/>
        </w:rPr>
        <w:t>) – 548,6 тонн.</w:t>
      </w:r>
    </w:p>
    <w:p w14:paraId="5B72A964" w14:textId="359E25ED" w:rsidR="00746F12" w:rsidRPr="00935EEF" w:rsidRDefault="00746F12" w:rsidP="00746F12">
      <w:pPr>
        <w:pStyle w:val="a8"/>
        <w:jc w:val="both"/>
      </w:pPr>
      <w:r w:rsidRPr="00935EEF">
        <w:t>Отходы производства и потребления</w:t>
      </w:r>
      <w:r w:rsidRPr="00935EEF">
        <w:rPr>
          <w:lang w:val="kk-KZ"/>
        </w:rPr>
        <w:t xml:space="preserve"> составляет:</w:t>
      </w:r>
      <w:r w:rsidRPr="00935EEF">
        <w:t xml:space="preserve"> </w:t>
      </w:r>
      <w:bookmarkStart w:id="2" w:name="_Hlk220061258"/>
      <w:r w:rsidRPr="00935EEF">
        <w:t>(</w:t>
      </w:r>
      <w:r w:rsidRPr="00935EEF">
        <w:rPr>
          <w:lang w:val="kk-KZ"/>
        </w:rPr>
        <w:t xml:space="preserve">по </w:t>
      </w:r>
      <w:r w:rsidRPr="00935EEF">
        <w:t>ПУО)</w:t>
      </w:r>
      <w:r w:rsidRPr="00935EEF">
        <w:t xml:space="preserve"> </w:t>
      </w:r>
      <w:bookmarkEnd w:id="2"/>
      <w:r w:rsidRPr="00935EEF">
        <w:t>всего — 344,456 т/год,</w:t>
      </w:r>
    </w:p>
    <w:p w14:paraId="246BA801" w14:textId="11F531F5" w:rsidR="00746F12" w:rsidRPr="00935EEF" w:rsidRDefault="00746F12" w:rsidP="00746F12">
      <w:pPr>
        <w:pStyle w:val="a8"/>
        <w:jc w:val="both"/>
      </w:pPr>
      <w:r w:rsidRPr="00935EEF">
        <w:t>из них:</w:t>
      </w:r>
    </w:p>
    <w:p w14:paraId="47906DBF" w14:textId="068A2ECB" w:rsidR="00746F12" w:rsidRPr="00935EEF" w:rsidRDefault="00746F12" w:rsidP="00746F12">
      <w:pPr>
        <w:pStyle w:val="a8"/>
        <w:jc w:val="both"/>
      </w:pPr>
      <w:r w:rsidRPr="00935EEF">
        <w:t>отходы производства — 314,456 т/год;</w:t>
      </w:r>
    </w:p>
    <w:p w14:paraId="3846526C" w14:textId="013CE76C" w:rsidR="00746F12" w:rsidRPr="00935EEF" w:rsidRDefault="00746F12" w:rsidP="00746F12">
      <w:pPr>
        <w:pStyle w:val="a8"/>
        <w:jc w:val="both"/>
      </w:pPr>
      <w:r w:rsidRPr="00935EEF">
        <w:t>отходы потребления — 30 т/год.</w:t>
      </w:r>
    </w:p>
    <w:p w14:paraId="0909D436" w14:textId="5CF8E516" w:rsidR="00746F12" w:rsidRPr="00746F12" w:rsidRDefault="00746F12" w:rsidP="00746F1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6F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НДВ, общее количество выбросов загрязняющих веществ в атмосферу составит:</w:t>
      </w:r>
      <w:r w:rsidRPr="00746F1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46F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год достижения нормативов (2026-2035 гг.) — 582.582307078 т/год,</w:t>
      </w:r>
      <w:r w:rsidRPr="00746F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 том числе: </w:t>
      </w:r>
    </w:p>
    <w:p w14:paraId="591EE41C" w14:textId="77777777" w:rsidR="00746F12" w:rsidRPr="00746F12" w:rsidRDefault="00746F12" w:rsidP="00746F1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6F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твёрдых веществ — 5.893886682 т/год;</w:t>
      </w:r>
    </w:p>
    <w:p w14:paraId="1886DE46" w14:textId="537957E1" w:rsidR="00746F12" w:rsidRPr="00935EEF" w:rsidRDefault="00746F12" w:rsidP="00746F12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46F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газообразных и жидких веществ — 576.688420396 т/год.</w:t>
      </w:r>
    </w:p>
    <w:p w14:paraId="2A6F85A5" w14:textId="7A92599E" w:rsidR="00746F12" w:rsidRPr="00935EEF" w:rsidRDefault="00746F12" w:rsidP="00746F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</w:pPr>
      <w:r w:rsidRPr="00746F12"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  <w:t>Социально-экономические аспекты</w:t>
      </w:r>
    </w:p>
    <w:p w14:paraId="5B84EC32" w14:textId="6B6B27BF" w:rsidR="00935EEF" w:rsidRPr="00746F12" w:rsidRDefault="00935EEF" w:rsidP="00746F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Махамбетский район — административно-территориальная единица в центре Атырауской области с центром в селе Махамбет. Население района составляет примерно 34,8 тыс. человек, значительная часть — казахи, большинство — сельские жители.  </w:t>
      </w: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ab/>
      </w:r>
    </w:p>
    <w:p w14:paraId="572CF021" w14:textId="6B91F347" w:rsidR="00746F12" w:rsidRPr="003861B6" w:rsidRDefault="00746F12" w:rsidP="00746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46F12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Эксплуатация объекта обеспечивает сохранение рабочих мест и налоговые поступления в местный бюджет. Отрицательного воздействия на условия проживания населения не ожидается. Реализация проекта не требует переселения населения и не затрагивает объекты социальной инфраструктуры.</w:t>
      </w:r>
    </w:p>
    <w:p w14:paraId="7967DA11" w14:textId="27AE52FB" w:rsidR="00D2581D" w:rsidRPr="00D2581D" w:rsidRDefault="00D2581D" w:rsidP="00D258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i/>
          <w:iCs/>
          <w:sz w:val="24"/>
          <w:szCs w:val="24"/>
          <w:lang w:val="kk-KZ" w:eastAsia="ru-KZ"/>
        </w:rPr>
        <w:t>В</w:t>
      </w:r>
      <w:r w:rsidRPr="00D2581D"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  <w:t>оздействия на окружающую среду</w:t>
      </w:r>
    </w:p>
    <w:p w14:paraId="2025B7F0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Жизнь и здоровье людей: негативное воздействие не прогнозируется.</w:t>
      </w:r>
    </w:p>
    <w:p w14:paraId="620E2C1B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Биоразнообразие: редкие и охраняемые виды отсутствуют.</w:t>
      </w:r>
    </w:p>
    <w:p w14:paraId="54BEF14F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Земли и почвы: воздействие локальное и обратимое.</w:t>
      </w:r>
    </w:p>
    <w:p w14:paraId="3C3C33F3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Воды: загрязнение поверхностных и подземных вод не ожидается.</w:t>
      </w:r>
    </w:p>
    <w:p w14:paraId="6CA1B95B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Атмосферный воздух: выбросы контролируемые, в пределах нормативов.</w:t>
      </w:r>
    </w:p>
    <w:p w14:paraId="1350CE39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Климатическая устойчивость: проект не снижает устойчивость экосистем.</w:t>
      </w:r>
    </w:p>
    <w:p w14:paraId="1E04256B" w14:textId="77777777" w:rsidR="00D2581D" w:rsidRPr="00935EEF" w:rsidRDefault="00D2581D" w:rsidP="00D2581D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935EE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Ландшафты и культурное наследие: объекты отсутствуют.</w:t>
      </w:r>
    </w:p>
    <w:p w14:paraId="56F68BD3" w14:textId="18022F3A" w:rsidR="00D2581D" w:rsidRPr="00D2581D" w:rsidRDefault="00D2581D" w:rsidP="00D258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  <w:t>Аварийные ситуации и риски</w:t>
      </w:r>
    </w:p>
    <w:p w14:paraId="4B5EF984" w14:textId="77777777" w:rsidR="00D2581D" w:rsidRPr="00D2581D" w:rsidRDefault="00D2581D" w:rsidP="00D2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Вероятность аварий оценивается как низкая.</w:t>
      </w: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br/>
        <w:t>Предусмотрены:</w:t>
      </w:r>
    </w:p>
    <w:p w14:paraId="15970AF5" w14:textId="77777777" w:rsidR="00D2581D" w:rsidRPr="00D2581D" w:rsidRDefault="00D2581D" w:rsidP="00D258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системы автоматической защиты;</w:t>
      </w:r>
    </w:p>
    <w:p w14:paraId="5E8C0FDA" w14:textId="77777777" w:rsidR="00D2581D" w:rsidRPr="00D2581D" w:rsidRDefault="00D2581D" w:rsidP="00D258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планы ликвидации аварийных ситуаций;</w:t>
      </w:r>
    </w:p>
    <w:p w14:paraId="0C42ADBE" w14:textId="77777777" w:rsidR="00D2581D" w:rsidRPr="00935EEF" w:rsidRDefault="00D2581D" w:rsidP="00D258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противопожарные и экологические мероприятия.</w:t>
      </w:r>
    </w:p>
    <w:p w14:paraId="1026C588" w14:textId="4DB0A1F9" w:rsidR="00D2581D" w:rsidRPr="00D2581D" w:rsidRDefault="00D2581D" w:rsidP="00D2581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i/>
          <w:iCs/>
          <w:sz w:val="24"/>
          <w:szCs w:val="24"/>
          <w:lang w:val="ru-KZ" w:eastAsia="ru-KZ"/>
        </w:rPr>
        <w:t>Меры по снижению воздействия</w:t>
      </w:r>
    </w:p>
    <w:p w14:paraId="3A74AB21" w14:textId="77777777" w:rsidR="00D2581D" w:rsidRPr="00D2581D" w:rsidRDefault="00D2581D" w:rsidP="00D2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Проектом предусмотрены меры по:</w:t>
      </w:r>
    </w:p>
    <w:p w14:paraId="28D5D7B9" w14:textId="77777777" w:rsidR="00D2581D" w:rsidRPr="00D2581D" w:rsidRDefault="00D2581D" w:rsidP="00D2581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минимизации выбросов и пылеобразования;</w:t>
      </w:r>
    </w:p>
    <w:p w14:paraId="2EC199AB" w14:textId="77777777" w:rsidR="00D2581D" w:rsidRPr="00D2581D" w:rsidRDefault="00D2581D" w:rsidP="00D2581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безопасному обращению с отходами;</w:t>
      </w:r>
    </w:p>
    <w:p w14:paraId="5430F735" w14:textId="77777777" w:rsidR="00D2581D" w:rsidRPr="00D2581D" w:rsidRDefault="00D2581D" w:rsidP="00D2581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экологическому мониторингу;</w:t>
      </w:r>
    </w:p>
    <w:p w14:paraId="75888E08" w14:textId="77777777" w:rsidR="00D2581D" w:rsidRPr="00D2581D" w:rsidRDefault="00D2581D" w:rsidP="00D2581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рекультивации территории при прекращении деятельности.</w:t>
      </w:r>
    </w:p>
    <w:p w14:paraId="12BDCAAF" w14:textId="77777777" w:rsidR="00D2581D" w:rsidRPr="00D2581D" w:rsidRDefault="00D2581D" w:rsidP="00D2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Необратимые воздействия на окружающую среду не прогнозируются.</w:t>
      </w:r>
    </w:p>
    <w:p w14:paraId="0E711264" w14:textId="77777777" w:rsidR="00D2581D" w:rsidRPr="00D2581D" w:rsidRDefault="00D2581D" w:rsidP="00D2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При подготовке резюме использованы материалы:</w:t>
      </w:r>
    </w:p>
    <w:p w14:paraId="22DB3E01" w14:textId="77777777" w:rsidR="00D2581D" w:rsidRPr="00D2581D" w:rsidRDefault="00D2581D" w:rsidP="00D2581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раздела «Охрана окружающей среды (РООС)»;</w:t>
      </w:r>
    </w:p>
    <w:p w14:paraId="4FE65E44" w14:textId="77777777" w:rsidR="00D2581D" w:rsidRPr="00D2581D" w:rsidRDefault="00D2581D" w:rsidP="00D2581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нормативов допустимых выбросов (НДВ);</w:t>
      </w:r>
    </w:p>
    <w:p w14:paraId="53BB2F7E" w14:textId="77777777" w:rsidR="00D2581D" w:rsidRPr="00D2581D" w:rsidRDefault="00D2581D" w:rsidP="00D2581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D2581D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программы управления отходами (ПУО);</w:t>
      </w:r>
    </w:p>
    <w:p w14:paraId="0F512EE1" w14:textId="77777777" w:rsidR="00D2581D" w:rsidRPr="00D2581D" w:rsidRDefault="00D2581D" w:rsidP="00E5752E">
      <w:pPr>
        <w:widowControl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</w:p>
    <w:sectPr w:rsidR="00D2581D" w:rsidRPr="00D25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7860"/>
    <w:multiLevelType w:val="hybridMultilevel"/>
    <w:tmpl w:val="BF10531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66E1D"/>
    <w:multiLevelType w:val="multilevel"/>
    <w:tmpl w:val="3C145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D2C62"/>
    <w:multiLevelType w:val="multilevel"/>
    <w:tmpl w:val="B35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686161"/>
    <w:multiLevelType w:val="multilevel"/>
    <w:tmpl w:val="39FC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3B026F"/>
    <w:multiLevelType w:val="hybridMultilevel"/>
    <w:tmpl w:val="304E9772"/>
    <w:lvl w:ilvl="0" w:tplc="200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AA3E6D"/>
    <w:multiLevelType w:val="multilevel"/>
    <w:tmpl w:val="1322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B05F3A"/>
    <w:multiLevelType w:val="multilevel"/>
    <w:tmpl w:val="F6C8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FC1D87"/>
    <w:multiLevelType w:val="multilevel"/>
    <w:tmpl w:val="3EE2EA76"/>
    <w:lvl w:ilvl="0">
      <w:start w:val="1"/>
      <w:numFmt w:val="decimal"/>
      <w:pStyle w:val="a"/>
      <w:lvlText w:val="%1."/>
      <w:lvlJc w:val="left"/>
      <w:pPr>
        <w:ind w:left="644" w:hanging="360"/>
      </w:pPr>
      <w:rPr>
        <w:rFonts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64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301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401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537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637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77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874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0108" w:hanging="1800"/>
      </w:pPr>
      <w:rPr>
        <w:rFonts w:hint="default"/>
        <w:color w:val="00000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4BF"/>
    <w:rsid w:val="000644BF"/>
    <w:rsid w:val="003861B6"/>
    <w:rsid w:val="00542015"/>
    <w:rsid w:val="005C6ED4"/>
    <w:rsid w:val="006270C8"/>
    <w:rsid w:val="00746F12"/>
    <w:rsid w:val="00935EEF"/>
    <w:rsid w:val="00A46DE8"/>
    <w:rsid w:val="00C8218C"/>
    <w:rsid w:val="00D2581D"/>
    <w:rsid w:val="00D645D2"/>
    <w:rsid w:val="00E5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ECC1F"/>
  <w15:chartTrackingRefBased/>
  <w15:docId w15:val="{2639B887-E9C8-4834-A66F-A4073BBA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575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раздел"/>
    <w:basedOn w:val="1"/>
    <w:link w:val="a4"/>
    <w:qFormat/>
    <w:rsid w:val="00E5752E"/>
    <w:pPr>
      <w:keepLines w:val="0"/>
      <w:numPr>
        <w:numId w:val="1"/>
      </w:numPr>
      <w:tabs>
        <w:tab w:val="num" w:pos="1188"/>
      </w:tabs>
      <w:spacing w:after="60" w:line="240" w:lineRule="auto"/>
      <w:ind w:left="1188" w:hanging="144"/>
      <w:jc w:val="center"/>
    </w:pPr>
    <w:rPr>
      <w:rFonts w:ascii="Arial" w:eastAsia="Times New Roman" w:hAnsi="Arial" w:cs="Arial"/>
      <w:b/>
      <w:bCs/>
      <w:caps/>
      <w:color w:val="333399"/>
      <w:kern w:val="32"/>
      <w:sz w:val="26"/>
      <w:lang w:val="ru-RU" w:eastAsia="ru-RU"/>
    </w:rPr>
  </w:style>
  <w:style w:type="character" w:customStyle="1" w:styleId="a4">
    <w:name w:val="раздел Знак"/>
    <w:basedOn w:val="a1"/>
    <w:link w:val="a"/>
    <w:rsid w:val="00E5752E"/>
    <w:rPr>
      <w:rFonts w:ascii="Arial" w:eastAsia="Times New Roman" w:hAnsi="Arial" w:cs="Arial"/>
      <w:b/>
      <w:bCs/>
      <w:caps/>
      <w:color w:val="333399"/>
      <w:kern w:val="32"/>
      <w:sz w:val="26"/>
      <w:szCs w:val="32"/>
      <w:lang w:val="ru-RU" w:eastAsia="ru-RU"/>
    </w:rPr>
  </w:style>
  <w:style w:type="character" w:customStyle="1" w:styleId="10">
    <w:name w:val="Заголовок 1 Знак"/>
    <w:basedOn w:val="a1"/>
    <w:link w:val="1"/>
    <w:uiPriority w:val="9"/>
    <w:rsid w:val="00E575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5">
    <w:name w:val="Table Grid"/>
    <w:aliases w:val="ПНОО,Таблица для проекта"/>
    <w:basedOn w:val="a2"/>
    <w:uiPriority w:val="39"/>
    <w:rsid w:val="00E5752E"/>
    <w:pPr>
      <w:spacing w:after="0" w:line="240" w:lineRule="auto"/>
    </w:pPr>
    <w:rPr>
      <w:rFonts w:ascii="Times New Roman" w:eastAsia="Times New Roman" w:hAnsi="Times New Roman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0"/>
    <w:link w:val="a7"/>
    <w:uiPriority w:val="99"/>
    <w:semiHidden/>
    <w:unhideWhenUsed/>
    <w:rsid w:val="00D645D2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semiHidden/>
    <w:rsid w:val="00D645D2"/>
  </w:style>
  <w:style w:type="paragraph" w:styleId="a8">
    <w:name w:val="Normal (Web)"/>
    <w:basedOn w:val="a0"/>
    <w:uiPriority w:val="99"/>
    <w:unhideWhenUsed/>
    <w:rsid w:val="003861B6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0"/>
    <w:uiPriority w:val="34"/>
    <w:qFormat/>
    <w:rsid w:val="00D25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2026-01-22T05:28:00Z</dcterms:created>
  <dcterms:modified xsi:type="dcterms:W3CDTF">2026-01-23T06:47:00Z</dcterms:modified>
</cp:coreProperties>
</file>