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32" w:rsidRDefault="00D85532" w:rsidP="00D85532">
      <w:pPr>
        <w:pStyle w:val="Defaul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Пояснение относительно проектов нормативов</w:t>
      </w:r>
    </w:p>
    <w:p w:rsidR="00127D89" w:rsidRDefault="00127D89" w:rsidP="00D85532">
      <w:pPr>
        <w:pStyle w:val="Default"/>
        <w:ind w:firstLine="567"/>
        <w:jc w:val="center"/>
        <w:rPr>
          <w:sz w:val="28"/>
          <w:szCs w:val="28"/>
        </w:rPr>
      </w:pPr>
      <w:bookmarkStart w:id="0" w:name="_GoBack"/>
      <w:bookmarkEnd w:id="0"/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5 ст. 39 Экологического кодекса, нормативы эмиссий на период строительно-монтажных работ и работ по рекультивации и (или) ликвидации рассчитываются и обосновываются в составе раздела "Охрана окружающей среды", который разрабатывается в привязке к соответствующей проектной документации.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2 ст. 122 </w:t>
      </w:r>
      <w:proofErr w:type="gramStart"/>
      <w:r>
        <w:rPr>
          <w:sz w:val="28"/>
          <w:szCs w:val="28"/>
        </w:rPr>
        <w:t>ЭК</w:t>
      </w:r>
      <w:proofErr w:type="gramEnd"/>
      <w:r>
        <w:rPr>
          <w:sz w:val="28"/>
          <w:szCs w:val="28"/>
        </w:rPr>
        <w:t xml:space="preserve"> РК к заявлению на получение экологического разрешения на воздействие прилагаются: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отношении намечаемой деятельности – проектная документация по строительству и (или) эксплуатации объектов I или II категории;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заключение по результатам оценки воздействия на окружающую среду либо заключение о результатах скрининга воздействий намечаемой деятельности, содержащее вывод об отсутствии необходимости проведения обязательной оценки воздействия на окружающую среду в случаях, предусмотренных настоящим Кодексом;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видам деятельности, не подлежащим обязательной оценке воздействия на окружающую среду, – материалы экологической оценки по упрощенному порядку;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проект нормативов эмиссий (для эксплуатации объекта);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проект программы управления отходами (для эксплуатации объекта);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проект программы производственного экологического контроля (для эксплуатации объекта);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проект плана мероприятий по охране окружающей среды на период действия экологического разрешения на воздействие;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проект нормативов размещения серы в открытом виде на серных картах (при проведении операций по разведке и добыче углеводородов).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вышеизложенного, в комплект документации к заявлению на получение экологического разрешения на воздействие к «Проекту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не включены документы, перечисленные в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4, 5, 6 п. 2 ст. 122 Экологического кодекса.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комплект документации к заявлению на получение экологического разрешения на воздействие входит: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• Проект с разделом «Охрана окружающей среды»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План мероприятий по охране окружающей среды </w:t>
      </w:r>
    </w:p>
    <w:p w:rsidR="00D85532" w:rsidRDefault="00D85532" w:rsidP="00D85532">
      <w:pPr>
        <w:pStyle w:val="Default"/>
        <w:ind w:firstLine="567"/>
        <w:jc w:val="both"/>
        <w:rPr>
          <w:sz w:val="28"/>
          <w:szCs w:val="28"/>
        </w:rPr>
      </w:pPr>
    </w:p>
    <w:sectPr w:rsidR="00D85532" w:rsidSect="00D85532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532"/>
    <w:rsid w:val="00127D89"/>
    <w:rsid w:val="008E21C5"/>
    <w:rsid w:val="00AF6E92"/>
    <w:rsid w:val="00D8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5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5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Динара</cp:lastModifiedBy>
  <cp:revision>2</cp:revision>
  <dcterms:created xsi:type="dcterms:W3CDTF">2025-02-13T09:53:00Z</dcterms:created>
  <dcterms:modified xsi:type="dcterms:W3CDTF">2025-02-13T09:58:00Z</dcterms:modified>
</cp:coreProperties>
</file>