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Нетехническое резюме 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</w:r>
    </w:p>
    <w:p>
      <w:pPr>
        <w:pStyle w:val="Normal"/>
        <w:jc w:val="center"/>
        <w:rPr/>
      </w:pPr>
      <w:r>
        <w:rPr>
          <w:rFonts w:ascii="TimesNewRomanPS-BoldMT" w:hAnsi="TimesNewRomanPS-BoldMT"/>
          <w:b/>
          <w:sz w:val="28"/>
        </w:rPr>
        <w:t>Описание предполагаемого места осуществления намечаемой</w:t>
      </w:r>
    </w:p>
    <w:p>
      <w:pPr>
        <w:pStyle w:val="Normal"/>
        <w:jc w:val="center"/>
        <w:rPr/>
      </w:pPr>
      <w:r>
        <w:rPr>
          <w:rFonts w:ascii="TimesNewRomanPS-BoldMT" w:hAnsi="TimesNewRomanPS-BoldMT"/>
          <w:b/>
          <w:sz w:val="28"/>
        </w:rPr>
        <w:t>деятельности, его координаты, определенные согласно</w:t>
      </w:r>
    </w:p>
    <w:p>
      <w:pPr>
        <w:pStyle w:val="Normal"/>
        <w:jc w:val="center"/>
        <w:rPr/>
      </w:pPr>
      <w:r>
        <w:rPr>
          <w:rFonts w:ascii="TimesNewRomanPS-BoldMT" w:hAnsi="TimesNewRomanPS-BoldMT"/>
          <w:b/>
          <w:sz w:val="28"/>
        </w:rPr>
        <w:t>геоинформационной системе, с векторными файлами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 xml:space="preserve">Район расположения намечаемой деятельности: Птицекомплекс замкнутого цикла по производству и переработке мяса бройлера расположен севернее г. Чунджа, в Уйгурском районе Алматинской области, Кыргызсайский сельский округ, из земель запаса района, уч. </w:t>
      </w:r>
      <w:r>
        <w:rPr>
          <w:rFonts w:ascii="Times New Roman" w:hAnsi="Times New Roman"/>
          <w:sz w:val="28"/>
        </w:rPr>
        <w:t>«</w:t>
      </w:r>
      <w:r>
        <w:rPr>
          <w:rFonts w:ascii="TimesNewRomanPSMT" w:hAnsi="TimesNewRomanPSMT"/>
          <w:sz w:val="28"/>
        </w:rPr>
        <w:t>Бақтықұрай</w:t>
      </w:r>
      <w:r>
        <w:rPr>
          <w:rFonts w:ascii="Times New Roman" w:hAnsi="Times New Roman"/>
          <w:sz w:val="28"/>
        </w:rPr>
        <w:t>».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Координаты</w:t>
      </w:r>
      <w:r>
        <w:rPr>
          <w:rFonts w:ascii="Times New Roman" w:hAnsi="Times New Roman"/>
          <w:sz w:val="28"/>
        </w:rPr>
        <w:t>: 43.726649, 79.497491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Ближайшая селитебная зона расположена на расстоянии более 1 км от территории строительства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Северо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>западнее территории птицекомплекса на расстоянии 1,5 км. расположено село Рахат и на расстоянии 4</w:t>
      </w:r>
      <w:r>
        <w:rPr>
          <w:rFonts w:ascii="Times New Roman" w:hAnsi="Times New Roman"/>
          <w:sz w:val="28"/>
        </w:rPr>
        <w:t>,</w:t>
      </w:r>
      <w:r>
        <w:rPr>
          <w:rFonts w:ascii="TimesNewRomanPSMT" w:hAnsi="TimesNewRomanPSMT"/>
          <w:sz w:val="28"/>
        </w:rPr>
        <w:t>3 км. расположено село Ташкарасу.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/>
      </w:r>
    </w:p>
    <w:p>
      <w:pPr>
        <w:pStyle w:val="Normal"/>
        <w:jc w:val="center"/>
        <w:rPr/>
      </w:pPr>
      <w:r>
        <w:rPr>
          <w:rFonts w:ascii="TimesNewRomanPS-BoldMT" w:hAnsi="TimesNewRomanPS-BoldMT"/>
          <w:b/>
          <w:sz w:val="28"/>
        </w:rPr>
        <w:t>Инженерно</w:t>
      </w:r>
      <w:r>
        <w:rPr>
          <w:rFonts w:ascii="Times New Roman" w:hAnsi="Times New Roman"/>
          <w:b/>
          <w:sz w:val="28"/>
        </w:rPr>
        <w:t>-</w:t>
      </w:r>
      <w:r>
        <w:rPr>
          <w:rFonts w:ascii="TimesNewRomanPS-BoldMT" w:hAnsi="TimesNewRomanPS-BoldMT"/>
          <w:b/>
          <w:sz w:val="28"/>
        </w:rPr>
        <w:t>геологическая характеристика проектируемого</w:t>
      </w:r>
    </w:p>
    <w:p>
      <w:pPr>
        <w:pStyle w:val="Normal"/>
        <w:jc w:val="center"/>
        <w:rPr/>
      </w:pPr>
      <w:r>
        <w:rPr>
          <w:rFonts w:ascii="TimesNewRomanPS-BoldMT" w:hAnsi="TimesNewRomanPS-BoldMT"/>
          <w:b/>
          <w:sz w:val="28"/>
        </w:rPr>
        <w:t>участка строительства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Расположен в юго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>восточной части Алматинской области в предгорьях Заилийского Алатау в пределах между Кетменьским хребтом и равниной Илийской впадины.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Рельеф площадки пологий, у клон с ю го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>запада на северо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>восток, абсолютные отметки изменяются от 554,90 м до 576,20 м (приведены по инженерно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>геологическим выработкам). Абсолютные отметки приведены в «Список высот инженерно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 xml:space="preserve">геологических выработок». Русло Реки Чарын расположено западнее площадки птицефабрики, на расстоянии 6000 м. 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Территория потенциально относится к не подтопляемым землям. Инженерно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 xml:space="preserve">геологическое условие площадки строительства: ИГЭ 1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NewRomanPSMT" w:hAnsi="TimesNewRomanPSMT"/>
          <w:sz w:val="28"/>
        </w:rPr>
        <w:t xml:space="preserve">Супесь бурого цвета, твёрдой консистенции, гравелистая, лёгкая, с включением гравия и гальки до </w:t>
      </w:r>
      <w:r>
        <w:rPr>
          <w:rFonts w:ascii="Times New Roman" w:hAnsi="Times New Roman"/>
          <w:sz w:val="28"/>
        </w:rPr>
        <w:t xml:space="preserve">19-42%, </w:t>
      </w:r>
      <w:r>
        <w:rPr>
          <w:rFonts w:ascii="TimesNewRomanPSMT" w:hAnsi="TimesNewRomanPSMT"/>
          <w:sz w:val="28"/>
        </w:rPr>
        <w:t>гравий и галька хорошо окатанные, гранитного и кварцевого состава, просадочная, ненабухающая, непучинистая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Мощность слоя колеблется от 0,40м до 1,00м.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Залегает с дневной поверхности.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Имеет распространение в западной и восточной частях площадки.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Удельное сцепление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NewRomanPSMT" w:hAnsi="TimesNewRomanPSMT"/>
          <w:sz w:val="28"/>
        </w:rPr>
        <w:t>20/16кПа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Плотность грунта </w:t>
      </w:r>
      <w:r>
        <w:rPr>
          <w:rFonts w:ascii="Times New Roman" w:hAnsi="Times New Roman"/>
          <w:sz w:val="28"/>
        </w:rPr>
        <w:t>- 1,</w:t>
      </w:r>
      <w:r>
        <w:rPr>
          <w:rFonts w:ascii="TimesNewRomanPSMT" w:hAnsi="TimesNewRomanPSMT"/>
          <w:sz w:val="28"/>
        </w:rPr>
        <w:t>62т/м3/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Угол внутреннего трения </w:t>
      </w:r>
      <w:r>
        <w:rPr>
          <w:rFonts w:ascii="Times New Roman" w:hAnsi="Times New Roman"/>
          <w:sz w:val="28"/>
        </w:rPr>
        <w:t>- 18/10°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Модуль деформации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NewRomanPSMT" w:hAnsi="TimesNewRomanPSMT"/>
          <w:sz w:val="28"/>
        </w:rPr>
        <w:t>15,0/10,0 МПа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Расчётное сопротивление R/0=300/150кПа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 xml:space="preserve">ИГЭ 2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NewRomanPSMT" w:hAnsi="TimesNewRomanPSMT"/>
          <w:sz w:val="28"/>
        </w:rPr>
        <w:t>Галечниковые грунты серого цвета, с песчаным заполнителем до 2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 xml:space="preserve">33%, малой степени водонасыщения, плотного сложения, с глубины 4,00м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NewRomanPSMT" w:hAnsi="TimesNewRomanPSMT"/>
          <w:sz w:val="28"/>
        </w:rPr>
        <w:t>6,00м с включением валунов до 10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>20%, обломки окатанные, гранитного и кварцевого состава, непучинистые.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Имеет повсеместное распространение.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Удельное сцепление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NewRomanPSMT" w:hAnsi="TimesNewRomanPSMT"/>
          <w:sz w:val="28"/>
        </w:rPr>
        <w:t>24кПа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Плотность грунта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NewRomanPSMT" w:hAnsi="TimesNewRomanPSMT"/>
          <w:sz w:val="28"/>
        </w:rPr>
        <w:t>2,11т/м3/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Угол внутреннего трения </w:t>
      </w:r>
      <w:r>
        <w:rPr>
          <w:rFonts w:ascii="Times New Roman" w:hAnsi="Times New Roman"/>
          <w:sz w:val="28"/>
        </w:rPr>
        <w:t>- 33°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Модуль деформации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NewRomanPSMT" w:hAnsi="TimesNewRomanPSMT"/>
          <w:sz w:val="28"/>
        </w:rPr>
        <w:t>50,0 МПа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Расчётное сопротивление R/0=600кПа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 xml:space="preserve">Подземные воды на глубине бурения </w:t>
      </w:r>
      <w:r>
        <w:rPr>
          <w:rFonts w:ascii="Times New Roman" w:hAnsi="Times New Roman"/>
          <w:sz w:val="28"/>
        </w:rPr>
        <w:t>1</w:t>
      </w:r>
      <w:r>
        <w:rPr>
          <w:rFonts w:ascii="TimesNewRomanPSMT" w:hAnsi="TimesNewRomanPSMT"/>
          <w:sz w:val="28"/>
        </w:rPr>
        <w:t>5,00м не вскрыты.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По содержанию водорастворимых солей грунты, слагающие участок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изысканий относятся к незасоленным.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Супесь, галечниковый грунт при замачивании и увлажнении к бетону по водонепроницаемости W8 на шлакопортландцементе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NewRomanPSMT" w:hAnsi="TimesNewRomanPSMT"/>
          <w:sz w:val="28"/>
        </w:rPr>
        <w:t xml:space="preserve">будут неагрессивные. По отношению на арматуру в железобетонных конструкциях </w:t>
      </w:r>
      <w:r>
        <w:rPr>
          <w:rFonts w:ascii="Times New Roman" w:hAnsi="Times New Roman"/>
          <w:sz w:val="28"/>
        </w:rPr>
        <w:t xml:space="preserve">W8 - </w:t>
      </w:r>
      <w:r>
        <w:rPr>
          <w:rFonts w:ascii="TimesNewRomanPSMT" w:hAnsi="TimesNewRomanPSMT"/>
          <w:sz w:val="28"/>
        </w:rPr>
        <w:t>среднеагрессивные, слабоагрессивные.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За относительную отметку 0,000 условно принят уровень чистого пола первого этажа вышки очистительно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>весовой (поз.17), что соответствует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>абсолютной отметке 562</w:t>
      </w:r>
      <w:r>
        <w:rPr>
          <w:rFonts w:ascii="Times New Roman" w:hAnsi="Times New Roman"/>
          <w:sz w:val="28"/>
        </w:rPr>
        <w:t>,</w:t>
      </w:r>
      <w:r>
        <w:rPr>
          <w:rFonts w:ascii="TimesNewRomanPSMT" w:hAnsi="TimesNewRomanPSMT"/>
          <w:sz w:val="28"/>
        </w:rPr>
        <w:t>90 по генплану.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/>
      </w:r>
    </w:p>
    <w:p>
      <w:pPr>
        <w:pStyle w:val="Normal"/>
        <w:jc w:val="center"/>
        <w:rPr/>
      </w:pPr>
      <w:r>
        <w:rPr>
          <w:rFonts w:ascii="TimesNewRomanPS-BoldMT" w:hAnsi="TimesNewRomanPS-BoldMT"/>
          <w:b/>
          <w:sz w:val="28"/>
        </w:rPr>
        <w:t>Информация о показателях объектов, необходимых для</w:t>
      </w:r>
    </w:p>
    <w:p>
      <w:pPr>
        <w:pStyle w:val="Normal"/>
        <w:jc w:val="center"/>
        <w:rPr/>
      </w:pPr>
      <w:r>
        <w:rPr>
          <w:rFonts w:ascii="TimesNewRomanPS-BoldMT" w:hAnsi="TimesNewRomanPS-BoldMT"/>
          <w:b/>
          <w:sz w:val="28"/>
        </w:rPr>
        <w:t>осуществления намечаемой деятельности, включая их мощность</w:t>
      </w:r>
      <w:r>
        <w:rPr>
          <w:rFonts w:ascii="Times New Roman" w:hAnsi="Times New Roman"/>
          <w:b/>
          <w:sz w:val="28"/>
        </w:rPr>
        <w:t>,</w:t>
      </w:r>
    </w:p>
    <w:p>
      <w:pPr>
        <w:pStyle w:val="Normal"/>
        <w:jc w:val="center"/>
        <w:rPr/>
      </w:pPr>
      <w:r>
        <w:rPr>
          <w:rFonts w:ascii="TimesNewRomanPS-BoldMT" w:hAnsi="TimesNewRomanPS-BoldMT"/>
          <w:b/>
          <w:sz w:val="28"/>
        </w:rPr>
        <w:t>габариты (площадь занимаемых земель, высота</w:t>
      </w:r>
      <w:r>
        <w:rPr>
          <w:rFonts w:ascii="Times New Roman" w:hAnsi="Times New Roman"/>
          <w:b/>
          <w:sz w:val="28"/>
        </w:rPr>
        <w:t xml:space="preserve">), </w:t>
      </w:r>
      <w:r>
        <w:rPr>
          <w:rFonts w:ascii="TimesNewRomanPS-BoldMT" w:hAnsi="TimesNewRomanPS-BoldMT"/>
          <w:b/>
          <w:sz w:val="28"/>
        </w:rPr>
        <w:t>другие физические и</w:t>
      </w:r>
    </w:p>
    <w:p>
      <w:pPr>
        <w:pStyle w:val="Normal"/>
        <w:jc w:val="center"/>
        <w:rPr/>
      </w:pPr>
      <w:r>
        <w:rPr>
          <w:rFonts w:ascii="TimesNewRomanPS-BoldMT" w:hAnsi="TimesNewRomanPS-BoldMT"/>
          <w:b/>
          <w:sz w:val="28"/>
        </w:rPr>
        <w:t>технические характеристики, влияющие на воздействия на</w:t>
      </w:r>
    </w:p>
    <w:p>
      <w:pPr>
        <w:pStyle w:val="Normal"/>
        <w:jc w:val="center"/>
        <w:rPr/>
      </w:pPr>
      <w:r>
        <w:rPr>
          <w:rFonts w:ascii="TimesNewRomanPS-BoldMT" w:hAnsi="TimesNewRomanPS-BoldMT"/>
          <w:b/>
          <w:sz w:val="28"/>
        </w:rPr>
        <w:t>окружающую среду; сведения о производственном процессе, в том числе</w:t>
      </w:r>
    </w:p>
    <w:p>
      <w:pPr>
        <w:pStyle w:val="Normal"/>
        <w:jc w:val="center"/>
        <w:rPr/>
      </w:pPr>
      <w:r>
        <w:rPr>
          <w:rFonts w:ascii="TimesNewRomanPS-BoldMT" w:hAnsi="TimesNewRomanPS-BoldMT"/>
          <w:b/>
          <w:sz w:val="28"/>
        </w:rPr>
        <w:t>об ожидаемой производительности предприятия, его потребности в</w:t>
      </w:r>
    </w:p>
    <w:p>
      <w:pPr>
        <w:pStyle w:val="Normal"/>
        <w:jc w:val="center"/>
        <w:rPr/>
      </w:pPr>
      <w:r>
        <w:rPr>
          <w:rFonts w:ascii="TimesNewRomanPS-BoldMT" w:hAnsi="TimesNewRomanPS-BoldMT"/>
          <w:b/>
          <w:sz w:val="28"/>
        </w:rPr>
        <w:t>энергии, природных ресурсах, сырье и материала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Птицекомплекс замкнутого цикла по производству и переработке мяса бройлера расположен севернее г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Чунджа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в Уйгурском районе Алматинской области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Кыргызсайский сельский округ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из земель запаса района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уч</w:t>
      </w:r>
      <w:r>
        <w:rPr>
          <w:rFonts w:ascii="Times New Roman" w:hAnsi="Times New Roman"/>
          <w:sz w:val="28"/>
        </w:rPr>
        <w:t>. «</w:t>
      </w:r>
      <w:r>
        <w:rPr>
          <w:rFonts w:ascii="TimesNewRomanPSMT" w:hAnsi="TimesNewRomanPSMT"/>
          <w:sz w:val="28"/>
        </w:rPr>
        <w:t>Бақтықұрай»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Северо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 xml:space="preserve">западнее территории Птицекомплекса на расстоянии </w:t>
      </w:r>
      <w:r>
        <w:rPr>
          <w:rFonts w:ascii="Times New Roman" w:hAnsi="Times New Roman"/>
          <w:sz w:val="28"/>
        </w:rPr>
        <w:t xml:space="preserve">1,5 </w:t>
      </w:r>
      <w:r>
        <w:rPr>
          <w:rFonts w:ascii="TimesNewRomanPSMT" w:hAnsi="TimesNewRomanPSMT"/>
          <w:sz w:val="28"/>
        </w:rPr>
        <w:t xml:space="preserve">км расположено село Рахат и на расстоянии </w:t>
      </w:r>
      <w:r>
        <w:rPr>
          <w:rFonts w:ascii="Times New Roman" w:hAnsi="Times New Roman"/>
          <w:sz w:val="28"/>
        </w:rPr>
        <w:t xml:space="preserve">4,3 </w:t>
      </w:r>
      <w:r>
        <w:rPr>
          <w:rFonts w:ascii="TimesNewRomanPSMT" w:hAnsi="TimesNewRomanPSMT"/>
          <w:sz w:val="28"/>
        </w:rPr>
        <w:t>км село Ташкарасу</w:t>
      </w:r>
      <w:r>
        <w:rPr>
          <w:rFonts w:ascii="Times New Roman" w:hAnsi="Times New Roman"/>
          <w:sz w:val="28"/>
        </w:rPr>
        <w:t xml:space="preserve">. 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К Птицекомплексу проложена автомобильная дорога от основной существующей магистрали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Для обеспечения Птицекомплекса кормами построено Предприятие по производству кормов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расположенный северо</w:t>
      </w:r>
      <w:r>
        <w:rPr>
          <w:rFonts w:ascii="Times New Roman" w:hAnsi="Times New Roman"/>
          <w:sz w:val="28"/>
        </w:rPr>
        <w:t>-</w:t>
      </w:r>
      <w:r>
        <w:rPr>
          <w:rFonts w:ascii="TimesNewRomanPSMT" w:hAnsi="TimesNewRomanPSMT"/>
          <w:sz w:val="28"/>
        </w:rPr>
        <w:t>западнее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К Предприятию проложена железнодорожная ветка от существующей железной дороги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Территория Предприятия по приготовлению кормов огорожена забором.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  <w:t>Заезды на территорию Птицекомплекса предусмотрены с северной стороны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NewRomanPSMT" w:hAnsi="TimesNewRomanPSMT"/>
          <w:sz w:val="28"/>
        </w:rPr>
        <w:t>Общая территория Пртицекомплекса огораживается забором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NewRomanPSMT" w:hAnsi="TimesNewRomanPSMT"/>
          <w:sz w:val="28"/>
        </w:rPr>
        <w:t>согласно нормативам РК</w:t>
      </w:r>
      <w:r>
        <w:rPr>
          <w:rFonts w:ascii="Times New Roman" w:hAnsi="Times New Roman"/>
          <w:sz w:val="28"/>
        </w:rPr>
        <w:t>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imesNewRomanPS-BoldMT">
    <w:charset w:val="cc" w:characterSet="windows-1251"/>
    <w:family w:val="roman"/>
    <w:pitch w:val="variable"/>
  </w:font>
  <w:font w:name="TimesNewRomanPSMT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LibreOffice/7.5.1.2$Windows_X86_64 LibreOffice_project/fcbaee479e84c6cd81291587d2ee68cba099e129</Application>
  <AppVersion>15.0000</AppVersion>
  <Pages>2</Pages>
  <Words>496</Words>
  <Characters>3648</Characters>
  <CharactersWithSpaces>4117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2025-11-19T10:15:32Z</dcterms:created>
  <dc:creator/>
  <dc:description/>
  <dc:language>en-US</dc:language>
  <cp:lastModifiedBy/>
  <dcterms:modified xsi:type="dcterms:W3CDTF">2026-02-09T09:42:59Z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