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Нетехническое резюме </w:t>
      </w:r>
    </w:p>
    <w:p>
      <w:pPr>
        <w:pStyle w:val="Normal"/>
        <w:jc w:val="both"/>
        <w:rPr/>
      </w:pPr>
      <w:r>
        <w:rPr>
          <w:rFonts w:ascii="TimesNewRomanPS-BoldItalicMT" w:hAnsi="TimesNewRomanPS-BoldItalicMT"/>
          <w:b/>
          <w:i/>
          <w:sz w:val="28"/>
        </w:rPr>
        <w:t>Местонахождение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Участок строительства расположена в Алматинской области, Кыргызсайском сельском округе, из земель запаса района, уч. Бақтықұрай. Проектируемые объекты расположены на территории действующего птицекомплекса.</w:t>
      </w:r>
    </w:p>
    <w:p>
      <w:pPr>
        <w:pStyle w:val="Normal"/>
        <w:jc w:val="both"/>
        <w:rPr/>
      </w:pPr>
      <w:r>
        <w:rPr>
          <w:rFonts w:ascii="TimesNewRomanPS-BoldItalicMT" w:hAnsi="TimesNewRomanPS-BoldItalicMT"/>
          <w:b/>
          <w:i/>
          <w:sz w:val="28"/>
        </w:rPr>
        <w:t>Окружение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Северо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западнее территории птицекомплекса на расстоянии 1,5 км. расположено село Рахат и на расстоянии 4,3 км. расположено село Ташкарасу. К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птицекомплексу прокладывается автомобильная дорога от основной существующей магистрали.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Ближайший естественный водоем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NewRomanPSMT" w:hAnsi="TimesNewRomanPSMT"/>
          <w:sz w:val="28"/>
        </w:rPr>
        <w:t>река Чарын с западной стороны на расстоянии более 5,0 км от территории строительства. Территория строительства находится за пределами водоохранных зон.</w:t>
      </w:r>
    </w:p>
    <w:p>
      <w:pPr>
        <w:pStyle w:val="Normal"/>
        <w:jc w:val="both"/>
        <w:rPr/>
      </w:pPr>
      <w:r>
        <w:rPr>
          <w:rFonts w:ascii="TimesNewRomanPS-BoldItalicMT" w:hAnsi="TimesNewRomanPS-BoldItalicMT"/>
          <w:b/>
          <w:i/>
          <w:sz w:val="28"/>
        </w:rPr>
        <w:t>Характеристика объекта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Птицекомплекс замкнутого цикла по производству и переработке мяса бройлера расположен севернее г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Чунджа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в Уйгурском районе Алматинской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Кыргызсайский сельский округ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из земель запаса района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уч</w:t>
      </w:r>
      <w:r>
        <w:rPr>
          <w:rFonts w:ascii="Times New Roman" w:hAnsi="Times New Roman"/>
          <w:sz w:val="28"/>
        </w:rPr>
        <w:t>. «</w:t>
      </w:r>
      <w:r>
        <w:rPr>
          <w:rFonts w:ascii="TimesNewRomanPSMT" w:hAnsi="TimesNewRomanPSMT"/>
          <w:sz w:val="28"/>
        </w:rPr>
        <w:t>Бақтықұрай»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Северо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 xml:space="preserve">западнее территории Птицекомплекса на расстоянии </w:t>
      </w:r>
      <w:r>
        <w:rPr>
          <w:rFonts w:ascii="Times New Roman" w:hAnsi="Times New Roman"/>
          <w:sz w:val="28"/>
        </w:rPr>
        <w:t xml:space="preserve">1,5 </w:t>
      </w:r>
      <w:r>
        <w:rPr>
          <w:rFonts w:ascii="TimesNewRomanPSMT" w:hAnsi="TimesNewRomanPSMT"/>
          <w:sz w:val="28"/>
        </w:rPr>
        <w:t xml:space="preserve">км расположено село Рахат и на расстоянии </w:t>
      </w:r>
      <w:r>
        <w:rPr>
          <w:rFonts w:ascii="Times New Roman" w:hAnsi="Times New Roman"/>
          <w:sz w:val="28"/>
        </w:rPr>
        <w:t xml:space="preserve">4,3 </w:t>
      </w:r>
      <w:r>
        <w:rPr>
          <w:rFonts w:ascii="TimesNewRomanPSMT" w:hAnsi="TimesNewRomanPSMT"/>
          <w:sz w:val="28"/>
        </w:rPr>
        <w:t>км село Ташкарасу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К Птицекомплексу проложена автомобильная дорога от основной существующей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магистрали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Для обеспечения Птицекомплекса кормами построено Предприятие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по производству кормов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расположенный северо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западнее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К Предприятию проложена железнодорожная ветка от существующей железной дороги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Территория Предприятия по приготовлению кормов огорожена забором.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Заезды на территорию Птицекомплекса предусмотрены с северной стороны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Общая территория Пртицекомплекса огораживается забором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согласно нормативам РК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jc w:val="start"/>
        <w:rPr>
          <w:rFonts w:ascii="Times New Roman" w:hAnsi="Times New Roman"/>
          <w:sz w:val="28"/>
        </w:rPr>
      </w:pPr>
      <w:r>
        <w:rPr>
          <w:rFonts w:ascii="TimesNewRomanPSMT" w:hAnsi="TimesNewRomanPSMT"/>
          <w:sz w:val="28"/>
        </w:rPr>
        <w:t xml:space="preserve">Сейсмичность участка </w:t>
      </w:r>
      <w:r>
        <w:rPr>
          <w:rFonts w:ascii="Times New Roman" w:hAnsi="Times New Roman"/>
          <w:sz w:val="28"/>
        </w:rPr>
        <w:t xml:space="preserve">- 9 </w:t>
      </w:r>
      <w:r>
        <w:rPr>
          <w:rFonts w:ascii="TimesNewRomanPSMT" w:hAnsi="TimesNewRomanPSMT"/>
          <w:sz w:val="28"/>
        </w:rPr>
        <w:t>баллов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Климатический подрайон </w:t>
      </w:r>
      <w:r>
        <w:rPr>
          <w:rFonts w:ascii="Times New Roman" w:hAnsi="Times New Roman"/>
          <w:sz w:val="28"/>
        </w:rPr>
        <w:t xml:space="preserve">- III </w:t>
      </w:r>
      <w:r>
        <w:rPr>
          <w:rFonts w:ascii="TimesNewRomanPSMT" w:hAnsi="TimesNewRomanPSMT"/>
          <w:sz w:val="28"/>
        </w:rPr>
        <w:t>В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Расчетная температура наружного воздуха </w:t>
      </w:r>
      <w:r>
        <w:rPr>
          <w:rFonts w:ascii="Times New Roman" w:hAnsi="Times New Roman"/>
          <w:sz w:val="28"/>
        </w:rPr>
        <w:t xml:space="preserve">- t=-18,6 </w:t>
      </w:r>
      <w:r>
        <w:rPr>
          <w:rFonts w:ascii="TimesNewRomanPSMT" w:hAnsi="TimesNewRomanPSMT"/>
          <w:sz w:val="28"/>
        </w:rPr>
        <w:t>С</w:t>
      </w:r>
      <w:r>
        <w:rPr>
          <w:rFonts w:ascii="Times New Roman" w:hAnsi="Times New Roman"/>
          <w:sz w:val="28"/>
        </w:rPr>
        <w:t>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Нормативное значение ветрового давления </w:t>
      </w:r>
      <w:r>
        <w:rPr>
          <w:rFonts w:ascii="Times New Roman" w:hAnsi="Times New Roman"/>
          <w:sz w:val="28"/>
        </w:rPr>
        <w:t xml:space="preserve">- W=0,38 </w:t>
      </w:r>
      <w:r>
        <w:rPr>
          <w:rFonts w:ascii="TimesNewRomanPSMT" w:hAnsi="TimesNewRomanPSMT"/>
          <w:sz w:val="28"/>
        </w:rPr>
        <w:t xml:space="preserve">кПа </w:t>
      </w:r>
      <w:r>
        <w:rPr>
          <w:rFonts w:ascii="Times New Roman" w:hAnsi="Times New Roman"/>
          <w:sz w:val="28"/>
        </w:rPr>
        <w:t>(38,0</w:t>
      </w:r>
      <w:r>
        <w:rPr>
          <w:rFonts w:ascii="TimesNewRomanPSMT" w:hAnsi="TimesNewRomanPSMT"/>
          <w:sz w:val="28"/>
        </w:rPr>
        <w:t>кг</w:t>
      </w:r>
      <w:r>
        <w:rPr>
          <w:rFonts w:ascii="Times New Roman" w:hAnsi="Times New Roman"/>
          <w:sz w:val="28"/>
        </w:rPr>
        <w:t>/</w:t>
      </w:r>
      <w:r>
        <w:rPr>
          <w:rFonts w:ascii="TimesNewRomanPSMT" w:hAnsi="TimesNewRomanPSMT"/>
          <w:sz w:val="28"/>
        </w:rPr>
        <w:t>м</w:t>
      </w:r>
      <w:r>
        <w:rPr>
          <w:rFonts w:ascii="Times New Roman" w:hAnsi="Times New Roman"/>
          <w:sz w:val="28"/>
        </w:rPr>
        <w:t>2).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Нормативное значение веса снегового покрова </w:t>
      </w:r>
      <w:r>
        <w:rPr>
          <w:rFonts w:ascii="Times New Roman" w:hAnsi="Times New Roman"/>
          <w:sz w:val="28"/>
        </w:rPr>
        <w:t xml:space="preserve">– 1,2 </w:t>
      </w:r>
      <w:r>
        <w:rPr>
          <w:rFonts w:ascii="TimesNewRomanPSMT" w:hAnsi="TimesNewRomanPSMT"/>
          <w:sz w:val="28"/>
        </w:rPr>
        <w:t xml:space="preserve">кПа </w:t>
      </w:r>
      <w:r>
        <w:rPr>
          <w:rFonts w:ascii="Times New Roman" w:hAnsi="Times New Roman"/>
          <w:sz w:val="28"/>
        </w:rPr>
        <w:t>(120,0</w:t>
      </w:r>
      <w:r>
        <w:rPr>
          <w:rFonts w:ascii="TimesNewRomanPSMT" w:hAnsi="TimesNewRomanPSMT"/>
          <w:sz w:val="28"/>
        </w:rPr>
        <w:t>кг</w:t>
      </w:r>
      <w:r>
        <w:rPr>
          <w:rFonts w:ascii="Times New Roman" w:hAnsi="Times New Roman"/>
          <w:sz w:val="28"/>
        </w:rPr>
        <w:t>/</w:t>
      </w:r>
      <w:r>
        <w:rPr>
          <w:rFonts w:ascii="TimesNewRomanPSMT" w:hAnsi="TimesNewRomanPSMT"/>
          <w:sz w:val="28"/>
        </w:rPr>
        <w:t>м</w:t>
      </w:r>
      <w:r>
        <w:rPr>
          <w:rFonts w:ascii="Times New Roman" w:hAnsi="Times New Roman"/>
          <w:sz w:val="28"/>
        </w:rPr>
        <w:t>2).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Уровень ответственности здания </w:t>
      </w:r>
      <w:r>
        <w:rPr>
          <w:rFonts w:ascii="Times New Roman" w:hAnsi="Times New Roman"/>
          <w:sz w:val="28"/>
        </w:rPr>
        <w:t>- II (</w:t>
      </w:r>
      <w:r>
        <w:rPr>
          <w:rFonts w:ascii="TimesNewRomanPSMT" w:hAnsi="TimesNewRomanPSMT"/>
          <w:sz w:val="28"/>
        </w:rPr>
        <w:t>нормальный</w:t>
      </w:r>
      <w:r>
        <w:rPr>
          <w:rFonts w:ascii="Times New Roman" w:hAnsi="Times New Roman"/>
          <w:sz w:val="28"/>
        </w:rPr>
        <w:t>).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Класс функциональной пожарной опасности здания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Ф</w:t>
      </w:r>
      <w:r>
        <w:rPr>
          <w:rFonts w:ascii="Times New Roman" w:hAnsi="Times New Roman"/>
          <w:sz w:val="28"/>
        </w:rPr>
        <w:t>5 (</w:t>
      </w:r>
      <w:r>
        <w:rPr>
          <w:rFonts w:ascii="TimesNewRomanPSMT" w:hAnsi="TimesNewRomanPSMT"/>
          <w:sz w:val="28"/>
        </w:rPr>
        <w:t>согласно п</w:t>
      </w:r>
      <w:r>
        <w:rPr>
          <w:rFonts w:ascii="Times New Roman" w:hAnsi="Times New Roman"/>
          <w:sz w:val="28"/>
        </w:rPr>
        <w:t xml:space="preserve">. 71 </w:t>
      </w:r>
      <w:r>
        <w:rPr>
          <w:rFonts w:ascii="TimesNewRomanPSMT" w:hAnsi="TimesNewRomanPSMT"/>
          <w:sz w:val="28"/>
        </w:rPr>
        <w:t xml:space="preserve">приложения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NewRomanPSMT" w:hAnsi="TimesNewRomanPSMT"/>
          <w:sz w:val="28"/>
        </w:rPr>
        <w:t>к Техническому регламенту РК «Общие требования к пожарной безопасности»</w:t>
      </w:r>
      <w:r>
        <w:rPr>
          <w:rFonts w:ascii="Times New Roman" w:hAnsi="Times New Roman"/>
          <w:sz w:val="28"/>
        </w:rPr>
        <w:t>).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Класс опасности предприятия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 xml:space="preserve">класс </w:t>
      </w:r>
      <w:r>
        <w:rPr>
          <w:rFonts w:ascii="Times New Roman" w:hAnsi="Times New Roman"/>
          <w:sz w:val="28"/>
        </w:rPr>
        <w:t>1 (</w:t>
      </w:r>
      <w:r>
        <w:rPr>
          <w:rFonts w:ascii="TimesNewRomanPSMT" w:hAnsi="TimesNewRomanPSMT"/>
          <w:sz w:val="28"/>
        </w:rPr>
        <w:t xml:space="preserve">согласно главе </w:t>
      </w:r>
      <w:r>
        <w:rPr>
          <w:rFonts w:ascii="Times New Roman" w:hAnsi="Times New Roman"/>
          <w:sz w:val="28"/>
        </w:rPr>
        <w:t xml:space="preserve">10 </w:t>
      </w:r>
      <w:r>
        <w:rPr>
          <w:rFonts w:ascii="TimesNewRomanPSMT" w:hAnsi="TimesNewRomanPSMT"/>
          <w:sz w:val="28"/>
        </w:rPr>
        <w:t>п</w:t>
      </w:r>
      <w:r>
        <w:rPr>
          <w:rFonts w:ascii="Times New Roman" w:hAnsi="Times New Roman"/>
          <w:sz w:val="28"/>
        </w:rPr>
        <w:t xml:space="preserve">. 40 </w:t>
      </w:r>
      <w:r>
        <w:rPr>
          <w:rFonts w:ascii="TimesNewRomanPSMT" w:hAnsi="TimesNewRomanPSMT"/>
          <w:sz w:val="28"/>
        </w:rPr>
        <w:t xml:space="preserve">Приложения 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NewRomanPSMT" w:hAnsi="TimesNewRomanPSMT"/>
          <w:sz w:val="28"/>
        </w:rPr>
        <w:t xml:space="preserve">к Приказу Министра национальной экономики РК от </w:t>
      </w:r>
      <w:r>
        <w:rPr>
          <w:rFonts w:ascii="Times New Roman" w:hAnsi="Times New Roman"/>
          <w:sz w:val="28"/>
        </w:rPr>
        <w:t>20.03.15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года № </w:t>
      </w:r>
      <w:r>
        <w:rPr>
          <w:rFonts w:ascii="Times New Roman" w:hAnsi="Times New Roman"/>
          <w:sz w:val="28"/>
        </w:rPr>
        <w:t>237).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Архитектурно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планировочное решение генерального плана Предприятия по приготовлению кормов имеет целью не только определение взаимного положения всех основных зданий и сооружений предприятия, но и создание единого архитектурного комплекса, отвечающего особенностям производства.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Основным композиционным звеном пред производственной зоны является главный въезд на предприятие, представленный въездом через дезбарьер. Перед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въездом на предприятие предусмотрены площадки для отстоя грузового автотранспорта и для парковки легкового автотранспорта. Площадка располагается севернее подъездной автодороги, которая в зависимости от существующего рельефа запроектирована относительно выше проектируемого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предприятия. Вдоль южного ограждения предприятия проложен водоотводной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арык, с установкой на въездах лотковых звеньев, воспринимающих поступающие ливневые воды по уклону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Вдоль ограждения запроектирован противопожарный проезд.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NewRomanPS-BoldItalicMT">
    <w:charset w:val="cc" w:characterSet="windows-1251"/>
    <w:family w:val="roman"/>
    <w:pitch w:val="variable"/>
  </w:font>
  <w:font w:name="TimesNewRomanPSMT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LibreOffice/7.5.1.2$Windows_X86_64 LibreOffice_project/fcbaee479e84c6cd81291587d2ee68cba099e129</Application>
  <AppVersion>15.0000</AppVersion>
  <Pages>2</Pages>
  <Words>358</Words>
  <Characters>2694</Characters>
  <CharactersWithSpaces>3033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2025-11-19T10:07:18Z</dcterms:created>
  <dc:creator/>
  <dc:description/>
  <dc:language>en-US</dc:language>
  <cp:lastModifiedBy/>
  <dcterms:modified xsi:type="dcterms:W3CDTF">2026-02-09T09:50:05Z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