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618B1" w14:textId="77777777" w:rsidR="002539FC" w:rsidRPr="00273532" w:rsidRDefault="002539FC" w:rsidP="000527E6">
      <w:pPr>
        <w:autoSpaceDE w:val="0"/>
        <w:autoSpaceDN w:val="0"/>
        <w:adjustRightInd w:val="0"/>
        <w:spacing w:after="0" w:line="240" w:lineRule="auto"/>
        <w:ind w:left="-284"/>
        <w:jc w:val="center"/>
        <w:rPr>
          <w:rFonts w:ascii="Times New Roman" w:hAnsi="Times New Roman" w:cs="Times New Roman"/>
          <w:b/>
          <w:sz w:val="24"/>
          <w:szCs w:val="24"/>
        </w:rPr>
      </w:pPr>
      <w:r w:rsidRPr="00273532">
        <w:rPr>
          <w:rFonts w:ascii="Times New Roman" w:hAnsi="Times New Roman" w:cs="Times New Roman"/>
          <w:b/>
          <w:sz w:val="24"/>
          <w:szCs w:val="24"/>
        </w:rPr>
        <w:t>Нетехническое резюме</w:t>
      </w:r>
    </w:p>
    <w:p w14:paraId="5C6E1764" w14:textId="77777777" w:rsidR="002539FC" w:rsidRPr="00273532" w:rsidRDefault="002539FC" w:rsidP="000527E6">
      <w:pPr>
        <w:autoSpaceDE w:val="0"/>
        <w:autoSpaceDN w:val="0"/>
        <w:adjustRightInd w:val="0"/>
        <w:spacing w:after="0" w:line="240" w:lineRule="auto"/>
        <w:ind w:left="-284"/>
        <w:jc w:val="center"/>
        <w:rPr>
          <w:rFonts w:ascii="Times New Roman" w:hAnsi="Times New Roman" w:cs="Times New Roman"/>
          <w:b/>
          <w:sz w:val="24"/>
          <w:szCs w:val="24"/>
        </w:rPr>
      </w:pPr>
    </w:p>
    <w:p w14:paraId="0684300C" w14:textId="77777777" w:rsidR="00226CA8" w:rsidRPr="00273532" w:rsidRDefault="00C00635" w:rsidP="00226CA8">
      <w:pPr>
        <w:pStyle w:val="Default"/>
        <w:jc w:val="both"/>
        <w:rPr>
          <w:i/>
        </w:rPr>
      </w:pPr>
      <w:r w:rsidRPr="00273532">
        <w:t xml:space="preserve"> </w:t>
      </w:r>
      <w:r w:rsidR="00226CA8" w:rsidRPr="00273532">
        <w:rPr>
          <w:i/>
        </w:rPr>
        <w:t>1) описание предполагаемого места осуществления намечаемой деятельности</w:t>
      </w:r>
    </w:p>
    <w:p w14:paraId="096D0AE2" w14:textId="77777777" w:rsidR="00273532" w:rsidRPr="00273532" w:rsidRDefault="00273532" w:rsidP="00273532">
      <w:pPr>
        <w:spacing w:after="0" w:line="240" w:lineRule="auto"/>
        <w:jc w:val="both"/>
        <w:rPr>
          <w:rFonts w:ascii="Times New Roman" w:eastAsia="Times New Roman" w:hAnsi="Times New Roman" w:cs="Times New Roman"/>
          <w:color w:val="FF0000"/>
          <w:sz w:val="24"/>
          <w:szCs w:val="24"/>
        </w:rPr>
      </w:pPr>
      <w:r w:rsidRPr="00273532">
        <w:rPr>
          <w:rFonts w:ascii="Times New Roman" w:eastAsia="Times New Roman" w:hAnsi="Times New Roman" w:cs="Times New Roman"/>
          <w:sz w:val="24"/>
          <w:szCs w:val="24"/>
        </w:rPr>
        <w:t>Производственная площадка ТОО «</w:t>
      </w:r>
      <w:r w:rsidRPr="00273532">
        <w:rPr>
          <w:rFonts w:ascii="Times New Roman" w:eastAsia="Times New Roman" w:hAnsi="Times New Roman" w:cs="Times New Roman"/>
          <w:sz w:val="24"/>
          <w:szCs w:val="24"/>
          <w:lang w:val="en-US"/>
        </w:rPr>
        <w:t>Altyn</w:t>
      </w:r>
      <w:r w:rsidRPr="00273532">
        <w:rPr>
          <w:rFonts w:ascii="Times New Roman" w:eastAsia="Times New Roman" w:hAnsi="Times New Roman" w:cs="Times New Roman"/>
          <w:sz w:val="24"/>
          <w:szCs w:val="24"/>
        </w:rPr>
        <w:t xml:space="preserve"> </w:t>
      </w:r>
      <w:r w:rsidRPr="00273532">
        <w:rPr>
          <w:rFonts w:ascii="Times New Roman" w:eastAsia="Times New Roman" w:hAnsi="Times New Roman" w:cs="Times New Roman"/>
          <w:sz w:val="24"/>
          <w:szCs w:val="24"/>
          <w:lang w:val="en-US"/>
        </w:rPr>
        <w:t>Bricks</w:t>
      </w:r>
      <w:r w:rsidRPr="00273532">
        <w:rPr>
          <w:rFonts w:ascii="Times New Roman" w:eastAsia="Times New Roman" w:hAnsi="Times New Roman" w:cs="Times New Roman"/>
          <w:sz w:val="24"/>
          <w:szCs w:val="24"/>
        </w:rPr>
        <w:t xml:space="preserve"> </w:t>
      </w:r>
      <w:r w:rsidRPr="00273532">
        <w:rPr>
          <w:rFonts w:ascii="Times New Roman" w:eastAsia="Times New Roman" w:hAnsi="Times New Roman" w:cs="Times New Roman"/>
          <w:sz w:val="24"/>
          <w:szCs w:val="24"/>
          <w:lang w:val="en-US"/>
        </w:rPr>
        <w:t>Kyzylorda</w:t>
      </w:r>
      <w:r w:rsidRPr="00273532">
        <w:rPr>
          <w:rFonts w:ascii="Times New Roman" w:eastAsia="Times New Roman" w:hAnsi="Times New Roman" w:cs="Times New Roman"/>
          <w:sz w:val="24"/>
          <w:szCs w:val="24"/>
        </w:rPr>
        <w:t xml:space="preserve">» находится в 32 км к северо-востоку от города Кызылорда по автодороге Кызылорда-Жезказган, офис предприятия располагается по адресу: город Кызылорда, поселок Тасбугет, улица М.Шокай, 18. </w:t>
      </w:r>
    </w:p>
    <w:p w14:paraId="37474470" w14:textId="77777777" w:rsidR="00273532" w:rsidRPr="00273532" w:rsidRDefault="00273532" w:rsidP="00273532">
      <w:pPr>
        <w:spacing w:after="0" w:line="240" w:lineRule="auto"/>
        <w:jc w:val="both"/>
        <w:rPr>
          <w:rFonts w:ascii="Times New Roman" w:eastAsia="Times New Roman" w:hAnsi="Times New Roman" w:cs="Times New Roman"/>
          <w:sz w:val="24"/>
          <w:szCs w:val="24"/>
        </w:rPr>
      </w:pPr>
      <w:r w:rsidRPr="00273532">
        <w:rPr>
          <w:rFonts w:ascii="Times New Roman" w:eastAsia="Times New Roman" w:hAnsi="Times New Roman" w:cs="Times New Roman"/>
          <w:sz w:val="24"/>
          <w:szCs w:val="24"/>
        </w:rPr>
        <w:t>Общая площадь карьера по добыче суглинка составляет 37,076 га.</w:t>
      </w:r>
    </w:p>
    <w:p w14:paraId="44194957" w14:textId="77777777" w:rsidR="00273532" w:rsidRPr="00273532" w:rsidRDefault="00273532" w:rsidP="00273532">
      <w:pPr>
        <w:spacing w:after="0" w:line="240" w:lineRule="auto"/>
        <w:jc w:val="both"/>
        <w:rPr>
          <w:rFonts w:ascii="Times New Roman" w:eastAsia="Times New Roman" w:hAnsi="Times New Roman" w:cs="Times New Roman"/>
          <w:sz w:val="24"/>
          <w:szCs w:val="24"/>
        </w:rPr>
      </w:pPr>
      <w:r w:rsidRPr="00273532">
        <w:rPr>
          <w:rFonts w:ascii="Times New Roman" w:eastAsia="Times New Roman" w:hAnsi="Times New Roman" w:cs="Times New Roman"/>
          <w:sz w:val="24"/>
          <w:szCs w:val="24"/>
        </w:rPr>
        <w:t>Сырье месторождения используется для производства кирпича.</w:t>
      </w:r>
    </w:p>
    <w:p w14:paraId="1BE0B247" w14:textId="77777777" w:rsidR="00226CA8" w:rsidRPr="00273532" w:rsidRDefault="00226CA8" w:rsidP="00226CA8">
      <w:pPr>
        <w:pStyle w:val="Default"/>
        <w:jc w:val="both"/>
        <w:rPr>
          <w:i/>
        </w:rPr>
      </w:pPr>
      <w:r w:rsidRPr="00273532">
        <w:rPr>
          <w:i/>
        </w:rPr>
        <w:t xml:space="preserve">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 </w:t>
      </w:r>
    </w:p>
    <w:p w14:paraId="510D1AE8" w14:textId="77777777" w:rsidR="00273532" w:rsidRPr="00273532" w:rsidRDefault="00273532" w:rsidP="00273532">
      <w:pPr>
        <w:spacing w:before="6" w:after="0" w:line="237" w:lineRule="auto"/>
        <w:jc w:val="both"/>
        <w:rPr>
          <w:rFonts w:ascii="Times New Roman" w:eastAsia="Times New Roman" w:hAnsi="Times New Roman" w:cs="Times New Roman"/>
          <w:bCs/>
          <w:sz w:val="24"/>
          <w:szCs w:val="24"/>
        </w:rPr>
      </w:pPr>
      <w:r w:rsidRPr="00273532">
        <w:rPr>
          <w:rFonts w:ascii="Times New Roman" w:eastAsia="Times New Roman" w:hAnsi="Times New Roman" w:cs="Times New Roman"/>
          <w:bCs/>
          <w:sz w:val="24"/>
          <w:szCs w:val="24"/>
        </w:rPr>
        <w:t xml:space="preserve">Месторождение суглинков «Сазды-32» расположено в Сырдарьинском районе Кызылординской области. </w:t>
      </w:r>
    </w:p>
    <w:p w14:paraId="12152238" w14:textId="3BD6F81D" w:rsidR="00226CA8" w:rsidRPr="00273532" w:rsidRDefault="00226CA8" w:rsidP="00226CA8">
      <w:pPr>
        <w:pStyle w:val="Default"/>
        <w:jc w:val="both"/>
        <w:rPr>
          <w:color w:val="auto"/>
        </w:rPr>
      </w:pPr>
      <w:r w:rsidRPr="00273532">
        <w:rPr>
          <w:color w:val="auto"/>
        </w:rPr>
        <w:t xml:space="preserve">Географические координаты </w:t>
      </w:r>
      <w:r w:rsidR="00831389" w:rsidRPr="00273532">
        <w:rPr>
          <w:color w:val="auto"/>
        </w:rPr>
        <w:t>горного отвода</w:t>
      </w:r>
      <w:r w:rsidRPr="00273532">
        <w:rPr>
          <w:color w:val="auto"/>
        </w:rPr>
        <w:t>:</w:t>
      </w:r>
      <w:r w:rsidR="00273532" w:rsidRPr="00273532">
        <w:rPr>
          <w:rFonts w:eastAsia="TimesNewRoman"/>
          <w:color w:val="auto"/>
        </w:rPr>
        <w:t xml:space="preserve"> 44º56'53" с.ш.</w:t>
      </w:r>
      <w:r w:rsidR="00273532" w:rsidRPr="00273532">
        <w:rPr>
          <w:rFonts w:eastAsia="TimesNewRoman"/>
          <w:color w:val="auto"/>
        </w:rPr>
        <w:tab/>
        <w:t>65º49'47" в.д., 44º56'42"с.ш.65º49'22" в.д., 44º57'00" с.ш.</w:t>
      </w:r>
      <w:r w:rsidR="00273532" w:rsidRPr="00273532">
        <w:rPr>
          <w:rFonts w:eastAsia="TimesNewRoman"/>
          <w:color w:val="auto"/>
        </w:rPr>
        <w:tab/>
        <w:t>65º49'08" в.д., 44º57'08" с.ш.</w:t>
      </w:r>
      <w:r w:rsidR="00273532" w:rsidRPr="00273532">
        <w:rPr>
          <w:rFonts w:eastAsia="TimesNewRoman"/>
          <w:color w:val="auto"/>
        </w:rPr>
        <w:tab/>
        <w:t>65º49'28" в.д., 44º57'05" с.ш.</w:t>
      </w:r>
      <w:r w:rsidR="00273532" w:rsidRPr="00273532">
        <w:rPr>
          <w:rFonts w:eastAsia="TimesNewRoman"/>
          <w:color w:val="auto"/>
        </w:rPr>
        <w:tab/>
        <w:t>65º49'36" в.д.</w:t>
      </w:r>
    </w:p>
    <w:p w14:paraId="0CB2ABD2" w14:textId="77777777" w:rsidR="00273532" w:rsidRPr="00273532" w:rsidRDefault="00273532" w:rsidP="00273532">
      <w:pPr>
        <w:spacing w:after="0" w:line="275" w:lineRule="exact"/>
        <w:jc w:val="both"/>
        <w:rPr>
          <w:rFonts w:ascii="Times New Roman" w:eastAsia="Times New Roman" w:hAnsi="Times New Roman" w:cs="Times New Roman"/>
          <w:sz w:val="24"/>
          <w:szCs w:val="24"/>
        </w:rPr>
      </w:pPr>
      <w:r w:rsidRPr="00273532">
        <w:rPr>
          <w:rFonts w:ascii="Times New Roman" w:eastAsia="Times New Roman" w:hAnsi="Times New Roman" w:cs="Times New Roman"/>
          <w:sz w:val="24"/>
          <w:szCs w:val="24"/>
        </w:rPr>
        <w:t xml:space="preserve">В климатическом отношении   район    месторождения    расположен    в   зоне полупустынь и характеризуется резко континентальным климатом: сухим жарким летом, холодной зимой, коротким весенним периодом, малым количеством осадков и резкими колебаниями суточных и сезонных температур. </w:t>
      </w:r>
    </w:p>
    <w:p w14:paraId="3D766152" w14:textId="77777777" w:rsidR="00273532" w:rsidRPr="00273532" w:rsidRDefault="00273532" w:rsidP="00273532">
      <w:pPr>
        <w:spacing w:before="2" w:after="0" w:line="240" w:lineRule="auto"/>
        <w:jc w:val="both"/>
        <w:rPr>
          <w:rFonts w:ascii="Times New Roman" w:eastAsia="Times New Roman" w:hAnsi="Times New Roman" w:cs="Times New Roman"/>
          <w:sz w:val="24"/>
          <w:szCs w:val="24"/>
        </w:rPr>
      </w:pPr>
      <w:r w:rsidRPr="00273532">
        <w:rPr>
          <w:rFonts w:ascii="Times New Roman" w:eastAsia="Times New Roman" w:hAnsi="Times New Roman" w:cs="Times New Roman"/>
          <w:sz w:val="24"/>
          <w:szCs w:val="24"/>
        </w:rPr>
        <w:t>Подпитка вод происходит за счет атмосферных осадков и р. Сырдарья. Дебит скважин при понижении уровня на 6,1 м составляет 5,6 л/сек. Удельный дебит равен 0,24 л/сек., что указывает на среднюю водообильность пород сенонских отложений. Минерализация вод составляет 1,4 г/л, вода гидрокарбонатно-натриевая.</w:t>
      </w:r>
    </w:p>
    <w:p w14:paraId="01804BF4" w14:textId="77777777" w:rsidR="00273532" w:rsidRPr="00273532" w:rsidRDefault="00273532" w:rsidP="00273532">
      <w:pPr>
        <w:spacing w:before="2" w:after="0" w:line="240" w:lineRule="auto"/>
        <w:jc w:val="both"/>
        <w:rPr>
          <w:rFonts w:ascii="Times New Roman" w:eastAsia="Times New Roman" w:hAnsi="Times New Roman" w:cs="Times New Roman"/>
          <w:sz w:val="24"/>
          <w:szCs w:val="24"/>
        </w:rPr>
      </w:pPr>
      <w:r w:rsidRPr="00273532">
        <w:rPr>
          <w:rFonts w:ascii="Times New Roman" w:eastAsia="Times New Roman" w:hAnsi="Times New Roman" w:cs="Times New Roman"/>
          <w:sz w:val="24"/>
          <w:szCs w:val="24"/>
        </w:rPr>
        <w:t>Среднегодовое количество осадков составляет 110 мм, из них большая часть выпадает в период с ноября по март.</w:t>
      </w:r>
    </w:p>
    <w:p w14:paraId="31EE75DB" w14:textId="77777777" w:rsidR="00273532" w:rsidRPr="00273532" w:rsidRDefault="00273532" w:rsidP="00273532">
      <w:pPr>
        <w:spacing w:before="2" w:after="0" w:line="240" w:lineRule="auto"/>
        <w:jc w:val="both"/>
        <w:rPr>
          <w:rFonts w:ascii="Times New Roman" w:eastAsia="Times New Roman" w:hAnsi="Times New Roman" w:cs="Times New Roman"/>
          <w:sz w:val="24"/>
          <w:szCs w:val="24"/>
        </w:rPr>
      </w:pPr>
      <w:r w:rsidRPr="00273532">
        <w:rPr>
          <w:rFonts w:ascii="Times New Roman" w:eastAsia="Times New Roman" w:hAnsi="Times New Roman" w:cs="Times New Roman"/>
          <w:sz w:val="24"/>
          <w:szCs w:val="24"/>
        </w:rPr>
        <w:t>Питьевая</w:t>
      </w:r>
      <w:r w:rsidRPr="00273532">
        <w:rPr>
          <w:rFonts w:ascii="Times New Roman" w:eastAsia="Times New Roman" w:hAnsi="Times New Roman" w:cs="Times New Roman"/>
          <w:spacing w:val="-1"/>
          <w:sz w:val="24"/>
          <w:szCs w:val="24"/>
        </w:rPr>
        <w:t xml:space="preserve"> </w:t>
      </w:r>
      <w:r w:rsidRPr="00273532">
        <w:rPr>
          <w:rFonts w:ascii="Times New Roman" w:eastAsia="Times New Roman" w:hAnsi="Times New Roman" w:cs="Times New Roman"/>
          <w:sz w:val="24"/>
          <w:szCs w:val="24"/>
        </w:rPr>
        <w:t xml:space="preserve">вода </w:t>
      </w:r>
      <w:r w:rsidRPr="00273532">
        <w:rPr>
          <w:rFonts w:ascii="Times New Roman" w:eastAsia="Times New Roman" w:hAnsi="Times New Roman" w:cs="Times New Roman"/>
          <w:spacing w:val="-2"/>
          <w:sz w:val="24"/>
          <w:szCs w:val="24"/>
        </w:rPr>
        <w:t>бутылированная.</w:t>
      </w:r>
    </w:p>
    <w:p w14:paraId="242C1E77" w14:textId="77777777" w:rsidR="00273532" w:rsidRPr="00273532" w:rsidRDefault="00273532" w:rsidP="00273532">
      <w:pPr>
        <w:spacing w:before="2" w:after="0" w:line="240" w:lineRule="auto"/>
        <w:jc w:val="both"/>
        <w:rPr>
          <w:rFonts w:ascii="Times New Roman" w:eastAsia="Times New Roman" w:hAnsi="Times New Roman" w:cs="Times New Roman"/>
          <w:sz w:val="24"/>
          <w:szCs w:val="24"/>
        </w:rPr>
      </w:pPr>
      <w:r w:rsidRPr="00273532">
        <w:rPr>
          <w:rFonts w:ascii="Times New Roman" w:eastAsia="Times New Roman" w:hAnsi="Times New Roman" w:cs="Times New Roman"/>
          <w:sz w:val="24"/>
          <w:szCs w:val="24"/>
        </w:rPr>
        <w:t>На участке и вокруг него иммется сеть грунтовых дорог, пригодных для передвижения автотранспорта в сухое время года.</w:t>
      </w:r>
    </w:p>
    <w:p w14:paraId="4B997A48" w14:textId="77777777" w:rsidR="00273532" w:rsidRPr="00273532" w:rsidRDefault="00273532" w:rsidP="00273532">
      <w:pPr>
        <w:spacing w:before="2" w:after="0" w:line="240" w:lineRule="auto"/>
        <w:jc w:val="both"/>
        <w:rPr>
          <w:rFonts w:ascii="Times New Roman" w:eastAsia="Times New Roman" w:hAnsi="Times New Roman" w:cs="Times New Roman"/>
          <w:sz w:val="24"/>
          <w:szCs w:val="24"/>
        </w:rPr>
      </w:pPr>
      <w:r w:rsidRPr="00273532">
        <w:rPr>
          <w:rFonts w:ascii="Times New Roman" w:eastAsia="Times New Roman" w:hAnsi="Times New Roman" w:cs="Times New Roman"/>
          <w:sz w:val="24"/>
          <w:szCs w:val="24"/>
        </w:rPr>
        <w:t xml:space="preserve">Таким образом, гидрогеологические условия месторождения благоприятны для отработки его обычным способом, применяющимся для разработки месторождений подобного типа. </w:t>
      </w:r>
    </w:p>
    <w:p w14:paraId="59F50372" w14:textId="77777777" w:rsidR="00273532" w:rsidRPr="00273532" w:rsidRDefault="00273532" w:rsidP="00273532">
      <w:pPr>
        <w:spacing w:before="3" w:after="0" w:line="237" w:lineRule="auto"/>
        <w:jc w:val="both"/>
        <w:rPr>
          <w:rFonts w:ascii="Times New Roman" w:eastAsia="Times New Roman" w:hAnsi="Times New Roman" w:cs="Times New Roman"/>
          <w:sz w:val="24"/>
          <w:szCs w:val="24"/>
        </w:rPr>
      </w:pPr>
      <w:r w:rsidRPr="00273532">
        <w:rPr>
          <w:rFonts w:ascii="Times New Roman" w:eastAsia="Times New Roman" w:hAnsi="Times New Roman" w:cs="Times New Roman"/>
          <w:sz w:val="24"/>
          <w:szCs w:val="24"/>
        </w:rPr>
        <w:t>Растительный мир скуден и представлен типичными представителями трав пустынной зоны – тамариск, саксаул, жынгыл.</w:t>
      </w:r>
    </w:p>
    <w:p w14:paraId="27920222" w14:textId="77777777" w:rsidR="00273532" w:rsidRPr="00273532" w:rsidRDefault="00273532" w:rsidP="00273532">
      <w:pPr>
        <w:spacing w:before="3" w:after="0" w:line="237" w:lineRule="auto"/>
        <w:jc w:val="both"/>
        <w:rPr>
          <w:rFonts w:ascii="Times New Roman" w:eastAsia="Times New Roman" w:hAnsi="Times New Roman" w:cs="Times New Roman"/>
          <w:sz w:val="24"/>
          <w:szCs w:val="24"/>
        </w:rPr>
      </w:pPr>
      <w:r w:rsidRPr="00273532">
        <w:rPr>
          <w:rFonts w:ascii="Times New Roman" w:eastAsia="Times New Roman" w:hAnsi="Times New Roman" w:cs="Times New Roman"/>
          <w:sz w:val="24"/>
          <w:szCs w:val="24"/>
        </w:rPr>
        <w:t>Животный мир, ввиду того, что участок находится рядом с населенными пукнтами и транспортными коммуникациями, очень малочислен и представлен в основном мелкими грызунами.</w:t>
      </w:r>
    </w:p>
    <w:p w14:paraId="2768A466" w14:textId="77777777" w:rsidR="00273532" w:rsidRPr="00273532" w:rsidRDefault="00273532" w:rsidP="00273532">
      <w:pPr>
        <w:spacing w:before="5" w:after="0" w:line="237" w:lineRule="auto"/>
        <w:jc w:val="both"/>
        <w:rPr>
          <w:rFonts w:ascii="Times New Roman" w:eastAsia="Times New Roman" w:hAnsi="Times New Roman" w:cs="Times New Roman"/>
          <w:sz w:val="24"/>
          <w:szCs w:val="24"/>
        </w:rPr>
      </w:pPr>
      <w:r w:rsidRPr="00273532">
        <w:rPr>
          <w:rFonts w:ascii="Times New Roman" w:eastAsia="Times New Roman" w:hAnsi="Times New Roman" w:cs="Times New Roman"/>
          <w:sz w:val="24"/>
          <w:szCs w:val="24"/>
        </w:rPr>
        <w:t>В сейсмическом отношении район достаточно спокойный.</w:t>
      </w:r>
    </w:p>
    <w:p w14:paraId="7477B2EB" w14:textId="77777777" w:rsidR="00273532" w:rsidRPr="00273532" w:rsidRDefault="00273532" w:rsidP="00273532">
      <w:pPr>
        <w:spacing w:before="6" w:after="0" w:line="237" w:lineRule="auto"/>
        <w:jc w:val="both"/>
        <w:rPr>
          <w:rFonts w:ascii="Times New Roman" w:eastAsia="Times New Roman" w:hAnsi="Times New Roman" w:cs="Times New Roman"/>
          <w:sz w:val="24"/>
          <w:szCs w:val="24"/>
        </w:rPr>
      </w:pPr>
      <w:r w:rsidRPr="00273532">
        <w:rPr>
          <w:rFonts w:ascii="Times New Roman" w:eastAsia="Times New Roman" w:hAnsi="Times New Roman" w:cs="Times New Roman"/>
          <w:sz w:val="24"/>
          <w:szCs w:val="24"/>
        </w:rPr>
        <w:t xml:space="preserve">Электроэнергией район обеспечен, ЛЭП также проходит вблизи площади участка. Топлива и строительного леса в районе нет, они завозятся из других регионов. </w:t>
      </w:r>
    </w:p>
    <w:p w14:paraId="2F17E7B8" w14:textId="77777777" w:rsidR="00273532" w:rsidRPr="00273532" w:rsidRDefault="00273532" w:rsidP="00273532">
      <w:pPr>
        <w:spacing w:before="6" w:after="0" w:line="237" w:lineRule="auto"/>
        <w:jc w:val="both"/>
        <w:rPr>
          <w:rFonts w:ascii="Times New Roman" w:eastAsia="Times New Roman" w:hAnsi="Times New Roman" w:cs="Times New Roman"/>
          <w:iCs/>
          <w:sz w:val="24"/>
          <w:szCs w:val="20"/>
        </w:rPr>
      </w:pPr>
      <w:r w:rsidRPr="00273532">
        <w:rPr>
          <w:rFonts w:ascii="Times New Roman" w:eastAsia="Times New Roman" w:hAnsi="Times New Roman" w:cs="Times New Roman"/>
          <w:iCs/>
          <w:sz w:val="24"/>
          <w:szCs w:val="20"/>
        </w:rPr>
        <w:t>Основными транспортными магистралями в районе являются Казахстанская железная дорога, автомагистраль Шымкент-Самара и Кызылорда-Жезказган. Все поселки на территории района соединены между собой асфальтироваными дорогами.</w:t>
      </w:r>
    </w:p>
    <w:p w14:paraId="5C43AE2B" w14:textId="353A734A" w:rsidR="00226CA8" w:rsidRPr="00273532" w:rsidRDefault="00226CA8" w:rsidP="00226CA8">
      <w:pPr>
        <w:pStyle w:val="Default"/>
        <w:jc w:val="both"/>
      </w:pPr>
      <w:r w:rsidRPr="00273532">
        <w:rPr>
          <w:i/>
          <w:iCs/>
        </w:rPr>
        <w:t xml:space="preserve">В атмосферу при проведении данных видов работ </w:t>
      </w:r>
      <w:r w:rsidRPr="00273532">
        <w:t>будут выделяться: азота (</w:t>
      </w:r>
      <w:r w:rsidRPr="00273532">
        <w:rPr>
          <w:lang w:val="en-US"/>
        </w:rPr>
        <w:t>IV</w:t>
      </w:r>
      <w:r w:rsidRPr="00273532">
        <w:t>) диоксид, углерод оксид, пыль неоргани</w:t>
      </w:r>
      <w:r w:rsidR="00621DAA" w:rsidRPr="00273532">
        <w:t>ческая, содержащая 70-20% двуок</w:t>
      </w:r>
      <w:r w:rsidRPr="00273532">
        <w:t>иси кремния</w:t>
      </w:r>
      <w:r w:rsidR="00273532">
        <w:rPr>
          <w:lang w:val="kk-KZ"/>
        </w:rPr>
        <w:t>, оксиды железо, марганец и его соединения, углерод, сера диоксид, сероводород, фтористые газообразные соединения, фториды неорганическое плохо растворимые, проп-2-ен-1-аль, формальдегид, алканы С12-С19</w:t>
      </w:r>
      <w:r w:rsidRPr="00273532">
        <w:t xml:space="preserve">. При эксплуатации автотранспорта (передвижных источников) в атмосферный воздух выделяются следующие загрязняющие вещества: углерод оксид, азота диоксид, углеводороды, сера диоксид, углерод (сажа), бенз/а/пирен. Выбросы от передвижных источников загрязнения атмосферного воздуха не </w:t>
      </w:r>
      <w:r w:rsidRPr="00273532">
        <w:lastRenderedPageBreak/>
        <w:t xml:space="preserve">нормируются, а платежи за природопользование от автотранспорта осуществляются по факту сожженного топлива. </w:t>
      </w:r>
    </w:p>
    <w:p w14:paraId="2B7DA055" w14:textId="77777777" w:rsidR="00226CA8" w:rsidRPr="00273532" w:rsidRDefault="00226CA8" w:rsidP="00226CA8">
      <w:pPr>
        <w:pStyle w:val="Default"/>
        <w:jc w:val="both"/>
      </w:pPr>
      <w:r w:rsidRPr="00273532">
        <w:t xml:space="preserve">По масштабам распространения загрязнения атмосферного воздуха выбросы в период проведения планируемых работ относится к локальному типу загрязнения. Интенсивность воздействия на атмосферный воздух находится в пределах допустимых норм, изменения природной среды не выходят за существующие пределы естественной природной изменчивости. </w:t>
      </w:r>
    </w:p>
    <w:p w14:paraId="0D7CA843" w14:textId="77777777" w:rsidR="00226CA8" w:rsidRPr="00273532" w:rsidRDefault="00226CA8" w:rsidP="00226CA8">
      <w:pPr>
        <w:pStyle w:val="Default"/>
        <w:jc w:val="both"/>
      </w:pPr>
      <w:r w:rsidRPr="00273532">
        <w:t xml:space="preserve">Проектируемый объект не предполагает забор воды из поверхностных водных источников и сбросов непосредственно в поверхностные и подземные водные объекты, поэтому прямого воздействия на водные ресурсы не оказывает. Также намечаемая деятельность не предполагает загрязнение токсичными компонентами подземных вод. </w:t>
      </w:r>
    </w:p>
    <w:p w14:paraId="024FBB7B" w14:textId="77777777" w:rsidR="00226CA8" w:rsidRPr="00273532" w:rsidRDefault="00226CA8" w:rsidP="00226CA8">
      <w:pPr>
        <w:pStyle w:val="Default"/>
        <w:jc w:val="both"/>
      </w:pPr>
      <w:r w:rsidRPr="00273532">
        <w:t>Предполагаемые к образованию в результате планируемой деятельности отходы (твердо-бытовые отходы) будут накапливаться в специально отведенных местах и по мере накопления будут передаваться для дальнейшей утилизации, переработки или захоронения сторонним организациям (коммунальные службы, специализированные предприятия по переработке вторичного сырья и т.п.)</w:t>
      </w:r>
      <w:r w:rsidR="006E1C32" w:rsidRPr="00273532">
        <w:t>,</w:t>
      </w:r>
      <w:r w:rsidRPr="00273532">
        <w:t xml:space="preserve"> согласно договора. </w:t>
      </w:r>
    </w:p>
    <w:p w14:paraId="47D80672" w14:textId="77777777" w:rsidR="00226CA8" w:rsidRPr="00273532" w:rsidRDefault="00226CA8" w:rsidP="00226CA8">
      <w:pPr>
        <w:pStyle w:val="Default"/>
        <w:jc w:val="both"/>
        <w:rPr>
          <w:i/>
        </w:rPr>
      </w:pPr>
      <w:r w:rsidRPr="00273532">
        <w:rPr>
          <w:i/>
        </w:rPr>
        <w:t xml:space="preserve">3) наименование инициатора намечаемой деятельности, его контактные данные: </w:t>
      </w:r>
    </w:p>
    <w:p w14:paraId="457C1610" w14:textId="0FB8EFDC" w:rsidR="00226CA8" w:rsidRPr="00273532" w:rsidRDefault="00226CA8" w:rsidP="00226CA8">
      <w:pPr>
        <w:pStyle w:val="Default"/>
        <w:jc w:val="both"/>
      </w:pPr>
      <w:r w:rsidRPr="00273532">
        <w:t>Инициатором намечаемой деятельности является: ТОО «</w:t>
      </w:r>
      <w:r w:rsidR="00273532" w:rsidRPr="00273532">
        <w:rPr>
          <w:rFonts w:eastAsia="Calibri"/>
          <w:color w:val="auto"/>
          <w:lang w:val="kk-KZ" w:eastAsia="en-US"/>
        </w:rPr>
        <w:t>Altyn Bricks Kyzylorda</w:t>
      </w:r>
      <w:r w:rsidRPr="00273532">
        <w:t xml:space="preserve">». </w:t>
      </w:r>
    </w:p>
    <w:p w14:paraId="44673BB4" w14:textId="77777777" w:rsidR="00226CA8" w:rsidRPr="00273532" w:rsidRDefault="00226CA8" w:rsidP="00226CA8">
      <w:pPr>
        <w:pStyle w:val="Default"/>
        <w:jc w:val="both"/>
      </w:pPr>
      <w:r w:rsidRPr="00273532">
        <w:t xml:space="preserve">Контактные данные: </w:t>
      </w:r>
      <w:r w:rsidR="00621DAA" w:rsidRPr="00273532">
        <w:t>120001</w:t>
      </w:r>
      <w:r w:rsidRPr="00273532">
        <w:t>,</w:t>
      </w:r>
      <w:r w:rsidR="00621DAA" w:rsidRPr="00273532">
        <w:t xml:space="preserve"> Республика Казахстан, г.Кызылорда</w:t>
      </w:r>
      <w:r w:rsidRPr="00273532">
        <w:t xml:space="preserve">, </w:t>
      </w:r>
      <w:r w:rsidR="00621DAA" w:rsidRPr="00273532">
        <w:t xml:space="preserve">пос. Тасбугет, </w:t>
      </w:r>
      <w:r w:rsidR="00621DAA" w:rsidRPr="00273532">
        <w:rPr>
          <w:rFonts w:eastAsia="Calibri"/>
        </w:rPr>
        <w:t>ул.</w:t>
      </w:r>
      <w:r w:rsidR="00621DAA" w:rsidRPr="00273532">
        <w:rPr>
          <w:rFonts w:eastAsia="Calibri"/>
          <w:lang w:val="kk-KZ"/>
        </w:rPr>
        <w:t>М.Шокай</w:t>
      </w:r>
      <w:r w:rsidR="00621DAA" w:rsidRPr="00273532">
        <w:rPr>
          <w:rFonts w:eastAsia="Calibri"/>
        </w:rPr>
        <w:t xml:space="preserve">, 18,  тел. +7(771)3402286, </w:t>
      </w:r>
      <w:r w:rsidR="00621DAA" w:rsidRPr="00273532">
        <w:t xml:space="preserve">e-mail: </w:t>
      </w:r>
      <w:r w:rsidR="00621DAA" w:rsidRPr="00273532">
        <w:rPr>
          <w:rFonts w:eastAsia="Calibri"/>
        </w:rPr>
        <w:t>akmaral.</w:t>
      </w:r>
      <w:r w:rsidR="00621DAA" w:rsidRPr="00273532">
        <w:rPr>
          <w:rFonts w:eastAsia="Calibri"/>
          <w:lang w:val="en-US"/>
        </w:rPr>
        <w:t>eco</w:t>
      </w:r>
      <w:r w:rsidR="00621DAA" w:rsidRPr="00273532">
        <w:rPr>
          <w:rFonts w:eastAsia="Calibri"/>
        </w:rPr>
        <w:t>@m</w:t>
      </w:r>
      <w:r w:rsidR="00621DAA" w:rsidRPr="00273532">
        <w:rPr>
          <w:rFonts w:eastAsia="Calibri"/>
          <w:lang w:val="en-US"/>
        </w:rPr>
        <w:t>ai</w:t>
      </w:r>
      <w:r w:rsidR="00621DAA" w:rsidRPr="00273532">
        <w:rPr>
          <w:rFonts w:eastAsia="Calibri"/>
        </w:rPr>
        <w:t>.ru</w:t>
      </w:r>
      <w:r w:rsidRPr="00273532">
        <w:t xml:space="preserve">. </w:t>
      </w:r>
    </w:p>
    <w:p w14:paraId="476A44B4" w14:textId="77777777" w:rsidR="00226CA8" w:rsidRPr="00273532" w:rsidRDefault="00226CA8" w:rsidP="00226CA8">
      <w:pPr>
        <w:pStyle w:val="Default"/>
        <w:jc w:val="both"/>
        <w:rPr>
          <w:i/>
        </w:rPr>
      </w:pPr>
      <w:r w:rsidRPr="00273532">
        <w:rPr>
          <w:i/>
        </w:rPr>
        <w:t xml:space="preserve">4) краткое описание намечаемой деятельности: </w:t>
      </w:r>
    </w:p>
    <w:p w14:paraId="52DA7ED6" w14:textId="77777777" w:rsidR="00226CA8" w:rsidRPr="00273532" w:rsidRDefault="00226CA8" w:rsidP="00226CA8">
      <w:pPr>
        <w:pStyle w:val="Default"/>
        <w:jc w:val="both"/>
      </w:pPr>
      <w:r w:rsidRPr="00273532">
        <w:t xml:space="preserve">Отработка месторождения будет вестись открытым способом разработки. </w:t>
      </w:r>
    </w:p>
    <w:p w14:paraId="0675F573" w14:textId="77777777" w:rsidR="006C24F4" w:rsidRPr="00273532" w:rsidRDefault="006C24F4" w:rsidP="006C24F4">
      <w:pPr>
        <w:pStyle w:val="2"/>
        <w:spacing w:line="272" w:lineRule="exact"/>
        <w:ind w:left="220"/>
        <w:jc w:val="center"/>
        <w:rPr>
          <w:rFonts w:ascii="Times New Roman" w:hAnsi="Times New Roman"/>
          <w:color w:val="000000" w:themeColor="text1"/>
          <w:sz w:val="24"/>
          <w:szCs w:val="24"/>
        </w:rPr>
      </w:pPr>
      <w:r w:rsidRPr="00273532">
        <w:rPr>
          <w:rFonts w:ascii="Times New Roman" w:hAnsi="Times New Roman"/>
          <w:color w:val="000000" w:themeColor="text1"/>
          <w:sz w:val="24"/>
          <w:szCs w:val="24"/>
        </w:rPr>
        <w:t>Календарный</w:t>
      </w:r>
      <w:r w:rsidRPr="00273532">
        <w:rPr>
          <w:rFonts w:ascii="Times New Roman" w:hAnsi="Times New Roman"/>
          <w:color w:val="000000" w:themeColor="text1"/>
          <w:spacing w:val="-2"/>
          <w:sz w:val="24"/>
          <w:szCs w:val="24"/>
        </w:rPr>
        <w:t xml:space="preserve"> </w:t>
      </w:r>
      <w:r w:rsidRPr="00273532">
        <w:rPr>
          <w:rFonts w:ascii="Times New Roman" w:hAnsi="Times New Roman"/>
          <w:color w:val="000000" w:themeColor="text1"/>
          <w:sz w:val="24"/>
          <w:szCs w:val="24"/>
        </w:rPr>
        <w:t>план</w:t>
      </w:r>
      <w:r w:rsidRPr="00273532">
        <w:rPr>
          <w:rFonts w:ascii="Times New Roman" w:hAnsi="Times New Roman"/>
          <w:color w:val="000000" w:themeColor="text1"/>
          <w:spacing w:val="-5"/>
          <w:sz w:val="24"/>
          <w:szCs w:val="24"/>
        </w:rPr>
        <w:t xml:space="preserve"> </w:t>
      </w:r>
      <w:r w:rsidRPr="00273532">
        <w:rPr>
          <w:rFonts w:ascii="Times New Roman" w:hAnsi="Times New Roman"/>
          <w:color w:val="000000" w:themeColor="text1"/>
          <w:sz w:val="24"/>
          <w:szCs w:val="24"/>
        </w:rPr>
        <w:t>горных</w:t>
      </w:r>
      <w:r w:rsidRPr="00273532">
        <w:rPr>
          <w:rFonts w:ascii="Times New Roman" w:hAnsi="Times New Roman"/>
          <w:color w:val="000000" w:themeColor="text1"/>
          <w:spacing w:val="-6"/>
          <w:sz w:val="24"/>
          <w:szCs w:val="24"/>
        </w:rPr>
        <w:t xml:space="preserve"> </w:t>
      </w:r>
      <w:r w:rsidRPr="00273532">
        <w:rPr>
          <w:rFonts w:ascii="Times New Roman" w:hAnsi="Times New Roman"/>
          <w:color w:val="000000" w:themeColor="text1"/>
          <w:spacing w:val="-2"/>
          <w:sz w:val="24"/>
          <w:szCs w:val="24"/>
        </w:rPr>
        <w:t>работ</w:t>
      </w:r>
    </w:p>
    <w:p w14:paraId="269B1253" w14:textId="77777777" w:rsidR="00273532" w:rsidRPr="00273532" w:rsidRDefault="00273532" w:rsidP="00273532">
      <w:pPr>
        <w:keepNext/>
        <w:suppressAutoHyphens/>
        <w:spacing w:after="0" w:line="272" w:lineRule="exact"/>
        <w:ind w:left="220"/>
        <w:jc w:val="center"/>
        <w:outlineLvl w:val="1"/>
        <w:rPr>
          <w:rFonts w:ascii="Times New Roman" w:eastAsia="Times New Roman" w:hAnsi="Times New Roman" w:cs="Times New Roman"/>
          <w:b/>
          <w:color w:val="000000"/>
          <w:sz w:val="24"/>
          <w:szCs w:val="24"/>
        </w:rPr>
      </w:pPr>
      <w:r w:rsidRPr="00273532">
        <w:rPr>
          <w:rFonts w:ascii="Times New Roman" w:eastAsia="Times New Roman" w:hAnsi="Times New Roman" w:cs="Times New Roman"/>
          <w:b/>
          <w:color w:val="000000"/>
          <w:sz w:val="24"/>
          <w:szCs w:val="24"/>
        </w:rPr>
        <w:t>Календарный</w:t>
      </w:r>
      <w:r w:rsidRPr="00273532">
        <w:rPr>
          <w:rFonts w:ascii="Times New Roman" w:eastAsia="Times New Roman" w:hAnsi="Times New Roman" w:cs="Times New Roman"/>
          <w:b/>
          <w:color w:val="000000"/>
          <w:spacing w:val="-2"/>
          <w:sz w:val="24"/>
          <w:szCs w:val="24"/>
        </w:rPr>
        <w:t xml:space="preserve"> </w:t>
      </w:r>
      <w:r w:rsidRPr="00273532">
        <w:rPr>
          <w:rFonts w:ascii="Times New Roman" w:eastAsia="Times New Roman" w:hAnsi="Times New Roman" w:cs="Times New Roman"/>
          <w:b/>
          <w:color w:val="000000"/>
          <w:sz w:val="24"/>
          <w:szCs w:val="24"/>
        </w:rPr>
        <w:t>план</w:t>
      </w:r>
      <w:r w:rsidRPr="00273532">
        <w:rPr>
          <w:rFonts w:ascii="Times New Roman" w:eastAsia="Times New Roman" w:hAnsi="Times New Roman" w:cs="Times New Roman"/>
          <w:b/>
          <w:color w:val="000000"/>
          <w:spacing w:val="-5"/>
          <w:sz w:val="24"/>
          <w:szCs w:val="24"/>
        </w:rPr>
        <w:t xml:space="preserve"> </w:t>
      </w:r>
      <w:r w:rsidRPr="00273532">
        <w:rPr>
          <w:rFonts w:ascii="Times New Roman" w:eastAsia="Times New Roman" w:hAnsi="Times New Roman" w:cs="Times New Roman"/>
          <w:b/>
          <w:color w:val="000000"/>
          <w:sz w:val="24"/>
          <w:szCs w:val="24"/>
        </w:rPr>
        <w:t>горных</w:t>
      </w:r>
      <w:r w:rsidRPr="00273532">
        <w:rPr>
          <w:rFonts w:ascii="Times New Roman" w:eastAsia="Times New Roman" w:hAnsi="Times New Roman" w:cs="Times New Roman"/>
          <w:b/>
          <w:color w:val="000000"/>
          <w:spacing w:val="-6"/>
          <w:sz w:val="24"/>
          <w:szCs w:val="24"/>
        </w:rPr>
        <w:t xml:space="preserve"> </w:t>
      </w:r>
      <w:r w:rsidRPr="00273532">
        <w:rPr>
          <w:rFonts w:ascii="Times New Roman" w:eastAsia="Times New Roman" w:hAnsi="Times New Roman" w:cs="Times New Roman"/>
          <w:b/>
          <w:color w:val="000000"/>
          <w:spacing w:val="-2"/>
          <w:sz w:val="24"/>
          <w:szCs w:val="24"/>
        </w:rPr>
        <w:t>работ</w:t>
      </w:r>
    </w:p>
    <w:tbl>
      <w:tblPr>
        <w:tblStyle w:val="TableNormal1"/>
        <w:tblW w:w="9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8"/>
        <w:gridCol w:w="2801"/>
        <w:gridCol w:w="2446"/>
        <w:gridCol w:w="2680"/>
      </w:tblGrid>
      <w:tr w:rsidR="00273532" w:rsidRPr="00273532" w14:paraId="70642D6B" w14:textId="77777777" w:rsidTr="00273532">
        <w:trPr>
          <w:trHeight w:val="279"/>
          <w:jc w:val="center"/>
        </w:trPr>
        <w:tc>
          <w:tcPr>
            <w:tcW w:w="1578" w:type="dxa"/>
            <w:vMerge w:val="restart"/>
          </w:tcPr>
          <w:p w14:paraId="261AAFBA" w14:textId="77777777" w:rsidR="00273532" w:rsidRPr="00273532" w:rsidRDefault="00273532" w:rsidP="00273532">
            <w:pPr>
              <w:ind w:left="105" w:right="90"/>
              <w:jc w:val="center"/>
              <w:rPr>
                <w:rFonts w:ascii="Times New Roman" w:hAnsi="Times New Roman"/>
                <w:b/>
                <w:color w:val="000000"/>
                <w:lang w:bidi="ru-RU"/>
              </w:rPr>
            </w:pPr>
            <w:r w:rsidRPr="00273532">
              <w:rPr>
                <w:rFonts w:ascii="Times New Roman" w:hAnsi="Times New Roman"/>
                <w:b/>
                <w:color w:val="000000"/>
                <w:spacing w:val="-2"/>
                <w:lang w:bidi="ru-RU"/>
              </w:rPr>
              <w:t>Год отработки</w:t>
            </w:r>
          </w:p>
        </w:tc>
        <w:tc>
          <w:tcPr>
            <w:tcW w:w="2801" w:type="dxa"/>
            <w:vMerge w:val="restart"/>
          </w:tcPr>
          <w:p w14:paraId="68D44789" w14:textId="77777777" w:rsidR="00273532" w:rsidRPr="00273532" w:rsidRDefault="00273532" w:rsidP="00273532">
            <w:pPr>
              <w:ind w:left="105" w:right="200"/>
              <w:jc w:val="center"/>
              <w:rPr>
                <w:rFonts w:ascii="Times New Roman" w:hAnsi="Times New Roman"/>
                <w:b/>
                <w:color w:val="000000"/>
                <w:lang w:bidi="ru-RU"/>
              </w:rPr>
            </w:pPr>
            <w:r w:rsidRPr="00273532">
              <w:rPr>
                <w:rFonts w:ascii="Times New Roman" w:hAnsi="Times New Roman"/>
                <w:b/>
                <w:color w:val="000000"/>
                <w:lang w:bidi="ru-RU"/>
              </w:rPr>
              <w:t>Горная</w:t>
            </w:r>
            <w:r w:rsidRPr="00273532">
              <w:rPr>
                <w:rFonts w:ascii="Times New Roman" w:hAnsi="Times New Roman"/>
                <w:b/>
                <w:color w:val="000000"/>
                <w:spacing w:val="-13"/>
                <w:lang w:bidi="ru-RU"/>
              </w:rPr>
              <w:t xml:space="preserve"> </w:t>
            </w:r>
            <w:r w:rsidRPr="00273532">
              <w:rPr>
                <w:rFonts w:ascii="Times New Roman" w:hAnsi="Times New Roman"/>
                <w:b/>
                <w:color w:val="000000"/>
                <w:lang w:bidi="ru-RU"/>
              </w:rPr>
              <w:t>масса, тыс. м</w:t>
            </w:r>
            <w:r w:rsidRPr="00273532">
              <w:rPr>
                <w:rFonts w:ascii="Times New Roman" w:hAnsi="Times New Roman"/>
                <w:b/>
                <w:color w:val="000000"/>
                <w:vertAlign w:val="superscript"/>
                <w:lang w:bidi="ru-RU"/>
              </w:rPr>
              <w:t>3</w:t>
            </w:r>
          </w:p>
        </w:tc>
        <w:tc>
          <w:tcPr>
            <w:tcW w:w="5126" w:type="dxa"/>
            <w:gridSpan w:val="2"/>
          </w:tcPr>
          <w:p w14:paraId="32C95239" w14:textId="77777777" w:rsidR="00273532" w:rsidRPr="00273532" w:rsidRDefault="00273532" w:rsidP="00273532">
            <w:pPr>
              <w:spacing w:line="225" w:lineRule="exact"/>
              <w:ind w:left="105"/>
              <w:jc w:val="center"/>
              <w:rPr>
                <w:rFonts w:ascii="Times New Roman" w:hAnsi="Times New Roman"/>
                <w:b/>
                <w:color w:val="000000"/>
                <w:lang w:bidi="ru-RU"/>
              </w:rPr>
            </w:pPr>
            <w:r w:rsidRPr="00273532">
              <w:rPr>
                <w:rFonts w:ascii="Times New Roman" w:hAnsi="Times New Roman"/>
                <w:b/>
                <w:color w:val="000000"/>
                <w:lang w:bidi="ru-RU"/>
              </w:rPr>
              <w:t>В</w:t>
            </w:r>
            <w:r w:rsidRPr="00273532">
              <w:rPr>
                <w:rFonts w:ascii="Times New Roman" w:hAnsi="Times New Roman"/>
                <w:b/>
                <w:color w:val="000000"/>
                <w:spacing w:val="-5"/>
                <w:lang w:bidi="ru-RU"/>
              </w:rPr>
              <w:t xml:space="preserve"> </w:t>
            </w:r>
            <w:r w:rsidRPr="00273532">
              <w:rPr>
                <w:rFonts w:ascii="Times New Roman" w:hAnsi="Times New Roman"/>
                <w:b/>
                <w:color w:val="000000"/>
                <w:lang w:bidi="ru-RU"/>
              </w:rPr>
              <w:t xml:space="preserve">том </w:t>
            </w:r>
            <w:r w:rsidRPr="00273532">
              <w:rPr>
                <w:rFonts w:ascii="Times New Roman" w:hAnsi="Times New Roman"/>
                <w:b/>
                <w:color w:val="000000"/>
                <w:spacing w:val="-2"/>
                <w:lang w:bidi="ru-RU"/>
              </w:rPr>
              <w:t>числе</w:t>
            </w:r>
          </w:p>
        </w:tc>
      </w:tr>
      <w:tr w:rsidR="00273532" w:rsidRPr="00273532" w14:paraId="1A92E8F9" w14:textId="77777777" w:rsidTr="00273532">
        <w:trPr>
          <w:trHeight w:val="495"/>
          <w:jc w:val="center"/>
        </w:trPr>
        <w:tc>
          <w:tcPr>
            <w:tcW w:w="1578" w:type="dxa"/>
            <w:vMerge/>
            <w:tcBorders>
              <w:top w:val="nil"/>
            </w:tcBorders>
          </w:tcPr>
          <w:p w14:paraId="4E2F6478" w14:textId="77777777" w:rsidR="00273532" w:rsidRPr="00273532" w:rsidRDefault="00273532" w:rsidP="00273532">
            <w:pPr>
              <w:jc w:val="center"/>
              <w:rPr>
                <w:rFonts w:ascii="Times New Roman" w:hAnsi="Times New Roman"/>
                <w:color w:val="000000"/>
              </w:rPr>
            </w:pPr>
          </w:p>
        </w:tc>
        <w:tc>
          <w:tcPr>
            <w:tcW w:w="2801" w:type="dxa"/>
            <w:vMerge/>
            <w:tcBorders>
              <w:top w:val="nil"/>
            </w:tcBorders>
          </w:tcPr>
          <w:p w14:paraId="0B2E4084" w14:textId="77777777" w:rsidR="00273532" w:rsidRPr="00273532" w:rsidRDefault="00273532" w:rsidP="00273532">
            <w:pPr>
              <w:jc w:val="center"/>
              <w:rPr>
                <w:rFonts w:ascii="Times New Roman" w:hAnsi="Times New Roman"/>
                <w:color w:val="000000"/>
              </w:rPr>
            </w:pPr>
          </w:p>
        </w:tc>
        <w:tc>
          <w:tcPr>
            <w:tcW w:w="2446" w:type="dxa"/>
          </w:tcPr>
          <w:p w14:paraId="086DB12B" w14:textId="77777777" w:rsidR="00273532" w:rsidRPr="00273532" w:rsidRDefault="00273532" w:rsidP="00273532">
            <w:pPr>
              <w:spacing w:before="24" w:line="208" w:lineRule="auto"/>
              <w:ind w:left="105"/>
              <w:jc w:val="center"/>
              <w:rPr>
                <w:rFonts w:ascii="Times New Roman" w:hAnsi="Times New Roman"/>
                <w:b/>
                <w:color w:val="000000"/>
                <w:lang w:bidi="ru-RU"/>
              </w:rPr>
            </w:pPr>
            <w:r w:rsidRPr="00273532">
              <w:rPr>
                <w:rFonts w:ascii="Times New Roman" w:hAnsi="Times New Roman"/>
                <w:b/>
                <w:color w:val="000000"/>
                <w:lang w:bidi="ru-RU"/>
              </w:rPr>
              <w:t>Добыча,</w:t>
            </w:r>
            <w:r w:rsidRPr="00273532">
              <w:rPr>
                <w:rFonts w:ascii="Times New Roman" w:hAnsi="Times New Roman"/>
                <w:b/>
                <w:color w:val="000000"/>
                <w:spacing w:val="40"/>
                <w:lang w:bidi="ru-RU"/>
              </w:rPr>
              <w:t xml:space="preserve"> </w:t>
            </w:r>
            <w:r w:rsidRPr="00273532">
              <w:rPr>
                <w:rFonts w:ascii="Times New Roman" w:hAnsi="Times New Roman"/>
                <w:b/>
                <w:color w:val="000000"/>
                <w:lang w:bidi="ru-RU"/>
              </w:rPr>
              <w:t>тыс. м</w:t>
            </w:r>
            <w:r w:rsidRPr="00273532">
              <w:rPr>
                <w:rFonts w:ascii="Times New Roman" w:hAnsi="Times New Roman"/>
                <w:b/>
                <w:color w:val="000000"/>
                <w:vertAlign w:val="superscript"/>
                <w:lang w:bidi="ru-RU"/>
              </w:rPr>
              <w:t>3</w:t>
            </w:r>
          </w:p>
          <w:p w14:paraId="73326E59" w14:textId="77777777" w:rsidR="00273532" w:rsidRPr="00273532" w:rsidRDefault="00273532" w:rsidP="00273532">
            <w:pPr>
              <w:spacing w:before="24" w:line="208" w:lineRule="auto"/>
              <w:ind w:left="105"/>
              <w:jc w:val="center"/>
              <w:rPr>
                <w:rFonts w:ascii="Times New Roman" w:hAnsi="Times New Roman"/>
                <w:b/>
                <w:color w:val="000000"/>
                <w:lang w:bidi="ru-RU"/>
              </w:rPr>
            </w:pPr>
          </w:p>
        </w:tc>
        <w:tc>
          <w:tcPr>
            <w:tcW w:w="2680" w:type="dxa"/>
          </w:tcPr>
          <w:p w14:paraId="70C04138" w14:textId="77777777" w:rsidR="00273532" w:rsidRPr="00273532" w:rsidRDefault="00273532" w:rsidP="00273532">
            <w:pPr>
              <w:ind w:left="109"/>
              <w:jc w:val="center"/>
              <w:rPr>
                <w:rFonts w:ascii="Times New Roman" w:hAnsi="Times New Roman"/>
                <w:b/>
                <w:color w:val="000000"/>
                <w:lang w:bidi="ru-RU"/>
              </w:rPr>
            </w:pPr>
            <w:r w:rsidRPr="00273532">
              <w:rPr>
                <w:rFonts w:ascii="Times New Roman" w:hAnsi="Times New Roman"/>
                <w:b/>
                <w:color w:val="000000"/>
                <w:lang w:bidi="ru-RU"/>
              </w:rPr>
              <w:t>вскрыша,</w:t>
            </w:r>
            <w:r w:rsidRPr="00273532">
              <w:rPr>
                <w:rFonts w:ascii="Times New Roman" w:hAnsi="Times New Roman"/>
                <w:b/>
                <w:color w:val="000000"/>
                <w:spacing w:val="-7"/>
                <w:lang w:bidi="ru-RU"/>
              </w:rPr>
              <w:t xml:space="preserve"> </w:t>
            </w:r>
            <w:r w:rsidRPr="00273532">
              <w:rPr>
                <w:rFonts w:ascii="Times New Roman" w:hAnsi="Times New Roman"/>
                <w:b/>
                <w:color w:val="000000"/>
                <w:lang w:bidi="ru-RU"/>
              </w:rPr>
              <w:t>тыс.</w:t>
            </w:r>
            <w:r w:rsidRPr="00273532">
              <w:rPr>
                <w:rFonts w:ascii="Times New Roman" w:hAnsi="Times New Roman"/>
                <w:b/>
                <w:color w:val="000000"/>
                <w:spacing w:val="-9"/>
                <w:lang w:bidi="ru-RU"/>
              </w:rPr>
              <w:t xml:space="preserve"> </w:t>
            </w:r>
            <w:r w:rsidRPr="00273532">
              <w:rPr>
                <w:rFonts w:ascii="Times New Roman" w:hAnsi="Times New Roman"/>
                <w:b/>
                <w:color w:val="000000"/>
                <w:spacing w:val="-5"/>
                <w:lang w:bidi="ru-RU"/>
              </w:rPr>
              <w:t>м</w:t>
            </w:r>
            <w:r w:rsidRPr="00273532">
              <w:rPr>
                <w:rFonts w:ascii="Times New Roman" w:hAnsi="Times New Roman"/>
                <w:b/>
                <w:color w:val="000000"/>
                <w:spacing w:val="-5"/>
                <w:vertAlign w:val="superscript"/>
                <w:lang w:bidi="ru-RU"/>
              </w:rPr>
              <w:t>3</w:t>
            </w:r>
          </w:p>
        </w:tc>
      </w:tr>
      <w:tr w:rsidR="00273532" w:rsidRPr="00273532" w14:paraId="495A51AC" w14:textId="77777777" w:rsidTr="00273532">
        <w:trPr>
          <w:trHeight w:val="224"/>
          <w:jc w:val="center"/>
        </w:trPr>
        <w:tc>
          <w:tcPr>
            <w:tcW w:w="1578" w:type="dxa"/>
          </w:tcPr>
          <w:p w14:paraId="11005407" w14:textId="77777777" w:rsidR="00273532" w:rsidRPr="00273532" w:rsidRDefault="00273532" w:rsidP="00273532">
            <w:pPr>
              <w:spacing w:line="210" w:lineRule="exact"/>
              <w:ind w:left="105"/>
              <w:jc w:val="center"/>
              <w:rPr>
                <w:rFonts w:ascii="Times New Roman" w:hAnsi="Times New Roman"/>
                <w:color w:val="000000"/>
                <w:lang w:val="kk-KZ" w:bidi="ru-RU"/>
              </w:rPr>
            </w:pPr>
            <w:r w:rsidRPr="00273532">
              <w:rPr>
                <w:rFonts w:ascii="Times New Roman" w:hAnsi="Times New Roman"/>
                <w:color w:val="000000"/>
                <w:spacing w:val="-4"/>
                <w:lang w:bidi="ru-RU"/>
              </w:rPr>
              <w:t>2026-203</w:t>
            </w:r>
            <w:r w:rsidRPr="00273532">
              <w:rPr>
                <w:rFonts w:ascii="Times New Roman" w:hAnsi="Times New Roman"/>
                <w:color w:val="000000"/>
                <w:spacing w:val="-4"/>
                <w:lang w:val="kk-KZ" w:bidi="ru-RU"/>
              </w:rPr>
              <w:t>4</w:t>
            </w:r>
          </w:p>
        </w:tc>
        <w:tc>
          <w:tcPr>
            <w:tcW w:w="2801" w:type="dxa"/>
          </w:tcPr>
          <w:p w14:paraId="54A45387" w14:textId="77777777" w:rsidR="00273532" w:rsidRPr="00273532" w:rsidRDefault="00273532" w:rsidP="00273532">
            <w:pPr>
              <w:spacing w:line="210" w:lineRule="exact"/>
              <w:ind w:left="105"/>
              <w:jc w:val="center"/>
              <w:rPr>
                <w:rFonts w:ascii="Times New Roman" w:hAnsi="Times New Roman"/>
                <w:color w:val="000000"/>
                <w:lang w:bidi="ru-RU"/>
              </w:rPr>
            </w:pPr>
            <w:r w:rsidRPr="00273532">
              <w:rPr>
                <w:rFonts w:ascii="Times New Roman" w:hAnsi="Times New Roman"/>
                <w:color w:val="000000"/>
                <w:lang w:bidi="ru-RU"/>
              </w:rPr>
              <w:t>61,5</w:t>
            </w:r>
          </w:p>
        </w:tc>
        <w:tc>
          <w:tcPr>
            <w:tcW w:w="2446" w:type="dxa"/>
          </w:tcPr>
          <w:p w14:paraId="3F254AB8" w14:textId="77777777" w:rsidR="00273532" w:rsidRPr="00273532" w:rsidRDefault="00273532" w:rsidP="00273532">
            <w:pPr>
              <w:spacing w:line="210" w:lineRule="exact"/>
              <w:ind w:left="105"/>
              <w:jc w:val="center"/>
              <w:rPr>
                <w:rFonts w:ascii="Times New Roman" w:hAnsi="Times New Roman"/>
                <w:color w:val="000000"/>
                <w:lang w:bidi="ru-RU"/>
              </w:rPr>
            </w:pPr>
            <w:r w:rsidRPr="00273532">
              <w:rPr>
                <w:rFonts w:ascii="Times New Roman" w:hAnsi="Times New Roman"/>
                <w:color w:val="000000"/>
                <w:lang w:bidi="ru-RU"/>
              </w:rPr>
              <w:t>38,2</w:t>
            </w:r>
          </w:p>
        </w:tc>
        <w:tc>
          <w:tcPr>
            <w:tcW w:w="2680" w:type="dxa"/>
          </w:tcPr>
          <w:p w14:paraId="14B0452B" w14:textId="77777777" w:rsidR="00273532" w:rsidRPr="00273532" w:rsidRDefault="00273532" w:rsidP="00273532">
            <w:pPr>
              <w:spacing w:line="210" w:lineRule="exact"/>
              <w:ind w:left="109"/>
              <w:jc w:val="center"/>
              <w:rPr>
                <w:rFonts w:ascii="Times New Roman" w:hAnsi="Times New Roman"/>
                <w:color w:val="000000"/>
                <w:lang w:bidi="ru-RU"/>
              </w:rPr>
            </w:pPr>
            <w:r w:rsidRPr="00273532">
              <w:rPr>
                <w:rFonts w:ascii="Times New Roman" w:hAnsi="Times New Roman"/>
                <w:color w:val="000000"/>
                <w:lang w:bidi="ru-RU"/>
              </w:rPr>
              <w:t>23,2</w:t>
            </w:r>
          </w:p>
        </w:tc>
      </w:tr>
      <w:tr w:rsidR="00273532" w:rsidRPr="00273532" w14:paraId="369893B8" w14:textId="77777777" w:rsidTr="00273532">
        <w:trPr>
          <w:trHeight w:val="224"/>
          <w:jc w:val="center"/>
        </w:trPr>
        <w:tc>
          <w:tcPr>
            <w:tcW w:w="1578" w:type="dxa"/>
          </w:tcPr>
          <w:p w14:paraId="28FBFF2A" w14:textId="77777777" w:rsidR="00273532" w:rsidRPr="00273532" w:rsidRDefault="00273532" w:rsidP="00273532">
            <w:pPr>
              <w:spacing w:line="210" w:lineRule="exact"/>
              <w:ind w:left="105"/>
              <w:jc w:val="center"/>
              <w:rPr>
                <w:rFonts w:ascii="Times New Roman" w:hAnsi="Times New Roman"/>
                <w:b/>
                <w:color w:val="000000"/>
                <w:lang w:bidi="ru-RU"/>
              </w:rPr>
            </w:pPr>
            <w:r w:rsidRPr="00273532">
              <w:rPr>
                <w:rFonts w:ascii="Times New Roman" w:hAnsi="Times New Roman"/>
                <w:b/>
                <w:color w:val="000000"/>
                <w:spacing w:val="-2"/>
                <w:lang w:bidi="ru-RU"/>
              </w:rPr>
              <w:t>итого</w:t>
            </w:r>
          </w:p>
        </w:tc>
        <w:tc>
          <w:tcPr>
            <w:tcW w:w="2801" w:type="dxa"/>
          </w:tcPr>
          <w:p w14:paraId="6678B344" w14:textId="77777777" w:rsidR="00273532" w:rsidRPr="00273532" w:rsidRDefault="00273532" w:rsidP="00273532">
            <w:pPr>
              <w:spacing w:line="210" w:lineRule="exact"/>
              <w:ind w:left="105"/>
              <w:jc w:val="center"/>
              <w:rPr>
                <w:rFonts w:ascii="Times New Roman" w:hAnsi="Times New Roman"/>
                <w:b/>
                <w:bCs/>
                <w:color w:val="000000"/>
                <w:lang w:bidi="ru-RU"/>
              </w:rPr>
            </w:pPr>
            <w:r w:rsidRPr="00273532">
              <w:rPr>
                <w:rFonts w:ascii="Times New Roman" w:hAnsi="Times New Roman"/>
                <w:b/>
                <w:bCs/>
                <w:color w:val="000000"/>
                <w:lang w:bidi="ru-RU"/>
              </w:rPr>
              <w:t>61,5</w:t>
            </w:r>
          </w:p>
        </w:tc>
        <w:tc>
          <w:tcPr>
            <w:tcW w:w="2446" w:type="dxa"/>
          </w:tcPr>
          <w:p w14:paraId="3F821CB5" w14:textId="77777777" w:rsidR="00273532" w:rsidRPr="00273532" w:rsidRDefault="00273532" w:rsidP="00273532">
            <w:pPr>
              <w:spacing w:line="210" w:lineRule="exact"/>
              <w:ind w:left="105"/>
              <w:jc w:val="center"/>
              <w:rPr>
                <w:rFonts w:ascii="Times New Roman" w:hAnsi="Times New Roman"/>
                <w:b/>
                <w:bCs/>
                <w:color w:val="000000"/>
                <w:lang w:bidi="ru-RU"/>
              </w:rPr>
            </w:pPr>
            <w:r w:rsidRPr="00273532">
              <w:rPr>
                <w:rFonts w:ascii="Times New Roman" w:hAnsi="Times New Roman"/>
                <w:b/>
                <w:bCs/>
                <w:color w:val="000000"/>
                <w:lang w:bidi="ru-RU"/>
              </w:rPr>
              <w:t>38,2</w:t>
            </w:r>
          </w:p>
        </w:tc>
        <w:tc>
          <w:tcPr>
            <w:tcW w:w="2680" w:type="dxa"/>
          </w:tcPr>
          <w:p w14:paraId="7D941FE5" w14:textId="77777777" w:rsidR="00273532" w:rsidRPr="00273532" w:rsidRDefault="00273532" w:rsidP="00273532">
            <w:pPr>
              <w:spacing w:line="210" w:lineRule="exact"/>
              <w:ind w:left="109"/>
              <w:jc w:val="center"/>
              <w:rPr>
                <w:rFonts w:ascii="Times New Roman" w:hAnsi="Times New Roman"/>
                <w:b/>
                <w:bCs/>
                <w:color w:val="000000"/>
                <w:lang w:bidi="ru-RU"/>
              </w:rPr>
            </w:pPr>
            <w:r w:rsidRPr="00273532">
              <w:rPr>
                <w:rFonts w:ascii="Times New Roman" w:hAnsi="Times New Roman"/>
                <w:b/>
                <w:bCs/>
                <w:color w:val="000000"/>
                <w:lang w:bidi="ru-RU"/>
              </w:rPr>
              <w:t>23,2</w:t>
            </w:r>
          </w:p>
        </w:tc>
      </w:tr>
    </w:tbl>
    <w:p w14:paraId="5686CF2F" w14:textId="77777777" w:rsidR="00273532" w:rsidRPr="00273532" w:rsidRDefault="00273532" w:rsidP="00273532">
      <w:pPr>
        <w:tabs>
          <w:tab w:val="left" w:pos="0"/>
        </w:tabs>
        <w:spacing w:after="0" w:line="240" w:lineRule="auto"/>
        <w:ind w:right="215"/>
        <w:jc w:val="both"/>
        <w:rPr>
          <w:rFonts w:ascii="Times New Roman" w:eastAsia="Times New Roman" w:hAnsi="Times New Roman" w:cs="Times New Roman"/>
          <w:sz w:val="24"/>
          <w:szCs w:val="24"/>
        </w:rPr>
      </w:pPr>
      <w:r w:rsidRPr="00273532">
        <w:rPr>
          <w:rFonts w:ascii="Times New Roman" w:eastAsia="Times New Roman" w:hAnsi="Times New Roman" w:cs="Times New Roman"/>
          <w:sz w:val="24"/>
          <w:szCs w:val="24"/>
        </w:rPr>
        <w:t xml:space="preserve">Вскрытие и разработка месторождения суглинков Сазды-32 будет производиться одним открытым карьером с использованием бульдозеров,скреперов и экскаваторов. Доставка сырья от карьера до завода будет осуществляться автомобильным транспортом. Такому способу отработки способствуют благоприятные горно-геологические и горнотехнические условия месторождения. Разведенная част полезной толщи месторождения представляет собой горизонтальную пластообразную залежь размером 650х600 м. Поверхность месторождения слабо всхолмленное золовыми песками, геологические строение простое. </w:t>
      </w:r>
    </w:p>
    <w:p w14:paraId="0CC72747" w14:textId="77777777" w:rsidR="00273532" w:rsidRPr="00273532" w:rsidRDefault="00273532" w:rsidP="00273532">
      <w:pPr>
        <w:tabs>
          <w:tab w:val="left" w:pos="0"/>
        </w:tabs>
        <w:spacing w:after="0" w:line="240" w:lineRule="auto"/>
        <w:ind w:right="215"/>
        <w:jc w:val="both"/>
        <w:rPr>
          <w:rFonts w:ascii="Times New Roman" w:eastAsia="Times New Roman" w:hAnsi="Times New Roman" w:cs="Times New Roman"/>
          <w:sz w:val="24"/>
          <w:szCs w:val="24"/>
        </w:rPr>
      </w:pPr>
      <w:r w:rsidRPr="00273532">
        <w:rPr>
          <w:rFonts w:ascii="Times New Roman" w:eastAsia="Times New Roman" w:hAnsi="Times New Roman" w:cs="Times New Roman"/>
          <w:sz w:val="24"/>
          <w:szCs w:val="24"/>
        </w:rPr>
        <w:t>Полезное ископаемое месторождения представлено рыхлым материалом (суглинки) с содержанием собственно глинистой фракции (менее 0,01 мм) 57,99% алевритовой фракции (0,01-0,5 мм) -41,99% песчаной фракции (более 0,5 мм) – 0,01%, породы вскрыши – супесью с корнями растений.</w:t>
      </w:r>
    </w:p>
    <w:p w14:paraId="4F3A918E" w14:textId="77777777" w:rsidR="00273532" w:rsidRPr="00273532" w:rsidRDefault="00273532" w:rsidP="00273532">
      <w:pPr>
        <w:spacing w:before="6" w:after="0" w:line="237" w:lineRule="auto"/>
        <w:jc w:val="both"/>
        <w:rPr>
          <w:rFonts w:ascii="Times New Roman" w:eastAsia="Times New Roman" w:hAnsi="Times New Roman" w:cs="Times New Roman"/>
          <w:bCs/>
          <w:sz w:val="24"/>
          <w:szCs w:val="24"/>
        </w:rPr>
      </w:pPr>
      <w:r w:rsidRPr="00273532">
        <w:rPr>
          <w:rFonts w:ascii="Times New Roman" w:eastAsia="Times New Roman" w:hAnsi="Times New Roman" w:cs="Times New Roman"/>
          <w:bCs/>
          <w:sz w:val="24"/>
          <w:szCs w:val="24"/>
        </w:rPr>
        <w:t>Мощность полезной толщи в контуре подсчета запасов 1,0-3,7 м, в среднем 2,27 м. Прослои пустых пород внутри полезной толщи отсутствуют.</w:t>
      </w:r>
    </w:p>
    <w:p w14:paraId="14EEC85C" w14:textId="77777777" w:rsidR="00273532" w:rsidRPr="00273532" w:rsidRDefault="00273532" w:rsidP="00273532">
      <w:pPr>
        <w:spacing w:before="6" w:after="0" w:line="237" w:lineRule="auto"/>
        <w:jc w:val="both"/>
        <w:rPr>
          <w:rFonts w:ascii="Times New Roman" w:eastAsia="Times New Roman" w:hAnsi="Times New Roman" w:cs="Times New Roman"/>
          <w:bCs/>
          <w:sz w:val="24"/>
          <w:szCs w:val="24"/>
        </w:rPr>
      </w:pPr>
      <w:r w:rsidRPr="00273532">
        <w:rPr>
          <w:rFonts w:ascii="Times New Roman" w:eastAsia="Times New Roman" w:hAnsi="Times New Roman" w:cs="Times New Roman"/>
          <w:bCs/>
          <w:sz w:val="24"/>
          <w:szCs w:val="24"/>
        </w:rPr>
        <w:t>Мощность вскрыши 0,3-3,8 м, в среднем – 1,54 м.</w:t>
      </w:r>
    </w:p>
    <w:p w14:paraId="278927BF" w14:textId="77777777" w:rsidR="00273532" w:rsidRPr="00273532" w:rsidRDefault="00273532" w:rsidP="00273532">
      <w:pPr>
        <w:spacing w:before="6" w:after="0" w:line="237" w:lineRule="auto"/>
        <w:jc w:val="both"/>
        <w:rPr>
          <w:rFonts w:ascii="Times New Roman" w:eastAsia="Times New Roman" w:hAnsi="Times New Roman" w:cs="Times New Roman"/>
          <w:bCs/>
          <w:sz w:val="24"/>
          <w:szCs w:val="24"/>
        </w:rPr>
      </w:pPr>
      <w:r w:rsidRPr="00273532">
        <w:rPr>
          <w:rFonts w:ascii="Times New Roman" w:eastAsia="Times New Roman" w:hAnsi="Times New Roman" w:cs="Times New Roman"/>
          <w:bCs/>
          <w:sz w:val="24"/>
          <w:szCs w:val="24"/>
        </w:rPr>
        <w:t>Учитывая поверхностные залегание полезного ископаемого, его рыхлое состояние, простое строение полезной толщи, принимается отработка месторождения механизированным способом без предварительного рыхления породы.</w:t>
      </w:r>
    </w:p>
    <w:p w14:paraId="53C69850" w14:textId="77777777" w:rsidR="00273532" w:rsidRPr="00273532" w:rsidRDefault="00273532" w:rsidP="00273532">
      <w:pPr>
        <w:tabs>
          <w:tab w:val="left" w:pos="0"/>
        </w:tabs>
        <w:spacing w:after="0" w:line="240" w:lineRule="auto"/>
        <w:ind w:right="215"/>
        <w:jc w:val="both"/>
        <w:rPr>
          <w:rFonts w:ascii="Times New Roman" w:eastAsia="Times New Roman" w:hAnsi="Times New Roman" w:cs="Times New Roman"/>
          <w:sz w:val="24"/>
          <w:szCs w:val="24"/>
        </w:rPr>
      </w:pPr>
      <w:r w:rsidRPr="00273532">
        <w:rPr>
          <w:rFonts w:ascii="Times New Roman" w:eastAsia="Times New Roman" w:hAnsi="Times New Roman" w:cs="Times New Roman"/>
          <w:sz w:val="24"/>
          <w:szCs w:val="24"/>
        </w:rPr>
        <w:t>Таким образом, горно-геологические условия месторождения весьма благоприятны для строительства карьера по добыче суглинков для кирпичного производства.</w:t>
      </w:r>
    </w:p>
    <w:p w14:paraId="04CE0B4F" w14:textId="77777777" w:rsidR="00273532" w:rsidRPr="00273532" w:rsidRDefault="00273532" w:rsidP="00273532">
      <w:pPr>
        <w:tabs>
          <w:tab w:val="left" w:pos="0"/>
        </w:tabs>
        <w:spacing w:after="0" w:line="240" w:lineRule="auto"/>
        <w:ind w:right="215"/>
        <w:jc w:val="both"/>
        <w:rPr>
          <w:rFonts w:ascii="Times New Roman" w:eastAsia="Times New Roman" w:hAnsi="Times New Roman" w:cs="Times New Roman"/>
          <w:sz w:val="24"/>
          <w:szCs w:val="24"/>
        </w:rPr>
      </w:pPr>
      <w:r w:rsidRPr="00273532">
        <w:rPr>
          <w:rFonts w:ascii="Times New Roman" w:eastAsia="Times New Roman" w:hAnsi="Times New Roman" w:cs="Times New Roman"/>
          <w:sz w:val="24"/>
          <w:szCs w:val="24"/>
        </w:rPr>
        <w:t xml:space="preserve">Отработка месторождения будет проводиться экскаваторами и бульдозерами, одним уступом высотой 2,5-3 м. Угол откоса уступа – 35°, угол погашения бортов карьера – 10°. Эта схема разработки не противоречит «ЕПБ при разработке месторождений полезных ископаемых открытым способом». </w:t>
      </w:r>
    </w:p>
    <w:p w14:paraId="59E80F96" w14:textId="773D28AC" w:rsidR="00226CA8" w:rsidRPr="00273532" w:rsidRDefault="00226CA8" w:rsidP="00226CA8">
      <w:pPr>
        <w:pStyle w:val="Default"/>
        <w:jc w:val="both"/>
        <w:rPr>
          <w:i/>
        </w:rPr>
      </w:pPr>
      <w:r w:rsidRPr="00273532">
        <w:rPr>
          <w:i/>
        </w:rPr>
        <w:lastRenderedPageBreak/>
        <w:t xml:space="preserve">5)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 </w:t>
      </w:r>
    </w:p>
    <w:p w14:paraId="36AACE86" w14:textId="77777777" w:rsidR="00226CA8" w:rsidRPr="00273532" w:rsidRDefault="00226CA8" w:rsidP="00226CA8">
      <w:pPr>
        <w:pStyle w:val="Default"/>
        <w:jc w:val="both"/>
      </w:pPr>
      <w:r w:rsidRPr="00273532">
        <w:t xml:space="preserve">Воздействие проектируемого объекта на здоровье населения находится на низком уровне в связи со значительным удалением ближайших населенных пунктов от промплощадки намечаемой деятельности. Прогноз социально-экономических последствий от деятельности предприятия – благоприятный. </w:t>
      </w:r>
    </w:p>
    <w:p w14:paraId="51C1CD22" w14:textId="77777777" w:rsidR="00226CA8" w:rsidRPr="00273532" w:rsidRDefault="00226CA8" w:rsidP="00226CA8">
      <w:pPr>
        <w:pStyle w:val="Default"/>
        <w:jc w:val="both"/>
      </w:pPr>
      <w:r w:rsidRPr="00273532">
        <w:t xml:space="preserve">Рассматриваемая территория находится вне земель государственного лесного фонда и особо охраняемых природных территорий Республики Казахстан. Животные и растительность, занесенные в Красную книгу РК на рассматриваемой территории отсутствуют. В целом воздействие намечаемой деятельности на природное состояние растительного и животного мира оценено как незначительное и не приведет к необратимым последствиям. </w:t>
      </w:r>
    </w:p>
    <w:p w14:paraId="12E7851E" w14:textId="77777777" w:rsidR="00226CA8" w:rsidRPr="00273532" w:rsidRDefault="00226CA8" w:rsidP="00226CA8">
      <w:pPr>
        <w:pStyle w:val="Default"/>
        <w:jc w:val="both"/>
      </w:pPr>
      <w:r w:rsidRPr="00273532">
        <w:t xml:space="preserve">Почвенно-растительный покров. В рамках проекта установлено, что воздействие на почвенно-растительный покров носит допустимый характер при соблюдении мероприятий по восстановлению нарушенных земель (проведении рекультивации). </w:t>
      </w:r>
    </w:p>
    <w:p w14:paraId="56EA9BBA" w14:textId="77777777" w:rsidR="00226CA8" w:rsidRPr="00273532" w:rsidRDefault="00226CA8" w:rsidP="00226CA8">
      <w:pPr>
        <w:pStyle w:val="Default"/>
        <w:jc w:val="both"/>
      </w:pPr>
      <w:r w:rsidRPr="00273532">
        <w:t xml:space="preserve">Проектируемый объект не предполагает забор воды из поверхностных водных источников и сбросов непосредственно в поверхностные и подземные водные объекты, поэтому прямого воздействия на водные ресурсы не оказывает. </w:t>
      </w:r>
    </w:p>
    <w:p w14:paraId="01650185" w14:textId="77777777" w:rsidR="00226CA8" w:rsidRPr="00273532" w:rsidRDefault="00226CA8" w:rsidP="00226CA8">
      <w:pPr>
        <w:pStyle w:val="Default"/>
        <w:jc w:val="both"/>
      </w:pPr>
      <w:r w:rsidRPr="00273532">
        <w:t>Интенсивность воздействия на атмосферный воздух находится в пределах допустимых норм, изменения природной среды не выходят за существующие пределы естественной природной изменчивости.</w:t>
      </w:r>
    </w:p>
    <w:p w14:paraId="1AF801B8" w14:textId="77777777" w:rsidR="00226CA8" w:rsidRPr="00273532" w:rsidRDefault="00226CA8" w:rsidP="00226CA8">
      <w:pPr>
        <w:pStyle w:val="Default"/>
        <w:jc w:val="both"/>
      </w:pPr>
      <w:r w:rsidRPr="00273532">
        <w:t xml:space="preserve">Реализация намечаемой деятельности не приведет к изменению социально-экономических систем, соответственно сопротивляемость к изменению социально-экономической системы можно считать высокой. </w:t>
      </w:r>
    </w:p>
    <w:p w14:paraId="37669E60" w14:textId="77777777" w:rsidR="00226CA8" w:rsidRPr="00273532" w:rsidRDefault="00226CA8" w:rsidP="00226CA8">
      <w:pPr>
        <w:pStyle w:val="Default"/>
        <w:jc w:val="both"/>
      </w:pPr>
      <w:r w:rsidRPr="00273532">
        <w:t xml:space="preserve">Природные зоны, памятники истории и культуры, входящие в список охраняемых государством объектов на рассматриваемой территории отсутствуют. </w:t>
      </w:r>
    </w:p>
    <w:p w14:paraId="76D6A67F" w14:textId="77777777" w:rsidR="00226CA8" w:rsidRPr="00273532" w:rsidRDefault="00226CA8" w:rsidP="00226CA8">
      <w:pPr>
        <w:pStyle w:val="Default"/>
        <w:jc w:val="both"/>
      </w:pPr>
      <w:r w:rsidRPr="00273532">
        <w:t xml:space="preserve">При реализации намечаемой деятельности нарушения взаимодействия компонентов природной среды не предполагается. </w:t>
      </w:r>
    </w:p>
    <w:p w14:paraId="23BE4196" w14:textId="77777777" w:rsidR="00226CA8" w:rsidRPr="00273532" w:rsidRDefault="00226CA8" w:rsidP="00226CA8">
      <w:pPr>
        <w:pStyle w:val="Default"/>
        <w:jc w:val="both"/>
      </w:pPr>
      <w:r w:rsidRPr="00273532">
        <w:t xml:space="preserve">В целом, оценка воздействия на окружающую среду в районе проведения работ показала, что последствия данной намечаемой деятельности будут не столь значительны при соблюдении рекомендуемых природоохранных мероприятий. </w:t>
      </w:r>
    </w:p>
    <w:p w14:paraId="54E6DD40" w14:textId="77777777" w:rsidR="00226CA8" w:rsidRPr="00273532" w:rsidRDefault="00226CA8" w:rsidP="00226CA8">
      <w:pPr>
        <w:pStyle w:val="Default"/>
        <w:jc w:val="both"/>
        <w:rPr>
          <w:i/>
        </w:rPr>
      </w:pPr>
      <w:r w:rsidRPr="00273532">
        <w:rPr>
          <w:i/>
        </w:rPr>
        <w:t xml:space="preserve">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 </w:t>
      </w:r>
    </w:p>
    <w:p w14:paraId="2E7F3850" w14:textId="77777777" w:rsidR="00273532" w:rsidRPr="00273532" w:rsidRDefault="00273532" w:rsidP="00273532">
      <w:pPr>
        <w:pStyle w:val="Default"/>
        <w:jc w:val="both"/>
      </w:pPr>
      <w:r w:rsidRPr="00273532">
        <w:rPr>
          <w:i/>
          <w:iCs/>
        </w:rPr>
        <w:t xml:space="preserve">В атмосферу при проведении данных видов работ </w:t>
      </w:r>
      <w:r w:rsidRPr="00273532">
        <w:t>будут выделяться: азота (</w:t>
      </w:r>
      <w:r w:rsidRPr="00273532">
        <w:rPr>
          <w:lang w:val="en-US"/>
        </w:rPr>
        <w:t>IV</w:t>
      </w:r>
      <w:r w:rsidRPr="00273532">
        <w:t>) диоксид, углерод оксид, пыль неорганическая, содержащая 70-20% двуокиси кремния</w:t>
      </w:r>
      <w:r>
        <w:rPr>
          <w:lang w:val="kk-KZ"/>
        </w:rPr>
        <w:t>, оксиды железо, марганец и его соединения, углерод, сера диоксид, сероводород, фтористые газообразные соединения, фториды неорганическое плохо растворимые, проп-2-ен-1-аль, формальдегид, алканы С12-С19</w:t>
      </w:r>
      <w:r w:rsidRPr="00273532">
        <w:t xml:space="preserve">. При эксплуатации автотранспорта (передвижных источников) в атмосферный воздух выделяются следующие загрязняющие вещества: углерод оксид, азота диоксид, углеводороды, сера диоксид, углерод (сажа), бенз/а/пирен. Выбросы от передвижных источников загрязнения атмосферного воздуха не нормируются, а платежи за природопользование от автотранспорта осуществляются по факту сожженного топлива. </w:t>
      </w:r>
    </w:p>
    <w:p w14:paraId="4507EEEA" w14:textId="462D433E" w:rsidR="00226CA8" w:rsidRPr="00273532" w:rsidRDefault="00226CA8" w:rsidP="00226CA8">
      <w:pPr>
        <w:pStyle w:val="Default"/>
        <w:jc w:val="both"/>
      </w:pPr>
      <w:r w:rsidRPr="00273532">
        <w:t>Автономных и</w:t>
      </w:r>
      <w:r w:rsidR="00EF2D0B" w:rsidRPr="00273532">
        <w:t>сточников теплоснабжения, а так</w:t>
      </w:r>
      <w:r w:rsidRPr="00273532">
        <w:t xml:space="preserve">же заправка техники ГСМ на территории не производится. </w:t>
      </w:r>
    </w:p>
    <w:p w14:paraId="5C6563EB" w14:textId="77777777" w:rsidR="00226CA8" w:rsidRPr="00273532" w:rsidRDefault="00226CA8" w:rsidP="00226CA8">
      <w:pPr>
        <w:pStyle w:val="Default"/>
        <w:jc w:val="both"/>
      </w:pPr>
      <w:r w:rsidRPr="00273532">
        <w:t>Сбросов загрязняющих веществ, намечаемая деятельность не планирует.</w:t>
      </w:r>
    </w:p>
    <w:p w14:paraId="38B71134" w14:textId="6FD03036" w:rsidR="00226CA8" w:rsidRPr="00273532" w:rsidRDefault="00226CA8" w:rsidP="00226CA8">
      <w:pPr>
        <w:pStyle w:val="Default"/>
        <w:jc w:val="both"/>
        <w:rPr>
          <w:lang w:val="kk-KZ"/>
        </w:rPr>
      </w:pPr>
      <w:r w:rsidRPr="00273532">
        <w:t>Выброс вредных веществ, отходящих от стационарных источников загрязнения атмосферы в период проведения проектных работ составит: 202</w:t>
      </w:r>
      <w:r w:rsidR="006E1C32" w:rsidRPr="00273532">
        <w:t>6</w:t>
      </w:r>
      <w:r w:rsidRPr="00273532">
        <w:t>-203</w:t>
      </w:r>
      <w:r w:rsidR="00273532" w:rsidRPr="00273532">
        <w:rPr>
          <w:lang w:val="kk-KZ"/>
        </w:rPr>
        <w:t>4</w:t>
      </w:r>
      <w:r w:rsidRPr="00273532">
        <w:t xml:space="preserve"> г</w:t>
      </w:r>
      <w:r w:rsidR="006E1C32" w:rsidRPr="00273532">
        <w:t xml:space="preserve">г. </w:t>
      </w:r>
      <w:r w:rsidRPr="00273532">
        <w:t xml:space="preserve">- </w:t>
      </w:r>
      <w:r w:rsidR="00273532" w:rsidRPr="00273532">
        <w:t>1.715564</w:t>
      </w:r>
      <w:r w:rsidR="00273532">
        <w:rPr>
          <w:lang w:val="kk-KZ"/>
        </w:rPr>
        <w:t xml:space="preserve"> т/год.</w:t>
      </w:r>
    </w:p>
    <w:p w14:paraId="0AC881F2" w14:textId="492DE459" w:rsidR="00273532" w:rsidRDefault="00273532" w:rsidP="00226CA8">
      <w:pPr>
        <w:pStyle w:val="Default"/>
        <w:jc w:val="both"/>
      </w:pPr>
    </w:p>
    <w:p w14:paraId="621BC1C5" w14:textId="46729EFD" w:rsidR="00226CA8" w:rsidRPr="00273532" w:rsidRDefault="00226CA8" w:rsidP="00226CA8">
      <w:pPr>
        <w:pStyle w:val="Default"/>
        <w:jc w:val="both"/>
      </w:pPr>
      <w:r w:rsidRPr="00273532">
        <w:lastRenderedPageBreak/>
        <w:t xml:space="preserve">В период проведения работ на территории рассматриваемого объекта образуются </w:t>
      </w:r>
      <w:r w:rsidR="00C00635" w:rsidRPr="00273532">
        <w:t>отходы потребления и производства</w:t>
      </w:r>
      <w:r w:rsidR="00621DAA" w:rsidRPr="00273532">
        <w:t xml:space="preserve"> в объеме – 3,</w:t>
      </w:r>
      <w:r w:rsidR="00273532">
        <w:rPr>
          <w:lang w:val="kk-KZ"/>
        </w:rPr>
        <w:t>363</w:t>
      </w:r>
      <w:r w:rsidRPr="00273532">
        <w:t xml:space="preserve"> т/год. </w:t>
      </w:r>
    </w:p>
    <w:p w14:paraId="5DE58026" w14:textId="77777777" w:rsidR="00226CA8" w:rsidRPr="00273532" w:rsidRDefault="00226CA8" w:rsidP="00226CA8">
      <w:pPr>
        <w:pStyle w:val="Default"/>
        <w:jc w:val="both"/>
      </w:pPr>
      <w:r w:rsidRPr="00273532">
        <w:t xml:space="preserve">Захоронение отходов по их видам на предприятии не предусмотрено, в рамках намечаемой деятельности. </w:t>
      </w:r>
    </w:p>
    <w:p w14:paraId="48722CFD" w14:textId="77777777" w:rsidR="00226CA8" w:rsidRPr="00273532" w:rsidRDefault="00226CA8" w:rsidP="00226CA8">
      <w:pPr>
        <w:pStyle w:val="Default"/>
        <w:jc w:val="both"/>
      </w:pPr>
      <w:r w:rsidRPr="00273532">
        <w:t>Питьевая вода будет доставляться к местам работы в закрытых емкостях, которые снабже</w:t>
      </w:r>
      <w:r w:rsidR="006E1C32" w:rsidRPr="00273532">
        <w:t xml:space="preserve">ны кранами или бутылированная. </w:t>
      </w:r>
      <w:r w:rsidRPr="00273532">
        <w:t xml:space="preserve"> </w:t>
      </w:r>
    </w:p>
    <w:p w14:paraId="5F34B110" w14:textId="1C2CFE58" w:rsidR="00226CA8" w:rsidRPr="00273532" w:rsidRDefault="00226CA8" w:rsidP="00226CA8">
      <w:pPr>
        <w:pStyle w:val="Default"/>
        <w:jc w:val="both"/>
      </w:pPr>
      <w:r w:rsidRPr="00273532">
        <w:t xml:space="preserve">Водопользование - общее. Водные ресурсы используются для технических нужд и хозяйственно-питьевых нужд. Расход воды на полив подъездной дороги к площадке добычи, согласно проектных решений составляет </w:t>
      </w:r>
      <w:r w:rsidR="00C00635" w:rsidRPr="00273532">
        <w:t>90</w:t>
      </w:r>
      <w:r w:rsidRPr="00273532">
        <w:t xml:space="preserve">0 м3/период. Хозяйственно- питьевые нужды персонала – </w:t>
      </w:r>
      <w:r w:rsidR="00273532">
        <w:rPr>
          <w:lang w:val="kk-KZ"/>
        </w:rPr>
        <w:t>104,65</w:t>
      </w:r>
      <w:r w:rsidRPr="00273532">
        <w:t xml:space="preserve"> м3/период. </w:t>
      </w:r>
    </w:p>
    <w:p w14:paraId="037993C6" w14:textId="77777777" w:rsidR="00226CA8" w:rsidRPr="00273532" w:rsidRDefault="00226CA8" w:rsidP="00226CA8">
      <w:pPr>
        <w:pStyle w:val="Default"/>
        <w:jc w:val="both"/>
      </w:pPr>
      <w:r w:rsidRPr="00273532">
        <w:t xml:space="preserve">Поверхностные и подземные водные ресурсы отсутствуют. Вода для питьевых и технических нужд - привозная. </w:t>
      </w:r>
    </w:p>
    <w:p w14:paraId="6A26C80D" w14:textId="77777777" w:rsidR="00226CA8" w:rsidRPr="00273532" w:rsidRDefault="00226CA8" w:rsidP="00226CA8">
      <w:pPr>
        <w:pStyle w:val="Default"/>
        <w:jc w:val="both"/>
      </w:pPr>
      <w:r w:rsidRPr="00273532">
        <w:t>Предприятие не будет осуществлять сбросов непосредственно в поверхностные водные объекты прилегающей территории, поэтому прямого воздействия на поверхностные воды не окажет.</w:t>
      </w:r>
    </w:p>
    <w:p w14:paraId="6CD5929B" w14:textId="77777777" w:rsidR="006C24F4" w:rsidRPr="00273532" w:rsidRDefault="00226CA8" w:rsidP="00226CA8">
      <w:pPr>
        <w:pStyle w:val="Default"/>
        <w:jc w:val="both"/>
      </w:pPr>
      <w:r w:rsidRPr="00273532">
        <w:rPr>
          <w:i/>
        </w:rPr>
        <w:t>7) информация: 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о возможных существенных вредных воздействиях на окружающую среду, связанных с рисками возникновения аварий и опасных природных явлений; о мерах по предотвращению аварий и опасных природных явлений и ликвидации их последствий, включая оповещение населения.</w:t>
      </w:r>
      <w:r w:rsidRPr="00273532">
        <w:t xml:space="preserve"> </w:t>
      </w:r>
    </w:p>
    <w:p w14:paraId="58663620" w14:textId="77777777" w:rsidR="00226CA8" w:rsidRPr="00273532" w:rsidRDefault="00226CA8" w:rsidP="00226CA8">
      <w:pPr>
        <w:pStyle w:val="Default"/>
        <w:jc w:val="both"/>
      </w:pPr>
      <w:r w:rsidRPr="00273532">
        <w:t xml:space="preserve">Основными причинами возникновения аварийных ситуаций на территории месторождений могут являться нарушения технологических процессов на предприятии, механические ошибки обслуживающего персонала, нарушение противопожарных правил и правил техники безопасности, отключение систем энергоснабжения. </w:t>
      </w:r>
    </w:p>
    <w:p w14:paraId="6437402A" w14:textId="77777777" w:rsidR="00226CA8" w:rsidRPr="00273532" w:rsidRDefault="00226CA8" w:rsidP="00226CA8">
      <w:pPr>
        <w:pStyle w:val="Default"/>
        <w:jc w:val="both"/>
      </w:pPr>
      <w:r w:rsidRPr="00273532">
        <w:t xml:space="preserve">Анализ сценариев наиболее вероятных аварийных ситуаций констатирует о возможности возникновения локальной по характеру аварии, которая не приведет к катастрофическим или необратимым последствиям. </w:t>
      </w:r>
    </w:p>
    <w:p w14:paraId="36A58398" w14:textId="77777777" w:rsidR="00226CA8" w:rsidRPr="00273532" w:rsidRDefault="00226CA8" w:rsidP="00226CA8">
      <w:pPr>
        <w:pStyle w:val="Default"/>
        <w:jc w:val="both"/>
      </w:pPr>
      <w:r w:rsidRPr="00273532">
        <w:t xml:space="preserve">Необходимо отметить, что участок планируемых работ, находится далеко от населенных пунктов в безлюдном месте и в случае возникновения чрезвычайной ситуации на объекте она не окажет неблагоприятного воздействия на местное население. </w:t>
      </w:r>
    </w:p>
    <w:p w14:paraId="06B62D1F" w14:textId="77777777" w:rsidR="00226CA8" w:rsidRPr="00273532" w:rsidRDefault="00226CA8" w:rsidP="00226CA8">
      <w:pPr>
        <w:pStyle w:val="Default"/>
        <w:jc w:val="both"/>
      </w:pPr>
      <w:r w:rsidRPr="00273532">
        <w:t>С учетом вероятности возникновения аварийных ситуаций, одним из эффективных методов минимизации ущерба от потенциальных аварий является</w:t>
      </w:r>
      <w:r w:rsidR="00C00635" w:rsidRPr="00273532">
        <w:t xml:space="preserve"> </w:t>
      </w:r>
      <w:r w:rsidRPr="00273532">
        <w:t xml:space="preserve">готовность к ним, разработка сценариев возможного развития событий при аварии и сценариев реагирования на них. </w:t>
      </w:r>
    </w:p>
    <w:p w14:paraId="15EDBC01" w14:textId="77777777" w:rsidR="00226CA8" w:rsidRPr="00273532" w:rsidRDefault="00226CA8" w:rsidP="00226CA8">
      <w:pPr>
        <w:pStyle w:val="Default"/>
        <w:jc w:val="both"/>
      </w:pPr>
      <w:r w:rsidRPr="00273532">
        <w:t xml:space="preserve">Основными мерами предупреждения возможных аварийных ситуаций является строгое исполнение технологической и производственной дисциплины, выполнение проектных решений и оперативный контроль. </w:t>
      </w:r>
    </w:p>
    <w:p w14:paraId="5C523F9D" w14:textId="77777777" w:rsidR="00226CA8" w:rsidRPr="00273532" w:rsidRDefault="00226CA8" w:rsidP="00226CA8">
      <w:pPr>
        <w:pStyle w:val="Default"/>
        <w:jc w:val="both"/>
      </w:pPr>
      <w:r w:rsidRPr="00273532">
        <w:t xml:space="preserve">Руководство предприятия в полной мере должно осознавать свою ответственность по данной проблеме, и обеспечить безопасность намечаемой деятельности, взаимодействуя с органами надзора и инспекциями, отвечающими за экологическую безопасность и здоровье местного населения и работающего персонала, соблюдать все нормативные требования Республики Казахстан к инженерно-экологической безопасности ведения работ на всех этапах осуществляемой деятельности. </w:t>
      </w:r>
    </w:p>
    <w:p w14:paraId="5A5F4E4A" w14:textId="77777777" w:rsidR="00226CA8" w:rsidRPr="00273532" w:rsidRDefault="00226CA8" w:rsidP="00226CA8">
      <w:pPr>
        <w:pStyle w:val="Default"/>
        <w:jc w:val="both"/>
      </w:pPr>
      <w:r w:rsidRPr="00273532">
        <w:t xml:space="preserve">Строгое соблюдение всех правил технической безопасности и своевременное применение мероприятий по локализации и ликвидации последствий аварийных ситуаций позволят дополнительно уменьшить их возможные негативные влияния на окружающую среду, снизить уровни экологического риска. </w:t>
      </w:r>
    </w:p>
    <w:p w14:paraId="154B4813" w14:textId="77777777" w:rsidR="00226CA8" w:rsidRPr="00273532" w:rsidRDefault="00226CA8" w:rsidP="00226CA8">
      <w:pPr>
        <w:pStyle w:val="Default"/>
        <w:jc w:val="both"/>
        <w:rPr>
          <w:i/>
        </w:rPr>
      </w:pPr>
      <w:r w:rsidRPr="00273532">
        <w:rPr>
          <w:i/>
        </w:rPr>
        <w:t>8) краткое описание: мер по предотвращению, сокращению, смягчению выявленных существенных воздействий намечаемой деятельности на окружающую среду;</w:t>
      </w:r>
    </w:p>
    <w:p w14:paraId="0418B68E" w14:textId="77777777" w:rsidR="00226CA8" w:rsidRPr="00273532" w:rsidRDefault="00226CA8" w:rsidP="00226CA8">
      <w:pPr>
        <w:pStyle w:val="Default"/>
        <w:jc w:val="both"/>
      </w:pPr>
      <w:r w:rsidRPr="00273532">
        <w:t xml:space="preserve">Основные мероприятия по снижению или исключению воздействий: </w:t>
      </w:r>
    </w:p>
    <w:p w14:paraId="43201B29" w14:textId="77777777" w:rsidR="00226CA8" w:rsidRPr="00273532" w:rsidRDefault="00226CA8" w:rsidP="00226CA8">
      <w:pPr>
        <w:pStyle w:val="Default"/>
        <w:numPr>
          <w:ilvl w:val="0"/>
          <w:numId w:val="1"/>
        </w:numPr>
        <w:ind w:left="284" w:hanging="284"/>
        <w:jc w:val="both"/>
      </w:pPr>
      <w:r w:rsidRPr="00273532">
        <w:t xml:space="preserve">проведение планируемых работ в пределах отведенного земельного участка; </w:t>
      </w:r>
    </w:p>
    <w:p w14:paraId="41BEC8DD" w14:textId="77777777" w:rsidR="00226CA8" w:rsidRPr="00273532" w:rsidRDefault="00226CA8" w:rsidP="00226CA8">
      <w:pPr>
        <w:pStyle w:val="Default"/>
        <w:numPr>
          <w:ilvl w:val="0"/>
          <w:numId w:val="1"/>
        </w:numPr>
        <w:spacing w:after="57"/>
        <w:ind w:left="284" w:hanging="284"/>
        <w:jc w:val="both"/>
      </w:pPr>
      <w:r w:rsidRPr="00273532">
        <w:lastRenderedPageBreak/>
        <w:t xml:space="preserve">проведение своевременного технического обслуживания и ремонта используемой техники; </w:t>
      </w:r>
    </w:p>
    <w:p w14:paraId="4F2C9F60" w14:textId="77777777" w:rsidR="00226CA8" w:rsidRPr="00273532" w:rsidRDefault="00226CA8" w:rsidP="00226CA8">
      <w:pPr>
        <w:pStyle w:val="Default"/>
        <w:numPr>
          <w:ilvl w:val="0"/>
          <w:numId w:val="1"/>
        </w:numPr>
        <w:ind w:left="284" w:hanging="284"/>
        <w:jc w:val="both"/>
      </w:pPr>
      <w:r w:rsidRPr="00273532">
        <w:t xml:space="preserve">обеспечение технологического контроля за соблюдением технологии производственного процесса и технологическими характеристиками оборудования; </w:t>
      </w:r>
    </w:p>
    <w:p w14:paraId="7DEAFE96" w14:textId="77777777" w:rsidR="00226CA8" w:rsidRPr="00273532" w:rsidRDefault="00226CA8" w:rsidP="00226CA8">
      <w:pPr>
        <w:pStyle w:val="Default"/>
        <w:numPr>
          <w:ilvl w:val="0"/>
          <w:numId w:val="2"/>
        </w:numPr>
        <w:spacing w:after="57"/>
        <w:ind w:left="284" w:hanging="284"/>
        <w:jc w:val="both"/>
      </w:pPr>
      <w:r w:rsidRPr="00273532">
        <w:t xml:space="preserve">применение пылеподавляющих технологий – гидроорошение </w:t>
      </w:r>
    </w:p>
    <w:p w14:paraId="3B35C318" w14:textId="77777777" w:rsidR="00226CA8" w:rsidRPr="00273532" w:rsidRDefault="00226CA8" w:rsidP="00226CA8">
      <w:pPr>
        <w:pStyle w:val="Default"/>
        <w:numPr>
          <w:ilvl w:val="0"/>
          <w:numId w:val="2"/>
        </w:numPr>
        <w:spacing w:after="57"/>
        <w:ind w:left="284" w:hanging="284"/>
        <w:jc w:val="both"/>
      </w:pPr>
      <w:r w:rsidRPr="00273532">
        <w:t xml:space="preserve">организация системы упорядоченного движения автотранспорта и техники на территории объекта; </w:t>
      </w:r>
    </w:p>
    <w:p w14:paraId="188A3A46" w14:textId="77777777" w:rsidR="00226CA8" w:rsidRPr="00273532" w:rsidRDefault="00226CA8" w:rsidP="00226CA8">
      <w:pPr>
        <w:pStyle w:val="Default"/>
        <w:numPr>
          <w:ilvl w:val="0"/>
          <w:numId w:val="2"/>
        </w:numPr>
        <w:spacing w:after="57"/>
        <w:ind w:left="284" w:hanging="284"/>
        <w:jc w:val="both"/>
      </w:pPr>
      <w:r w:rsidRPr="00273532">
        <w:t xml:space="preserve">контроль за объемами водопотребления и водоотведения; </w:t>
      </w:r>
    </w:p>
    <w:p w14:paraId="09EA5F02" w14:textId="77777777" w:rsidR="00226CA8" w:rsidRPr="00273532" w:rsidRDefault="00226CA8" w:rsidP="00226CA8">
      <w:pPr>
        <w:pStyle w:val="Default"/>
        <w:numPr>
          <w:ilvl w:val="0"/>
          <w:numId w:val="2"/>
        </w:numPr>
        <w:ind w:left="284" w:hanging="284"/>
        <w:jc w:val="both"/>
      </w:pPr>
      <w:r w:rsidRPr="00273532">
        <w:t xml:space="preserve">организация системы сбора и хранения отходов, образующихся при эксплуатации; </w:t>
      </w:r>
    </w:p>
    <w:p w14:paraId="7F4B7F74" w14:textId="77777777" w:rsidR="00226CA8" w:rsidRPr="00273532" w:rsidRDefault="00226CA8" w:rsidP="00226CA8">
      <w:pPr>
        <w:pStyle w:val="Default"/>
        <w:numPr>
          <w:ilvl w:val="0"/>
          <w:numId w:val="3"/>
        </w:numPr>
        <w:spacing w:after="57"/>
        <w:ind w:left="284" w:hanging="284"/>
        <w:jc w:val="both"/>
      </w:pPr>
      <w:r w:rsidRPr="00273532">
        <w:t xml:space="preserve">содержание отведенного земельного участка в состоянии, пригодном для дальнейшего использования его по назначению; </w:t>
      </w:r>
    </w:p>
    <w:p w14:paraId="0E657A08" w14:textId="77777777" w:rsidR="00226CA8" w:rsidRPr="00273532" w:rsidRDefault="00226CA8" w:rsidP="00226CA8">
      <w:pPr>
        <w:pStyle w:val="Default"/>
        <w:numPr>
          <w:ilvl w:val="0"/>
          <w:numId w:val="3"/>
        </w:numPr>
        <w:spacing w:after="57"/>
        <w:ind w:left="284" w:hanging="284"/>
        <w:jc w:val="both"/>
      </w:pPr>
      <w:r w:rsidRPr="00273532">
        <w:t xml:space="preserve">проведение озеленения и благоустройства территории предприятия; </w:t>
      </w:r>
    </w:p>
    <w:p w14:paraId="6607462B" w14:textId="77777777" w:rsidR="00226CA8" w:rsidRPr="00273532" w:rsidRDefault="00226CA8" w:rsidP="00226CA8">
      <w:pPr>
        <w:pStyle w:val="Default"/>
        <w:numPr>
          <w:ilvl w:val="0"/>
          <w:numId w:val="3"/>
        </w:numPr>
        <w:spacing w:after="57"/>
        <w:ind w:left="284" w:hanging="284"/>
        <w:jc w:val="both"/>
      </w:pPr>
      <w:r w:rsidRPr="00273532">
        <w:t xml:space="preserve">соблюдение установленных норм и правил природопользования; </w:t>
      </w:r>
    </w:p>
    <w:p w14:paraId="401BC17A" w14:textId="77777777" w:rsidR="00226CA8" w:rsidRPr="00273532" w:rsidRDefault="00226CA8" w:rsidP="00226CA8">
      <w:pPr>
        <w:pStyle w:val="Default"/>
        <w:numPr>
          <w:ilvl w:val="0"/>
          <w:numId w:val="3"/>
        </w:numPr>
        <w:spacing w:after="57"/>
        <w:ind w:left="284" w:hanging="284"/>
        <w:jc w:val="both"/>
      </w:pPr>
      <w:r w:rsidRPr="00273532">
        <w:t xml:space="preserve">экологическое сопровождение всех видов производственной деятельности; </w:t>
      </w:r>
    </w:p>
    <w:p w14:paraId="03DA47B5" w14:textId="77777777" w:rsidR="00226CA8" w:rsidRPr="00273532" w:rsidRDefault="00226CA8" w:rsidP="00226CA8">
      <w:pPr>
        <w:pStyle w:val="Default"/>
        <w:numPr>
          <w:ilvl w:val="0"/>
          <w:numId w:val="3"/>
        </w:numPr>
        <w:ind w:left="284" w:hanging="284"/>
        <w:jc w:val="both"/>
      </w:pPr>
      <w:r w:rsidRPr="00273532">
        <w:t xml:space="preserve">проведение просветительской работы экологического содержания в области бережного отношения и сохранения атмосферного воздуха, водных объектов, почв и земельных ресурсов, растительного и животного мира. </w:t>
      </w:r>
    </w:p>
    <w:p w14:paraId="67FD8AD2" w14:textId="77777777" w:rsidR="00226CA8" w:rsidRPr="00273532" w:rsidRDefault="00226CA8" w:rsidP="00226CA8">
      <w:pPr>
        <w:pStyle w:val="Default"/>
        <w:jc w:val="both"/>
      </w:pPr>
      <w:r w:rsidRPr="00273532">
        <w:t xml:space="preserve">Краткое описание мер по компенсации потерь биоразнообразия: </w:t>
      </w:r>
    </w:p>
    <w:p w14:paraId="04C3909B" w14:textId="77777777" w:rsidR="00226CA8" w:rsidRPr="00273532" w:rsidRDefault="00226CA8" w:rsidP="00226CA8">
      <w:pPr>
        <w:pStyle w:val="Default"/>
        <w:jc w:val="both"/>
      </w:pPr>
      <w:r w:rsidRPr="00273532">
        <w:t xml:space="preserve">Принятые проектные решения по реализации намечаемой деятельности не приведут к потере биоразнообразия и исчезновению отдельных видов представителей флоры и фауны. </w:t>
      </w:r>
    </w:p>
    <w:p w14:paraId="5D8F3684" w14:textId="77777777" w:rsidR="00226CA8" w:rsidRPr="00273532" w:rsidRDefault="00226CA8" w:rsidP="00226CA8">
      <w:pPr>
        <w:pStyle w:val="Default"/>
        <w:jc w:val="both"/>
      </w:pPr>
      <w:r w:rsidRPr="00273532">
        <w:t xml:space="preserve">Краткое описание возможных необратимых воздействий намечаемой деятельности на окружающую среду: </w:t>
      </w:r>
    </w:p>
    <w:p w14:paraId="5A2B463C" w14:textId="77777777" w:rsidR="00226CA8" w:rsidRPr="00273532" w:rsidRDefault="00226CA8" w:rsidP="00226CA8">
      <w:pPr>
        <w:pStyle w:val="Default"/>
        <w:jc w:val="both"/>
      </w:pPr>
      <w:r w:rsidRPr="00273532">
        <w:t xml:space="preserve">Оценка воздействия на окружающую среду показывает, что намечаемая деятельность не окажет критического или необратимого воздействия на окружающую среду территории, которая окажется под воздействием намечаемой деятельности. Предпосылок к потере устойчивости экологических систем района, проведения планируемых работ не установлено. Ожидаемые воздействия не приведут к необратимым изменениям экосистем. </w:t>
      </w:r>
    </w:p>
    <w:p w14:paraId="4932554C" w14:textId="77777777" w:rsidR="00226CA8" w:rsidRPr="00273532" w:rsidRDefault="00226CA8" w:rsidP="00226CA8">
      <w:pPr>
        <w:pStyle w:val="Default"/>
        <w:jc w:val="both"/>
      </w:pPr>
      <w:r w:rsidRPr="00273532">
        <w:t xml:space="preserve">Краткое описание способов и мер восстановления окружающей среды в случаях прекращения намечаемой деятельности: </w:t>
      </w:r>
    </w:p>
    <w:p w14:paraId="2AFF14DC" w14:textId="77777777" w:rsidR="00226CA8" w:rsidRPr="00273532" w:rsidRDefault="00226CA8" w:rsidP="00226CA8">
      <w:pPr>
        <w:pStyle w:val="Default"/>
        <w:jc w:val="both"/>
      </w:pPr>
      <w:r w:rsidRPr="00273532">
        <w:t xml:space="preserve">При прекращении намечаемой деятельности будут проведены следующие мероприятия: вывоз с территории отходов, бытовых стоков и т.п. согласно договоров; проведение технической и биологической рекультивации. </w:t>
      </w:r>
    </w:p>
    <w:p w14:paraId="16D00401" w14:textId="77777777" w:rsidR="00226CA8" w:rsidRPr="00273532" w:rsidRDefault="00226CA8" w:rsidP="00226CA8">
      <w:pPr>
        <w:pStyle w:val="Default"/>
        <w:jc w:val="both"/>
        <w:rPr>
          <w:i/>
        </w:rPr>
      </w:pPr>
      <w:r w:rsidRPr="00273532">
        <w:rPr>
          <w:i/>
        </w:rPr>
        <w:t>9) список источников информации, полученной в ходе выполнения оценки воздействия на окружающую среду.</w:t>
      </w:r>
    </w:p>
    <w:p w14:paraId="45366A29" w14:textId="77777777" w:rsidR="00226CA8" w:rsidRPr="00273532" w:rsidRDefault="00226CA8" w:rsidP="00226CA8">
      <w:pPr>
        <w:pStyle w:val="Default"/>
        <w:jc w:val="both"/>
      </w:pPr>
      <w:r w:rsidRPr="00273532">
        <w:t xml:space="preserve">Источники информации: действующие экологические, санитарно-гигиенические и другие нормы и правила Республики Казахстан; методологическая документация, действующая на территории Республики Казахстан; общедоступные источники информации в интернет-ресурсах официальных сайтов соответствующих ведомств, а также данные сайтов https://ecogosfond.kz/; https://www.kazhydromet.kz/ru/; https://stat.gov.kz/; https://adilet.zan.kz/rus; </w:t>
      </w:r>
      <w:r w:rsidR="006E1C32" w:rsidRPr="00273532">
        <w:t>https://ndbecology.gov.kz/</w:t>
      </w:r>
      <w:r w:rsidRPr="00273532">
        <w:t>.</w:t>
      </w:r>
    </w:p>
    <w:p w14:paraId="539391E4" w14:textId="77777777" w:rsidR="00C56A01" w:rsidRPr="00273532" w:rsidRDefault="00C56A01" w:rsidP="00226CA8">
      <w:pPr>
        <w:autoSpaceDE w:val="0"/>
        <w:autoSpaceDN w:val="0"/>
        <w:adjustRightInd w:val="0"/>
        <w:spacing w:after="0" w:line="240" w:lineRule="auto"/>
        <w:ind w:left="-284"/>
        <w:jc w:val="both"/>
        <w:rPr>
          <w:sz w:val="24"/>
          <w:szCs w:val="24"/>
        </w:rPr>
      </w:pPr>
    </w:p>
    <w:p w14:paraId="5F50C05A" w14:textId="2F855C26" w:rsidR="00EB36FC" w:rsidRPr="00273532" w:rsidRDefault="009D26CB" w:rsidP="00EB31D2">
      <w:pPr>
        <w:spacing w:after="0" w:line="240" w:lineRule="auto"/>
        <w:jc w:val="both"/>
        <w:rPr>
          <w:rFonts w:ascii="Times New Roman" w:hAnsi="Times New Roman" w:cs="Times New Roman"/>
          <w:color w:val="C00000"/>
          <w:sz w:val="24"/>
          <w:szCs w:val="24"/>
        </w:rPr>
      </w:pPr>
      <w:r w:rsidRPr="00273532">
        <w:rPr>
          <w:rFonts w:ascii="Arial" w:hAnsi="Arial" w:cs="Arial"/>
          <w:color w:val="869AB8"/>
          <w:sz w:val="24"/>
          <w:szCs w:val="24"/>
          <w:shd w:val="clear" w:color="auto" w:fill="FFFFFF"/>
        </w:rPr>
        <w:t xml:space="preserve">№ регистрации: </w:t>
      </w:r>
      <w:r w:rsidR="00273532" w:rsidRPr="00273532">
        <w:rPr>
          <w:rFonts w:ascii="Times New Roman" w:eastAsia="Times New Roman" w:hAnsi="Times New Roman" w:cs="Times New Roman"/>
          <w:sz w:val="24"/>
          <w:szCs w:val="24"/>
          <w:lang w:val="kk-KZ"/>
        </w:rPr>
        <w:t>090940001879</w:t>
      </w:r>
    </w:p>
    <w:sectPr w:rsidR="00EB36FC" w:rsidRPr="00273532" w:rsidSect="009F6E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1345"/>
    <w:multiLevelType w:val="hybridMultilevel"/>
    <w:tmpl w:val="0E506B3E"/>
    <w:lvl w:ilvl="0" w:tplc="04190001">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1" w15:restartNumberingAfterBreak="0">
    <w:nsid w:val="1E0146A5"/>
    <w:multiLevelType w:val="hybridMultilevel"/>
    <w:tmpl w:val="89F881D6"/>
    <w:lvl w:ilvl="0" w:tplc="04190001">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2" w15:restartNumberingAfterBreak="0">
    <w:nsid w:val="22AF5C04"/>
    <w:multiLevelType w:val="hybridMultilevel"/>
    <w:tmpl w:val="97CC07B6"/>
    <w:lvl w:ilvl="0" w:tplc="04190001">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56A01"/>
    <w:rsid w:val="000527E6"/>
    <w:rsid w:val="0008567C"/>
    <w:rsid w:val="000F4C98"/>
    <w:rsid w:val="00127CE7"/>
    <w:rsid w:val="001736E8"/>
    <w:rsid w:val="001A6681"/>
    <w:rsid w:val="00206D89"/>
    <w:rsid w:val="00226CA8"/>
    <w:rsid w:val="002539FC"/>
    <w:rsid w:val="00273532"/>
    <w:rsid w:val="00446199"/>
    <w:rsid w:val="004740E7"/>
    <w:rsid w:val="004B5987"/>
    <w:rsid w:val="004F1B93"/>
    <w:rsid w:val="00621DAA"/>
    <w:rsid w:val="0065188B"/>
    <w:rsid w:val="00653C4C"/>
    <w:rsid w:val="006A0046"/>
    <w:rsid w:val="006C24F4"/>
    <w:rsid w:val="006E1C32"/>
    <w:rsid w:val="006F11C2"/>
    <w:rsid w:val="0078502A"/>
    <w:rsid w:val="00831389"/>
    <w:rsid w:val="008346A6"/>
    <w:rsid w:val="00841D1E"/>
    <w:rsid w:val="009D26CB"/>
    <w:rsid w:val="009D6102"/>
    <w:rsid w:val="009F6E13"/>
    <w:rsid w:val="00A06193"/>
    <w:rsid w:val="00A422C6"/>
    <w:rsid w:val="00C00635"/>
    <w:rsid w:val="00C56A01"/>
    <w:rsid w:val="00CF4A0D"/>
    <w:rsid w:val="00D964B2"/>
    <w:rsid w:val="00E31645"/>
    <w:rsid w:val="00EB31D2"/>
    <w:rsid w:val="00EB36FC"/>
    <w:rsid w:val="00EE1EB7"/>
    <w:rsid w:val="00EF2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5DB5"/>
  <w15:docId w15:val="{C7A5DDAD-0B05-46B0-9801-F35C70B47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E13"/>
  </w:style>
  <w:style w:type="paragraph" w:styleId="2">
    <w:name w:val="heading 2"/>
    <w:basedOn w:val="a"/>
    <w:next w:val="a"/>
    <w:link w:val="20"/>
    <w:uiPriority w:val="9"/>
    <w:semiHidden/>
    <w:unhideWhenUsed/>
    <w:qFormat/>
    <w:rsid w:val="006C24F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C56A01"/>
    <w:pPr>
      <w:keepNext/>
      <w:spacing w:after="0" w:line="240" w:lineRule="auto"/>
      <w:jc w:val="center"/>
      <w:outlineLvl w:val="2"/>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56A01"/>
    <w:rPr>
      <w:rFonts w:ascii="Times New Roman" w:eastAsia="Times New Roman" w:hAnsi="Times New Roman" w:cs="Times New Roman"/>
      <w:sz w:val="28"/>
      <w:szCs w:val="20"/>
    </w:rPr>
  </w:style>
  <w:style w:type="paragraph" w:styleId="a3">
    <w:name w:val="List Paragraph"/>
    <w:aliases w:val="strich,2nd Tier Header,маркированный,Citation List,_список,текст ГЕО,список,Liste_LMM,Абзац,PD_Bullet,Заголовок2,не удалять,Список_Заголовок_2,Reference list,Bullets H1/2,Рис. Х."/>
    <w:basedOn w:val="a"/>
    <w:link w:val="a4"/>
    <w:uiPriority w:val="34"/>
    <w:qFormat/>
    <w:rsid w:val="00C56A01"/>
    <w:pPr>
      <w:spacing w:after="120" w:line="240" w:lineRule="auto"/>
      <w:ind w:left="720" w:firstLine="709"/>
      <w:jc w:val="both"/>
    </w:pPr>
    <w:rPr>
      <w:rFonts w:ascii="Times New Roman" w:eastAsia="Calibri" w:hAnsi="Times New Roman" w:cs="Times New Roman"/>
      <w:sz w:val="28"/>
      <w:lang w:eastAsia="en-US"/>
    </w:rPr>
  </w:style>
  <w:style w:type="paragraph" w:customStyle="1" w:styleId="Default">
    <w:name w:val="Default"/>
    <w:link w:val="Default0"/>
    <w:qFormat/>
    <w:rsid w:val="00C56A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4">
    <w:name w:val="Абзац списка Знак"/>
    <w:aliases w:val="strich Знак,2nd Tier Header Знак,маркированный Знак,Citation List Знак,_список Знак,текст ГЕО Знак,список Знак,Liste_LMM Знак,Абзац Знак,PD_Bullet Знак,Заголовок2 Знак,не удалять Знак,Список_Заголовок_2 Знак,Reference list Знак"/>
    <w:link w:val="a3"/>
    <w:uiPriority w:val="34"/>
    <w:locked/>
    <w:rsid w:val="00C56A01"/>
    <w:rPr>
      <w:rFonts w:ascii="Times New Roman" w:eastAsia="Calibri" w:hAnsi="Times New Roman" w:cs="Times New Roman"/>
      <w:sz w:val="28"/>
      <w:lang w:eastAsia="en-US"/>
    </w:rPr>
  </w:style>
  <w:style w:type="paragraph" w:customStyle="1" w:styleId="1">
    <w:name w:val="Название1"/>
    <w:basedOn w:val="a"/>
    <w:qFormat/>
    <w:rsid w:val="00C56A01"/>
    <w:pPr>
      <w:spacing w:after="0" w:line="240" w:lineRule="auto"/>
      <w:jc w:val="center"/>
    </w:pPr>
    <w:rPr>
      <w:rFonts w:ascii="Times New Roman" w:eastAsia="Times New Roman" w:hAnsi="Times New Roman" w:cs="Times New Roman"/>
      <w:sz w:val="28"/>
      <w:szCs w:val="20"/>
    </w:rPr>
  </w:style>
  <w:style w:type="character" w:customStyle="1" w:styleId="Default0">
    <w:name w:val="Default Знак"/>
    <w:link w:val="Default"/>
    <w:locked/>
    <w:rsid w:val="00C56A01"/>
    <w:rPr>
      <w:rFonts w:ascii="Times New Roman" w:eastAsia="Times New Roman" w:hAnsi="Times New Roman" w:cs="Times New Roman"/>
      <w:color w:val="000000"/>
      <w:sz w:val="24"/>
      <w:szCs w:val="24"/>
    </w:rPr>
  </w:style>
  <w:style w:type="paragraph" w:styleId="a5">
    <w:name w:val="No Spacing"/>
    <w:aliases w:val="Для таблиц"/>
    <w:link w:val="a6"/>
    <w:uiPriority w:val="1"/>
    <w:qFormat/>
    <w:rsid w:val="00C56A01"/>
    <w:pPr>
      <w:spacing w:after="0" w:line="240" w:lineRule="auto"/>
    </w:pPr>
    <w:rPr>
      <w:rFonts w:ascii="Calibri" w:eastAsia="Calibri" w:hAnsi="Calibri" w:cs="Times New Roman"/>
      <w:lang w:eastAsia="en-US"/>
    </w:rPr>
  </w:style>
  <w:style w:type="character" w:customStyle="1" w:styleId="a6">
    <w:name w:val="Без интервала Знак"/>
    <w:aliases w:val="Для таблиц Знак"/>
    <w:link w:val="a5"/>
    <w:uiPriority w:val="1"/>
    <w:rsid w:val="00C56A01"/>
    <w:rPr>
      <w:rFonts w:ascii="Calibri" w:eastAsia="Calibri" w:hAnsi="Calibri" w:cs="Times New Roman"/>
      <w:lang w:eastAsia="en-US"/>
    </w:rPr>
  </w:style>
  <w:style w:type="character" w:customStyle="1" w:styleId="10">
    <w:name w:val="Основной текст Знак1"/>
    <w:uiPriority w:val="99"/>
    <w:rsid w:val="00C56A01"/>
    <w:rPr>
      <w:rFonts w:ascii="Arial" w:hAnsi="Arial" w:cs="Arial"/>
      <w:sz w:val="19"/>
      <w:szCs w:val="19"/>
      <w:shd w:val="clear" w:color="auto" w:fill="FFFFFF"/>
    </w:rPr>
  </w:style>
  <w:style w:type="character" w:styleId="a7">
    <w:name w:val="Hyperlink"/>
    <w:uiPriority w:val="99"/>
    <w:qFormat/>
    <w:rsid w:val="00226CA8"/>
    <w:rPr>
      <w:color w:val="0000FF"/>
      <w:u w:val="single"/>
    </w:rPr>
  </w:style>
  <w:style w:type="paragraph" w:styleId="a8">
    <w:name w:val="Body Text"/>
    <w:aliases w:val="Основной текст Знак Знак Знак Знак Знак Знак Знак Знак Знак Знак Знак Знак,Основной текст Знак Знак Знак Знак,Основной текст Знак Знак Знак Знак Знак Знак Знак,Основной текст Знак Знак,Основной текст Знак1 Знак,gl"/>
    <w:basedOn w:val="a"/>
    <w:link w:val="a9"/>
    <w:qFormat/>
    <w:rsid w:val="00831389"/>
    <w:pPr>
      <w:spacing w:after="0" w:line="240" w:lineRule="auto"/>
      <w:jc w:val="center"/>
    </w:pPr>
    <w:rPr>
      <w:rFonts w:ascii="Times New Roman" w:eastAsia="Times New Roman" w:hAnsi="Times New Roman" w:cs="Times New Roman"/>
      <w:sz w:val="26"/>
      <w:szCs w:val="20"/>
      <w:u w:val="single"/>
    </w:rPr>
  </w:style>
  <w:style w:type="character" w:customStyle="1" w:styleId="a9">
    <w:name w:val="Основной текст Знак"/>
    <w:aliases w:val="Основной текст Знак Знак Знак Знак Знак Знак Знак Знак Знак Знак Знак Знак Знак,Основной текст Знак Знак Знак Знак Знак,Основной текст Знак Знак Знак Знак Знак Знак Знак Знак,Основной текст Знак Знак Знак,gl Знак"/>
    <w:basedOn w:val="a0"/>
    <w:link w:val="a8"/>
    <w:rsid w:val="00831389"/>
    <w:rPr>
      <w:rFonts w:ascii="Times New Roman" w:eastAsia="Times New Roman" w:hAnsi="Times New Roman" w:cs="Times New Roman"/>
      <w:sz w:val="26"/>
      <w:szCs w:val="20"/>
      <w:u w:val="single"/>
    </w:rPr>
  </w:style>
  <w:style w:type="character" w:customStyle="1" w:styleId="20">
    <w:name w:val="Заголовок 2 Знак"/>
    <w:basedOn w:val="a0"/>
    <w:link w:val="2"/>
    <w:uiPriority w:val="9"/>
    <w:semiHidden/>
    <w:rsid w:val="006C24F4"/>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6C24F4"/>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C24F4"/>
    <w:pPr>
      <w:widowControl w:val="0"/>
      <w:autoSpaceDE w:val="0"/>
      <w:autoSpaceDN w:val="0"/>
      <w:spacing w:after="0" w:line="240" w:lineRule="auto"/>
    </w:pPr>
    <w:rPr>
      <w:rFonts w:ascii="Times New Roman" w:eastAsia="Times New Roman" w:hAnsi="Times New Roman" w:cs="Times New Roman"/>
      <w:lang w:bidi="ru-RU"/>
    </w:rPr>
  </w:style>
  <w:style w:type="table" w:customStyle="1" w:styleId="TableNormal1">
    <w:name w:val="Table Normal1"/>
    <w:uiPriority w:val="2"/>
    <w:semiHidden/>
    <w:unhideWhenUsed/>
    <w:qFormat/>
    <w:rsid w:val="00273532"/>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454</TotalTime>
  <Pages>5</Pages>
  <Words>2456</Words>
  <Characters>14004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Gaziza</cp:lastModifiedBy>
  <cp:revision>15</cp:revision>
  <dcterms:created xsi:type="dcterms:W3CDTF">2023-03-09T09:44:00Z</dcterms:created>
  <dcterms:modified xsi:type="dcterms:W3CDTF">2026-02-12T10:24:00Z</dcterms:modified>
</cp:coreProperties>
</file>