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9F7F" w14:textId="473782FF" w:rsidR="00804266" w:rsidRPr="00804266" w:rsidRDefault="00804266" w:rsidP="00804266">
      <w:pPr>
        <w:keepNext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x-none"/>
        </w:rPr>
        <w:t>НЕТЕХНИЧЕСКОЕ РЕЗЮМЕ</w:t>
      </w:r>
    </w:p>
    <w:p w14:paraId="2C18A580" w14:textId="2285829C" w:rsidR="00804266" w:rsidRPr="00804266" w:rsidRDefault="00804266" w:rsidP="00804266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Месторождение Таган Южный расположено в юго-восточной части Прикаспийской низменности в междуречье Сагиз и Эмба, а в административном отношении на территории Жылыойского района Атырауской области Республики Казахстан в 300 км к востоку от областного центра г. Атырау.</w:t>
      </w:r>
    </w:p>
    <w:p w14:paraId="4891FB96" w14:textId="56B5716C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Ближайшие населённые пункты </w:t>
      </w:r>
      <w:proofErr w:type="spellStart"/>
      <w:r w:rsidR="00DF0258">
        <w:rPr>
          <w:rFonts w:ascii="Times New Roman" w:eastAsia="Calibri" w:hAnsi="Times New Roman" w:cs="Times New Roman"/>
          <w:sz w:val="24"/>
          <w:szCs w:val="24"/>
          <w:lang w:eastAsia="ko-KR"/>
        </w:rPr>
        <w:t>с.Аккиизтогай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находится на расстоянии </w:t>
      </w:r>
      <w:r w:rsidR="00DF0258">
        <w:rPr>
          <w:rFonts w:ascii="Times New Roman" w:eastAsia="Calibri" w:hAnsi="Times New Roman" w:cs="Times New Roman"/>
          <w:sz w:val="24"/>
          <w:szCs w:val="24"/>
          <w:lang w:eastAsia="ko-KR"/>
        </w:rPr>
        <w:t>74</w:t>
      </w:r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км. В радиусе 40-60 км находится соседние нефтегазовые месторождение –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Кенбай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Орысказган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Северный Жантерек,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Жубантам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Кырыкмылтык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, Копа,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Таскудук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и др.</w:t>
      </w:r>
    </w:p>
    <w:p w14:paraId="236D8C66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Район работ характеризуется пустынно-степным равнинным рельефом, осложненными отдельными холмами, грядами и возвышенностями. Абсолютные отметки местности колеблется в пределах 45м до 247м. </w:t>
      </w:r>
    </w:p>
    <w:p w14:paraId="3CAFF5E7" w14:textId="77777777" w:rsidR="00804266" w:rsidRPr="00804266" w:rsidRDefault="00804266" w:rsidP="0080426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Гидрографическая сеть района не развита, река Эмба протекает далеко за пределами участка в 65 км южнее.  Вода здесь обычно соленая и пригодна только для технических нужд. Климат района резко континентальный – с сухим, жарким летом и холодной, малоснежной зимой. </w:t>
      </w:r>
    </w:p>
    <w:p w14:paraId="45797862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ko-KR"/>
        </w:rPr>
      </w:pPr>
      <w:r w:rsidRPr="00804266">
        <w:rPr>
          <w:rFonts w:ascii="Times New Roman" w:eastAsia="Calibri" w:hAnsi="Times New Roman" w:cs="Times New Roman"/>
          <w:sz w:val="24"/>
          <w:szCs w:val="24"/>
          <w:lang w:eastAsia="ko-KR"/>
        </w:rPr>
        <w:t>Годовой перепад температур составляет 70° (от +40°С летом до -30°С зимой). Количество выпадающих осадков 200 мм в год. В течение всего года преобладают ветры, дующие с северо-востока и востока. Во время дождей, часть района заболачивается и становится труднопроходимой для автотранспорта.</w:t>
      </w:r>
    </w:p>
    <w:p w14:paraId="600C1CCB" w14:textId="77777777" w:rsidR="00804266" w:rsidRDefault="00804266" w:rsidP="0080426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804266">
        <w:rPr>
          <w:rFonts w:ascii="Times New Roman" w:eastAsia="Calibri" w:hAnsi="Times New Roman" w:cs="Times New Roman"/>
          <w:sz w:val="24"/>
        </w:rPr>
        <w:t>Растительный покров характеризуется солончаковыми травами. Животный мир крайне беден и характерен для</w:t>
      </w:r>
      <w:r w:rsidRPr="00804266">
        <w:rPr>
          <w:rFonts w:ascii="Times New Roman" w:eastAsia="Calibri" w:hAnsi="Times New Roman" w:cs="Times New Roman"/>
          <w:sz w:val="24"/>
          <w:lang w:val="kk-KZ"/>
        </w:rPr>
        <w:t xml:space="preserve"> </w:t>
      </w:r>
      <w:r w:rsidRPr="00804266">
        <w:rPr>
          <w:rFonts w:ascii="Times New Roman" w:eastAsia="Calibri" w:hAnsi="Times New Roman" w:cs="Times New Roman"/>
          <w:sz w:val="24"/>
        </w:rPr>
        <w:t>полупустынь.</w:t>
      </w:r>
      <w:r w:rsidRPr="00804266">
        <w:rPr>
          <w:rFonts w:ascii="Times New Roman" w:eastAsia="Calibri" w:hAnsi="Times New Roman" w:cs="Times New Roman"/>
          <w:sz w:val="24"/>
          <w:lang w:val="kk-KZ"/>
        </w:rPr>
        <w:t xml:space="preserve"> </w:t>
      </w:r>
    </w:p>
    <w:p w14:paraId="72AE1029" w14:textId="28262BDF" w:rsidR="00DF0258" w:rsidRPr="00DF0258" w:rsidRDefault="00DF0258" w:rsidP="00DF0258">
      <w:pPr>
        <w:tabs>
          <w:tab w:val="left" w:pos="408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DF02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Координаты угловых точек </w:t>
      </w:r>
      <w:r w:rsidRPr="00DF02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eastAsia="ru-RU"/>
        </w:rPr>
        <w:t>месторождения</w:t>
      </w:r>
      <w:r w:rsidRPr="00DF02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F02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 w:eastAsia="ru-RU"/>
        </w:rPr>
        <w:t>Таган Южный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0"/>
        <w:gridCol w:w="4288"/>
        <w:gridCol w:w="3077"/>
      </w:tblGrid>
      <w:tr w:rsidR="00DF0258" w:rsidRPr="00DF0258" w14:paraId="61093CC8" w14:textId="77777777" w:rsidTr="00C1712B">
        <w:trPr>
          <w:trHeight w:val="267"/>
          <w:jc w:val="center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14:paraId="1AAEE18B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№№</w:t>
            </w:r>
          </w:p>
        </w:tc>
        <w:tc>
          <w:tcPr>
            <w:tcW w:w="7365" w:type="dxa"/>
            <w:gridSpan w:val="2"/>
            <w:shd w:val="clear" w:color="auto" w:fill="FFFFFF"/>
            <w:vAlign w:val="center"/>
            <w:hideMark/>
          </w:tcPr>
          <w:p w14:paraId="420F53A8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Координаты горного отвода</w:t>
            </w:r>
          </w:p>
        </w:tc>
      </w:tr>
      <w:tr w:rsidR="00DF0258" w:rsidRPr="00DF0258" w14:paraId="44AEE530" w14:textId="77777777" w:rsidTr="00C1712B">
        <w:trPr>
          <w:trHeight w:val="405"/>
          <w:jc w:val="center"/>
        </w:trPr>
        <w:tc>
          <w:tcPr>
            <w:tcW w:w="1980" w:type="dxa"/>
            <w:vMerge/>
            <w:shd w:val="clear" w:color="auto" w:fill="FFFFFF"/>
            <w:vAlign w:val="center"/>
          </w:tcPr>
          <w:p w14:paraId="3A6D9BF3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8" w:type="dxa"/>
            <w:shd w:val="clear" w:color="auto" w:fill="FFFFFF"/>
            <w:vAlign w:val="center"/>
            <w:hideMark/>
          </w:tcPr>
          <w:p w14:paraId="1A048435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Северная широта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3A50B14F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Восточная широта</w:t>
            </w:r>
          </w:p>
        </w:tc>
      </w:tr>
      <w:tr w:rsidR="00DF0258" w:rsidRPr="00DF0258" w14:paraId="17426771" w14:textId="77777777" w:rsidTr="00C1712B">
        <w:trPr>
          <w:trHeight w:val="261"/>
          <w:jc w:val="center"/>
        </w:trPr>
        <w:tc>
          <w:tcPr>
            <w:tcW w:w="1980" w:type="dxa"/>
            <w:vAlign w:val="center"/>
          </w:tcPr>
          <w:p w14:paraId="049B32D7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_Hlk188027636"/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88" w:type="dxa"/>
            <w:vAlign w:val="center"/>
          </w:tcPr>
          <w:p w14:paraId="50FA11C2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1" w:name="_Hlk170917244"/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47°42'0,00"</w:t>
            </w:r>
          </w:p>
        </w:tc>
        <w:tc>
          <w:tcPr>
            <w:tcW w:w="3077" w:type="dxa"/>
            <w:vAlign w:val="center"/>
          </w:tcPr>
          <w:p w14:paraId="24882D66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54°49'50"</w:t>
            </w:r>
          </w:p>
        </w:tc>
      </w:tr>
      <w:tr w:rsidR="00DF0258" w:rsidRPr="00DF0258" w14:paraId="330EEBFF" w14:textId="77777777" w:rsidTr="00C1712B">
        <w:trPr>
          <w:trHeight w:val="337"/>
          <w:jc w:val="center"/>
        </w:trPr>
        <w:tc>
          <w:tcPr>
            <w:tcW w:w="1980" w:type="dxa"/>
            <w:vAlign w:val="center"/>
          </w:tcPr>
          <w:p w14:paraId="6987152B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88" w:type="dxa"/>
            <w:vAlign w:val="center"/>
          </w:tcPr>
          <w:p w14:paraId="7E43F885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47°43'20,00"</w:t>
            </w:r>
          </w:p>
        </w:tc>
        <w:tc>
          <w:tcPr>
            <w:tcW w:w="3077" w:type="dxa"/>
            <w:vAlign w:val="center"/>
          </w:tcPr>
          <w:p w14:paraId="10A207B9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54°50'5,0"</w:t>
            </w:r>
          </w:p>
        </w:tc>
      </w:tr>
      <w:tr w:rsidR="00DF0258" w:rsidRPr="00DF0258" w14:paraId="0090B003" w14:textId="77777777" w:rsidTr="00C1712B">
        <w:trPr>
          <w:trHeight w:val="337"/>
          <w:jc w:val="center"/>
        </w:trPr>
        <w:tc>
          <w:tcPr>
            <w:tcW w:w="1980" w:type="dxa"/>
            <w:vAlign w:val="center"/>
          </w:tcPr>
          <w:p w14:paraId="5E805A6B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88" w:type="dxa"/>
            <w:vAlign w:val="center"/>
          </w:tcPr>
          <w:p w14:paraId="7D19B154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47°42'55,00"</w:t>
            </w:r>
          </w:p>
        </w:tc>
        <w:tc>
          <w:tcPr>
            <w:tcW w:w="3077" w:type="dxa"/>
            <w:vAlign w:val="center"/>
          </w:tcPr>
          <w:p w14:paraId="5DB4EA63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54°51' 5,0"</w:t>
            </w:r>
          </w:p>
        </w:tc>
      </w:tr>
      <w:tr w:rsidR="00DF0258" w:rsidRPr="00DF0258" w14:paraId="2162F550" w14:textId="77777777" w:rsidTr="00C1712B">
        <w:trPr>
          <w:trHeight w:val="337"/>
          <w:jc w:val="center"/>
        </w:trPr>
        <w:tc>
          <w:tcPr>
            <w:tcW w:w="1980" w:type="dxa"/>
            <w:vAlign w:val="center"/>
          </w:tcPr>
          <w:p w14:paraId="49BD009D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88" w:type="dxa"/>
            <w:vAlign w:val="center"/>
          </w:tcPr>
          <w:p w14:paraId="72CD503D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47°42’10,00"</w:t>
            </w:r>
          </w:p>
        </w:tc>
        <w:tc>
          <w:tcPr>
            <w:tcW w:w="3077" w:type="dxa"/>
            <w:vAlign w:val="center"/>
          </w:tcPr>
          <w:p w14:paraId="498C2B39" w14:textId="77777777" w:rsidR="00DF0258" w:rsidRPr="00DF0258" w:rsidRDefault="00DF0258" w:rsidP="00DF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258">
              <w:rPr>
                <w:rFonts w:ascii="Times New Roman" w:eastAsia="Times New Roman" w:hAnsi="Times New Roman" w:cs="Times New Roman"/>
                <w:lang w:val="kk-KZ" w:eastAsia="ru-RU"/>
              </w:rPr>
              <w:t>54°50’30"</w:t>
            </w:r>
          </w:p>
        </w:tc>
      </w:tr>
      <w:bookmarkEnd w:id="0"/>
      <w:bookmarkEnd w:id="1"/>
    </w:tbl>
    <w:p w14:paraId="704F82E1" w14:textId="77777777" w:rsidR="00DF0258" w:rsidRPr="00804266" w:rsidRDefault="00DF0258" w:rsidP="00804266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4BB985BE" w14:textId="77777777" w:rsidR="00804266" w:rsidRPr="00804266" w:rsidRDefault="00804266" w:rsidP="008042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об инициаторе намечаемой деятельности, его контактные данные</w:t>
      </w:r>
    </w:p>
    <w:p w14:paraId="274C9661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Инициатор намечаемой деятельности: ТОО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</w:rPr>
        <w:t>Pangea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4266">
        <w:rPr>
          <w:rFonts w:ascii="Times New Roman" w:eastAsia="Calibri" w:hAnsi="Times New Roman" w:cs="Times New Roman"/>
          <w:sz w:val="24"/>
          <w:szCs w:val="24"/>
        </w:rPr>
        <w:t>Еngineering</w:t>
      </w:r>
      <w:proofErr w:type="spellEnd"/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», РК, г. Алматы, Бостандыкский район, Проспект Аль-Фараби, дом  №21, офис 603; БИН 130640011667, Директор – Ни А.А. Тел:  + 7 701 757 47 89.Эл. адрес: info@pangea.kz </w:t>
      </w:r>
    </w:p>
    <w:p w14:paraId="4031BE3C" w14:textId="77777777" w:rsidR="00804266" w:rsidRPr="00804266" w:rsidRDefault="00804266" w:rsidP="0080426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sz w:val="24"/>
          <w:szCs w:val="24"/>
        </w:rPr>
        <w:t>Краткое описание намечаемой деятельности</w:t>
      </w:r>
    </w:p>
    <w:p w14:paraId="4F5BEA13" w14:textId="77777777" w:rsidR="00804266" w:rsidRPr="00804266" w:rsidRDefault="00804266" w:rsidP="00804266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Намечаемая деятельность предусматривает 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«Проект пробной эксплуатации месторождения Таган Южный».</w:t>
      </w:r>
    </w:p>
    <w:p w14:paraId="142FB26C" w14:textId="77777777" w:rsidR="00804266" w:rsidRPr="00804266" w:rsidRDefault="00804266" w:rsidP="00804266">
      <w:pPr>
        <w:shd w:val="clear" w:color="auto" w:fill="FFFFFF"/>
        <w:tabs>
          <w:tab w:val="left" w:pos="709"/>
        </w:tabs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настоящего проекта является оценка добычных возможностей продуктивных горизонтов месторождения и получение дополнительной геолого-геофизической информации для составления подсчета запасов и проекта разработки месторождения.</w:t>
      </w:r>
    </w:p>
    <w:p w14:paraId="04DC92B5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состоянию на дату проекта на месторождении пробурено 10 скважин. Из них 4 разведочные скважин (№№ </w:t>
      </w:r>
      <w:r w:rsidRPr="00804266">
        <w:rPr>
          <w:rFonts w:ascii="Times New Roman" w:eastAsia="Calibri" w:hAnsi="Times New Roman" w:cs="Times New Roman"/>
          <w:lang w:val="kk-KZ"/>
        </w:rPr>
        <w:t>Г-1, Г-2, Г-3, Г-4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6 </w:t>
      </w:r>
      <w:r w:rsidRPr="00804266">
        <w:rPr>
          <w:rFonts w:ascii="Times New Roman" w:eastAsia="Calibri" w:hAnsi="Times New Roman" w:cs="Times New Roman"/>
          <w:lang w:val="kk-KZ"/>
        </w:rPr>
        <w:t xml:space="preserve">опережающе - добывающие скважины 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(№№ </w:t>
      </w:r>
      <w:r w:rsidRPr="00804266">
        <w:rPr>
          <w:rFonts w:ascii="Times New Roman" w:eastAsia="Calibri" w:hAnsi="Times New Roman" w:cs="Times New Roman"/>
          <w:lang w:val="kk-KZ"/>
        </w:rPr>
        <w:t>103, 104, 105, 109, ТЮ-1, ТЮ-2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CF4E972" w14:textId="77777777" w:rsidR="00804266" w:rsidRPr="00804266" w:rsidRDefault="00804266" w:rsidP="0080426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добывающем фонде в консервации находится 6 скважин №№ </w:t>
      </w:r>
      <w:r w:rsidRPr="00804266">
        <w:rPr>
          <w:rFonts w:ascii="Times New Roman" w:eastAsia="Calibri" w:hAnsi="Times New Roman" w:cs="Times New Roman"/>
          <w:lang w:val="kk-KZ"/>
        </w:rPr>
        <w:t>103, 104, 105, 109, ТЮ-1, ТЮ-2.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Остальные скважины 4 находятся в ликвидированном фонде по геологическим причинам.</w:t>
      </w:r>
    </w:p>
    <w:p w14:paraId="7AAC7D06" w14:textId="77777777" w:rsidR="00804266" w:rsidRPr="00804266" w:rsidRDefault="00804266" w:rsidP="0080426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Максимальная годовая добыча нефти составит 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8,5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т, максимальная добыча жидкости </w:t>
      </w:r>
      <w:r w:rsidRPr="0080426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11,1 т</w:t>
      </w:r>
      <w:proofErr w:type="spellStart"/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ыс</w:t>
      </w:r>
      <w:proofErr w:type="spellEnd"/>
      <w:r w:rsidRPr="00804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т.</w:t>
      </w:r>
    </w:p>
    <w:p w14:paraId="46453B60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04266">
        <w:rPr>
          <w:rFonts w:ascii="Times New Roman" w:eastAsia="SimSun" w:hAnsi="Times New Roman" w:cs="Times New Roman"/>
          <w:sz w:val="24"/>
          <w:szCs w:val="24"/>
          <w:lang w:eastAsia="ru-RU"/>
        </w:rPr>
        <w:t>На основании анализа геолого-геофизических данных по месторождению рекомендуется проведение следующих мероприятий по доразведке:</w:t>
      </w:r>
    </w:p>
    <w:p w14:paraId="6903B6CD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04266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Оценочная скважина </w:t>
      </w:r>
      <w:proofErr w:type="spellStart"/>
      <w:r w:rsidRPr="00804266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Оц</w:t>
      </w:r>
      <w:proofErr w:type="spellEnd"/>
      <w:r w:rsidRPr="00804266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 ТЮ-7</w:t>
      </w:r>
      <w:r w:rsidRPr="0080426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рекомендуется к бурению в 2028 г. на блоке III горизонта J2-II. Цель бурения скважины — подтверждение промышленной нефтеносности залежи и уточнение геолого-физических характеристик продуктивных коллекторов.</w:t>
      </w:r>
    </w:p>
    <w:p w14:paraId="4E88CA03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804266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Скважина №105</w:t>
      </w:r>
      <w:r w:rsidRPr="0080426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— рекомендуется проведение расконсервации с последующим испытанием и опробованием в горизонте J2-II, а также выполнением ПТОС. Рекомендуется проведение опробования на скважинах №№103, ТЮ-1, ТЮ-2, ТЮ-4, ТЮ-6.</w:t>
      </w:r>
    </w:p>
    <w:p w14:paraId="70BAB25F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07099846"/>
      <w:r w:rsidRPr="008042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начало реализации работ планируется в июле 2026 г. Завершение периода пробной эксплуатации запланировано на июль 2029 г.</w:t>
      </w:r>
    </w:p>
    <w:bookmarkEnd w:id="2"/>
    <w:p w14:paraId="4559EC2F" w14:textId="77777777" w:rsidR="00804266" w:rsidRPr="00804266" w:rsidRDefault="00804266" w:rsidP="008042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sz w:val="24"/>
          <w:szCs w:val="24"/>
        </w:rPr>
        <w:t>Краткое описание существенных деятельности на окружающую среду, включая воздействия природные компоненты и иные объекты</w:t>
      </w:r>
    </w:p>
    <w:p w14:paraId="25C6A2B7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Учитывая прогнозные концентрации химического загрязнения атмосферы, результаты расчета рассеивания приземных концентраций загрязняющих веществ в атмосферном воздухе, существенных воздействий на жизнь и здоровье людей, условия их проживания и деятельности при осуществлении проектируемых работ оказывать не будет. В связи с тем, что территория участка расположена на значительном расстоянии от селитебных зон воздействия на биоразнообразие района (в том числе растительный и животный мир, генетические ресурсы, природные ареалы растений и диких животных, пути миграции диких животных, экосистемы) оказываться не будет. Не значительное воздействия будет оказываться на техногенные нарушенные земли, расположенные смежно с рассматриваемой территорией в результате химического воздействия предприятия на атмосферный воздух. Изъятие земель не предусматривается. </w:t>
      </w:r>
    </w:p>
    <w:p w14:paraId="505CFF93" w14:textId="77777777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В результате производственной деятельности воздействие на поверхностные и подземные воды оказываться не будет. Сброса сточных вод не предусмотрено. </w:t>
      </w:r>
    </w:p>
    <w:p w14:paraId="2B5303E5" w14:textId="10871AE7" w:rsidR="00BA7604" w:rsidRPr="00BA7604" w:rsidRDefault="00BA7604" w:rsidP="00BA760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7604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объекта как источника загрязнения атмосферного воздуха</w:t>
      </w:r>
    </w:p>
    <w:p w14:paraId="02F63ED1" w14:textId="77777777" w:rsidR="00BA7604" w:rsidRPr="00BA7604" w:rsidRDefault="00BA7604" w:rsidP="00BA7604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BA7604">
        <w:rPr>
          <w:rFonts w:ascii="Times New Roman" w:eastAsia="Calibri" w:hAnsi="Times New Roman" w:cs="Times New Roman"/>
        </w:rPr>
        <w:t>При пробной эксплуатации месторождения источниками воздействия на атмосферный</w:t>
      </w:r>
      <w:r w:rsidRPr="00BA7604">
        <w:rPr>
          <w:rFonts w:ascii="Times New Roman" w:eastAsia="Calibri" w:hAnsi="Times New Roman" w:cs="Times New Roman"/>
          <w:lang w:val="kk-KZ"/>
        </w:rPr>
        <w:t xml:space="preserve"> </w:t>
      </w:r>
      <w:r w:rsidRPr="00BA7604">
        <w:rPr>
          <w:rFonts w:ascii="Times New Roman" w:eastAsia="Calibri" w:hAnsi="Times New Roman" w:cs="Times New Roman"/>
        </w:rPr>
        <w:t>воздух будет технологическое оборудование, установки, системы и сооружения основного</w:t>
      </w:r>
      <w:r w:rsidRPr="00BA7604">
        <w:rPr>
          <w:rFonts w:ascii="Times New Roman" w:eastAsia="Calibri" w:hAnsi="Times New Roman" w:cs="Times New Roman"/>
          <w:lang w:val="kk-KZ"/>
        </w:rPr>
        <w:t xml:space="preserve"> </w:t>
      </w:r>
      <w:r w:rsidRPr="00BA7604">
        <w:rPr>
          <w:rFonts w:ascii="Times New Roman" w:eastAsia="Calibri" w:hAnsi="Times New Roman" w:cs="Times New Roman"/>
        </w:rPr>
        <w:t>и вспомогательного производства, необходимые для добычи, сбора и транспорта</w:t>
      </w:r>
      <w:r w:rsidRPr="00BA7604">
        <w:rPr>
          <w:rFonts w:ascii="Times New Roman" w:eastAsia="Calibri" w:hAnsi="Times New Roman" w:cs="Times New Roman"/>
          <w:lang w:val="kk-KZ"/>
        </w:rPr>
        <w:t xml:space="preserve"> </w:t>
      </w:r>
      <w:r w:rsidRPr="00BA7604">
        <w:rPr>
          <w:rFonts w:ascii="Times New Roman" w:eastAsia="Calibri" w:hAnsi="Times New Roman" w:cs="Times New Roman"/>
        </w:rPr>
        <w:t>продукции.</w:t>
      </w:r>
    </w:p>
    <w:p w14:paraId="4BA3FEA6" w14:textId="77777777" w:rsidR="00BA7604" w:rsidRPr="00BA7604" w:rsidRDefault="00BA7604" w:rsidP="00BA7604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BA7604">
        <w:rPr>
          <w:rFonts w:ascii="Times New Roman" w:hAnsi="Times New Roman" w:cs="Times New Roman"/>
        </w:rPr>
        <w:t>На период при пробной эксплуатации загрязнение атмосферы предполагается в результате выделения:</w:t>
      </w:r>
    </w:p>
    <w:p w14:paraId="6D6CF7AD" w14:textId="77777777" w:rsidR="00BA7604" w:rsidRPr="00BA7604" w:rsidRDefault="00BA7604" w:rsidP="00BA760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A7604">
        <w:rPr>
          <w:rFonts w:ascii="Times New Roman" w:hAnsi="Times New Roman" w:cs="Times New Roman"/>
        </w:rPr>
        <w:t xml:space="preserve">выхлопных газов при работе двигателей внутреннего сгорания дизельных установок, устьевых нагревателей </w:t>
      </w:r>
      <w:proofErr w:type="spellStart"/>
      <w:r w:rsidRPr="00BA7604">
        <w:rPr>
          <w:rFonts w:ascii="Times New Roman" w:hAnsi="Times New Roman" w:cs="Times New Roman"/>
        </w:rPr>
        <w:t>и.т.д</w:t>
      </w:r>
      <w:proofErr w:type="spellEnd"/>
      <w:r w:rsidRPr="00BA7604">
        <w:rPr>
          <w:rFonts w:ascii="Times New Roman" w:hAnsi="Times New Roman" w:cs="Times New Roman"/>
        </w:rPr>
        <w:t>.;</w:t>
      </w:r>
    </w:p>
    <w:p w14:paraId="08668BBB" w14:textId="77777777" w:rsidR="00BA7604" w:rsidRPr="00BA7604" w:rsidRDefault="00BA7604" w:rsidP="00BA760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BA7604">
        <w:rPr>
          <w:rFonts w:ascii="Times New Roman" w:hAnsi="Times New Roman" w:cs="Times New Roman"/>
        </w:rPr>
        <w:t>легких фракций углеводородов от технологического оборудования (дренажная емкость, сепараторы, резервуары нефти, емкости ГСМ, нефтеналивной стояк, насосы и запорно-регулирующая аппаратура).</w:t>
      </w:r>
    </w:p>
    <w:p w14:paraId="610B3D5A" w14:textId="6F1DBFBC" w:rsidR="00BA7604" w:rsidRPr="00BA7604" w:rsidRDefault="00BA7604" w:rsidP="00BA7604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</w:rPr>
      </w:pPr>
      <w:r w:rsidRPr="00BA7604">
        <w:rPr>
          <w:rFonts w:ascii="Times New Roman" w:hAnsi="Times New Roman" w:cs="Times New Roman"/>
        </w:rPr>
        <w:t xml:space="preserve">Источниками выбросов ЗВ </w:t>
      </w:r>
      <w:r w:rsidRPr="00BA7604">
        <w:rPr>
          <w:rFonts w:ascii="Times New Roman" w:hAnsi="Times New Roman" w:cs="Times New Roman"/>
        </w:rPr>
        <w:t xml:space="preserve">при эксплуатации месторождения </w:t>
      </w:r>
      <w:r w:rsidRPr="00BA7604">
        <w:rPr>
          <w:rFonts w:ascii="Times New Roman" w:hAnsi="Times New Roman" w:cs="Times New Roman"/>
        </w:rPr>
        <w:t>являются: технологические оборудования, печи подогрева нефти, ФС и ЗРА, системы и сооружения основного и вспомогательного производств, необходимые для добычи, сбора и транспорта продукции и углеводородного сырья.</w:t>
      </w:r>
    </w:p>
    <w:p w14:paraId="4DCECC21" w14:textId="77777777" w:rsidR="00BA7604" w:rsidRPr="00BA7604" w:rsidRDefault="00BA7604" w:rsidP="00BA7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пробной эксплуатации месторождения предусматривается бурение пяти опережающе-добывающих скважин: в 2026 году — ТЮ-3; в 2027 году — ТЮ-4 и ТЮ-5; в </w:t>
      </w: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2028 году — ТЮ-6 и ТЮ-7. Ввод опережающих добывающих скважин из бурения запланирован на 2027–2028 годы.</w:t>
      </w:r>
    </w:p>
    <w:p w14:paraId="1179EF19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источниками загрязнения атмосферного воздуха на площади работ при бурении являются двигатели внутреннего сгорания ДЭС, силовых приводов буровых установок, цементировочный агрегат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и.др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65525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дизельных генераторов в атмосферный воздух поступают следующие загрязняющие вещества: оксиды азота, серы и углерода, альдегиды, сажа,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(а)пирен.</w:t>
      </w:r>
    </w:p>
    <w:p w14:paraId="728D35B8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емкостей хранения дизельного топлива в атмосферу выделяются углеводороды С₁₂–С₁₉ и сероводород.</w:t>
      </w:r>
    </w:p>
    <w:p w14:paraId="2E52C669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разгрузке цемента и других материалов в атмосферный воздух поступает неорганическая пыль, в том числе цементная пыль.</w:t>
      </w:r>
    </w:p>
    <w:p w14:paraId="202CD3CC" w14:textId="77777777" w:rsidR="00BA7604" w:rsidRPr="00BA7604" w:rsidRDefault="00BA7604" w:rsidP="00BA7604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BA7604">
        <w:rPr>
          <w:rFonts w:ascii="Times New Roman" w:eastAsia="Calibri" w:hAnsi="Times New Roman" w:cs="Times New Roman"/>
          <w:sz w:val="24"/>
        </w:rPr>
        <w:t>Расчеты рассеивания загрязняющих веществ в приземном слое атмосферы показали, что максимальные приземные концентрации ни по одному из ингредиентов, не создают превышения ПДК. Исходя из этого, предлагается принять объем эмиссий в атмосферу, рассчитанный в данном проекте, в качестве ориентировочных нормативов эмиссий.</w:t>
      </w:r>
    </w:p>
    <w:p w14:paraId="72C6041C" w14:textId="77777777" w:rsidR="00BA7604" w:rsidRPr="00BA7604" w:rsidRDefault="00BA7604" w:rsidP="00BA7604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 валовых выбросов загрязняющих веществ в атмосферный воздух при пробной эксплуатации месторождения Таган Южный являются предварительными.</w:t>
      </w: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A76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Нормативы допустимых выбросов (НДВ) на период проведения пробной эксплуатации будут представлены в разделах по охране окружающей среды, входящих в состав соответствующих технических проектов (ГТП на бурение скважин, технический проект на проведение сейсморазведочных работ и др.) и в проекте НДВ.</w:t>
      </w:r>
    </w:p>
    <w:p w14:paraId="31989F8F" w14:textId="77777777" w:rsidR="00BA7604" w:rsidRPr="00BA7604" w:rsidRDefault="00BA7604" w:rsidP="00BA7604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A7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Выбросы загрязняющих веществ от стационарных источников в целом при пробной эксплуатации месторождения Таган Южный составляет:</w:t>
      </w:r>
    </w:p>
    <w:p w14:paraId="472DEE51" w14:textId="77777777" w:rsidR="00BA7604" w:rsidRPr="00BA7604" w:rsidRDefault="00BA7604" w:rsidP="00BA7604">
      <w:pPr>
        <w:tabs>
          <w:tab w:val="left" w:pos="-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2026 год — 14,1054962 г/с, 44,68758593 т/год;</w:t>
      </w:r>
    </w:p>
    <w:p w14:paraId="481C6A33" w14:textId="77777777" w:rsidR="00BA7604" w:rsidRPr="00BA7604" w:rsidRDefault="00BA7604" w:rsidP="00BA7604">
      <w:pPr>
        <w:tabs>
          <w:tab w:val="left" w:pos="-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2027 год — 14,11356604 г/с, 62,50081345 т/год;</w:t>
      </w:r>
    </w:p>
    <w:p w14:paraId="0522F907" w14:textId="77777777" w:rsidR="00BA7604" w:rsidRPr="00BA7604" w:rsidRDefault="00BA7604" w:rsidP="00BA7604">
      <w:pPr>
        <w:tabs>
          <w:tab w:val="left" w:pos="-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2028 год — 14,11752004 г/с, 63,11040801т/год;</w:t>
      </w:r>
    </w:p>
    <w:p w14:paraId="29B8347F" w14:textId="77777777" w:rsidR="00BA7604" w:rsidRPr="00BA7604" w:rsidRDefault="00BA7604" w:rsidP="00BA7604">
      <w:pPr>
        <w:tabs>
          <w:tab w:val="left" w:pos="-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2029 год — 14,1153812 г/с, 32,44729903 т/год.</w:t>
      </w:r>
    </w:p>
    <w:p w14:paraId="1AC2B365" w14:textId="77777777" w:rsidR="00BA7604" w:rsidRPr="00BA7604" w:rsidRDefault="00BA7604" w:rsidP="00BA760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7604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 расконсервации и КРС скважин на месторождении Таган Южный составляет:</w:t>
      </w:r>
    </w:p>
    <w:p w14:paraId="3A68F991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2026 год от 1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4,076384156 г/с, 8,433333519 т/год;</w:t>
      </w:r>
    </w:p>
    <w:p w14:paraId="683AFB47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2026 год от 5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20,38192078 г/с, 42,1666676 т/год.</w:t>
      </w:r>
    </w:p>
    <w:p w14:paraId="39C6B733" w14:textId="77777777" w:rsidR="00BA7604" w:rsidRPr="00BA7604" w:rsidRDefault="00BA7604" w:rsidP="00BA760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  <w:r w:rsidRPr="00BA760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При строительстве эксплуатационных скважины гл. 650-750 м., на месторождении Таган Южный составляет:</w:t>
      </w:r>
    </w:p>
    <w:p w14:paraId="176EE24B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2026 год от 1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(ТЮ-3) — 21,74528155 г/с, 23,82022058 т/год;</w:t>
      </w:r>
    </w:p>
    <w:p w14:paraId="13EC04A8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2027 год от 2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(ТЮ-4, ТЮ-5) — 23,82022058 г/с, 47,64044115 т/год;</w:t>
      </w:r>
    </w:p>
    <w:p w14:paraId="607B575A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на 2028 год от 2 скв. (ТЮ-6, ТЮ-8) — 23,82022058 г/с,  47,64044115 т/год.</w:t>
      </w:r>
    </w:p>
    <w:p w14:paraId="76D30BFB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 бурении и испытании скважины ТЮ-7 (доразведка) составляет:</w:t>
      </w: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5,55434155 г/с, 44,39578077 т/год.</w:t>
      </w:r>
    </w:p>
    <w:p w14:paraId="197F98CB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 бурении и испытании скважины №105 (доразведка) составляет:</w:t>
      </w: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11,5960986 г/с, 30,00362153 т/год.</w:t>
      </w:r>
    </w:p>
    <w:p w14:paraId="4F1559EB" w14:textId="77777777" w:rsidR="00BA7604" w:rsidRPr="00BA7604" w:rsidRDefault="00BA7604" w:rsidP="00BA760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7604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 КРС и опробовании скважин в целях доразведки составляет:</w:t>
      </w:r>
    </w:p>
    <w:p w14:paraId="012772BA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 1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8,243865546 г/с, 29,02947754 т/год;</w:t>
      </w:r>
    </w:p>
    <w:p w14:paraId="616901B1" w14:textId="77777777" w:rsidR="00BA7604" w:rsidRPr="00BA7604" w:rsidRDefault="00BA7604" w:rsidP="00BA7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 5 </w:t>
      </w:r>
      <w:proofErr w:type="spellStart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</w:t>
      </w:r>
      <w:proofErr w:type="spellEnd"/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>.  — 41,21932773 г/с, 145,1473877 т/год.</w:t>
      </w:r>
    </w:p>
    <w:p w14:paraId="1472BF04" w14:textId="77777777" w:rsidR="00BA7604" w:rsidRPr="00BA7604" w:rsidRDefault="00BA7604" w:rsidP="00BA760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период проведения строительства ЛЭП составляе</w:t>
      </w:r>
      <w:r w:rsidRPr="00BA7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т: </w:t>
      </w:r>
      <w:r w:rsidRPr="00BA7604">
        <w:rPr>
          <w:rFonts w:ascii="Times New Roman" w:eastAsia="Calibri" w:hAnsi="Times New Roman" w:cs="Times New Roman"/>
          <w:sz w:val="24"/>
          <w:szCs w:val="24"/>
          <w:lang w:eastAsia="ru-RU"/>
        </w:rPr>
        <w:t>7.154710673 г/с и 1.229954874 т/год.</w:t>
      </w:r>
    </w:p>
    <w:p w14:paraId="1AC593FB" w14:textId="2A1FCDE3" w:rsidR="00804266" w:rsidRPr="00804266" w:rsidRDefault="00804266" w:rsidP="008042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lastRenderedPageBreak/>
        <w:t>Воздействия на атмосферный воздух будет оказываться в пределах области воздействия источниками выбросов предприятия, а также в меньшей степени источниками звукового давления. Организация на предприятии мониторинга предельных выбросов и мониторинга воздействия на атмосферный воздух позволит предупредить риски нарушения экологических нормативов его качества, целевых показателей качества, а при их отсутствии – ориентировочно безопасных уровней воздействия на него. Объекты историко-культурного наследия (в том числе архитектурные и археологические) в районе намечаемых работ отсутствуют.</w:t>
      </w:r>
    </w:p>
    <w:p w14:paraId="28CAB50A" w14:textId="77777777" w:rsidR="00804266" w:rsidRPr="00804266" w:rsidRDefault="00804266" w:rsidP="00804266">
      <w:pPr>
        <w:shd w:val="clear" w:color="auto" w:fill="FFFFFF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</w:rPr>
        <w:t>Информация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деятельности.</w:t>
      </w:r>
    </w:p>
    <w:p w14:paraId="03900499" w14:textId="77777777" w:rsidR="00804266" w:rsidRPr="00804266" w:rsidRDefault="00804266" w:rsidP="00804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88027946"/>
      <w:r w:rsidRPr="00804266">
        <w:rPr>
          <w:rFonts w:ascii="Times New Roman" w:eastAsia="Calibri" w:hAnsi="Times New Roman" w:cs="Times New Roman"/>
          <w:color w:val="000000"/>
          <w:sz w:val="24"/>
          <w:szCs w:val="24"/>
        </w:rPr>
        <w:t>Собственные полигоны, хранилища и иные места для долговременного хранения отходов на балансе Компании ТОО «</w:t>
      </w:r>
      <w:proofErr w:type="spellStart"/>
      <w:r w:rsidRPr="00804266">
        <w:rPr>
          <w:rFonts w:ascii="Times New Roman" w:eastAsia="Calibri" w:hAnsi="Times New Roman" w:cs="Times New Roman"/>
          <w:color w:val="000000"/>
          <w:sz w:val="24"/>
          <w:szCs w:val="24"/>
        </w:rPr>
        <w:t>Pangea</w:t>
      </w:r>
      <w:proofErr w:type="spellEnd"/>
      <w:r w:rsidRPr="008042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4266">
        <w:rPr>
          <w:rFonts w:ascii="Times New Roman" w:eastAsia="Calibri" w:hAnsi="Times New Roman" w:cs="Times New Roman"/>
          <w:color w:val="000000"/>
          <w:sz w:val="24"/>
          <w:szCs w:val="24"/>
        </w:rPr>
        <w:t>Еngineering</w:t>
      </w:r>
      <w:proofErr w:type="spellEnd"/>
      <w:r w:rsidRPr="00804266">
        <w:rPr>
          <w:rFonts w:ascii="Times New Roman" w:eastAsia="Calibri" w:hAnsi="Times New Roman" w:cs="Times New Roman"/>
          <w:color w:val="000000"/>
          <w:sz w:val="24"/>
          <w:szCs w:val="24"/>
        </w:rPr>
        <w:t>» отсутствуют. По мере образования все образующиеся отходы при проведении работ будут вывозиться специализированной организацией согласно договору, имеющие все необходимые разрешительные документы.</w:t>
      </w:r>
    </w:p>
    <w:p w14:paraId="470D0B64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Объем образования отходов производства и потребления при эксплуатации месторождения Таган Южный</w:t>
      </w:r>
    </w:p>
    <w:p w14:paraId="5A7AE2CE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2026 год - 19,955т/год,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отработанные масла (13 02 08*) – 7,496т, промасленная ветошь и рукавицы (15 02 02*) – 0,032т, грунт загрязненный опасными веществами (нефтепродуктами) (17 05 03*) – 4110т, люминесцентные лампы (20 01 21*) – 0,003т, тара из под ЛКМ (08 01 11*) – 0,005т, использованная тара - (150110*) – 1,6750т/г,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2,000 т, огарки сварочных электродов (12 01 13) – 0,003т, медицинские отходы (18 01 04) – 0,0020т, бумага и картон (макулатура) (19 12 01) – 0,5000т, пластиковые отходы (15 01 02) - 0,5000т, ТБО - (200301) – 3,630 т/г.</w:t>
      </w:r>
    </w:p>
    <w:p w14:paraId="375BCCC2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2027 год - 32,729 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отработанные масла (13 02 08*) – 12,021т, промасленная ветошь и рукавицы (15 02 02*) – 0,064т, грунт загрязненный опасными веществами (нефтепродуктами) (17 05 03*) – 5,754т, люминесцентные лампы (20 01 21*) – 0,006т, тара из под ЛКМ (08 01 11*) – 0,005т, использованная тара - (150110*) – 1,6750т/г,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4,000 т, огарки сварочных электродов (12 01 13) – 0,003т, медицинские отходы (18 01 04) – 0,0020т, бумага и картон (макулатура) (19 12 01) – 1,000т, пластиковые отходы (15 01 02) -1,000т, ТБО - (200301) – 7,200 т/г.</w:t>
      </w:r>
    </w:p>
    <w:p w14:paraId="57CAF2BC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2028 год - 33,845т/год,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отработанные масла (13 02 08*) – 12,021т, промасленная ветошь и рукавицы (15 02 02*) – 0,064т, грунт загрязненный опасными веществами (нефтепродуктами) (17 05 03*) – 6,850т, люминесцентные лампы (20 01 21*) – 0,006т, тара из под ЛКМ (08 01 11*) – 0,005т, использованная тара - (150110*) – 1,6750т/г,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4,000 т, огарки сварочных электродов (12 01 13) – 0,003т, медицинские отходы (18 01 04) – 0,0020т, бумага и картон (макулатура) (19 12 01) – 1,000т, пластиковые отходы (15 01 02) -1,000т, ТБО - (200301) – 7,200 т/г.</w:t>
      </w:r>
    </w:p>
    <w:p w14:paraId="1FCF0259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2029 год – 22,695т/год,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отработанные масла (13 02 08*) – 7,496т, промасленная ветошь и рукавицы (15 02 02*) – 0,032т, грунт загрязненный опасными веществами (нефтепродуктами) (17 05 03*) – 6,850т, люминесцентные лампы (20 01 21*) – 0,003т, тара из под ЛКМ (08 01 11*) – 0,005т, использованная тара - (150110*) – 1,6750т/г,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2,000 т, огарки сварочных электродов (12 01 13) – 0,003т, медицинские отходы (18 01 04) – 0,002т, бумага и картон (макулатура) (19 12 01) – 0,500т, пластиковые отходы (15 01 02) -0,500т, ТБО - (200301) – 3630 т/г.</w:t>
      </w:r>
    </w:p>
    <w:p w14:paraId="6399C0F5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Объем образования отходов производства и потребления при бурении эксп-х скважин гл.650-750м. </w:t>
      </w:r>
    </w:p>
    <w:p w14:paraId="1C8C72CA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2026 год от 1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, составляет 409,369 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буровой шлам (01 05 05*) – 236,206т; отработанный буровой раствор (01 05 06*) – 166,142т; отработанные масла (13 02 08*) – 2,468т, промасленная ветошь (15 02 02*) – 0,032т, грунт загрязненный опасными веществами (нефтепродуктами) (17 05 03*) – 1,507т, использованная тара - (150110*) – 0,279т/г,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не опасные отходы: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металлолом (17 04 07) – 1,000 т, огарки сварочных электродов (12 01 13) – 0,003т, строительный мусор (17 01 01) – 0,500т/г, ТБО - (200301) – 1,233 т/г.</w:t>
      </w:r>
    </w:p>
    <w:p w14:paraId="531C658E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2027 год от 2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, составляет 818,738 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</w:rPr>
        <w:t xml:space="preserve"> буровой шлам (01 05 05*) – 472,412т; отработанный буровой раствор (01 05 06*) – 332,283т; отработанные масла (13 02 08*) – 4,936т, промасленная ветошь (15 02 02*) – 0,064т, грунт загрязненный опасными веществами (нефтепродуктами) (17 05 03*) – 3,014т,</w:t>
      </w:r>
      <w:r w:rsidRPr="00804266">
        <w:rPr>
          <w:rFonts w:ascii="Calibri" w:eastAsia="Calibri" w:hAnsi="Calibri" w:cs="Times New Roman"/>
        </w:rPr>
        <w:t xml:space="preserve"> </w:t>
      </w:r>
      <w:r w:rsidRPr="00804266">
        <w:rPr>
          <w:rFonts w:ascii="Times New Roman" w:eastAsia="Calibri" w:hAnsi="Times New Roman" w:cs="Times New Roman"/>
          <w:sz w:val="24"/>
        </w:rPr>
        <w:t xml:space="preserve">использованная тара - (150110*) – 0,557т/г,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>не опасные отходы:</w:t>
      </w:r>
      <w:r w:rsidRPr="00804266">
        <w:rPr>
          <w:rFonts w:ascii="Times New Roman" w:eastAsia="Calibri" w:hAnsi="Times New Roman" w:cs="Times New Roman"/>
          <w:sz w:val="24"/>
        </w:rPr>
        <w:t xml:space="preserve"> металлолом (17 04 07) – 2,000т, огарки сварочных электродов (12 01 13) – 0,005т, строительный мусор (17 01 01) – 1,000т/г, ТБО - (200301) – 2,466 т/г.</w:t>
      </w:r>
    </w:p>
    <w:p w14:paraId="0370DEF1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2028 год от 2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, составляет 818,738 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</w:rPr>
        <w:t xml:space="preserve"> буровой шлам (01 05 05*) – 472,412т; отработанный буровой раствор (01 05 06*) – 332,283т; отработанные масла (13 02 08*) – 4,936т, промасленная ветошь (15 02 02*) – 0,064т, грунт загрязненный опасными веществами (нефтепродуктами) (17 05 03*) – 3,014т, использованная тара - (150110*) – 0,557т/г,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>не опасные отходы:</w:t>
      </w:r>
      <w:r w:rsidRPr="00804266">
        <w:rPr>
          <w:rFonts w:ascii="Times New Roman" w:eastAsia="Calibri" w:hAnsi="Times New Roman" w:cs="Times New Roman"/>
          <w:sz w:val="24"/>
        </w:rPr>
        <w:t xml:space="preserve"> металлолом (17 04 07) – 2,000т, огарки сварочных электродов (12 01 13) – 0,005т, строительный мусор (17 01 01) – 1,000т/г, ТБО - (200301) – 2,466 т/г.</w:t>
      </w:r>
    </w:p>
    <w:p w14:paraId="1C257BAD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042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 расконсервации</w:t>
      </w:r>
      <w:r w:rsidRPr="00804266">
        <w:rPr>
          <w:rFonts w:ascii="Times New Roman" w:eastAsia="Calibri" w:hAnsi="Times New Roman" w:cs="Times New Roman"/>
          <w:sz w:val="24"/>
        </w:rPr>
        <w:t xml:space="preserve"> </w:t>
      </w: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5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на 2026 год, составляет 21,581 т/год, </w:t>
      </w:r>
      <w:r w:rsidRPr="00804266">
        <w:rPr>
          <w:rFonts w:ascii="Times New Roman" w:eastAsia="Calibri" w:hAnsi="Times New Roman" w:cs="Times New Roman"/>
          <w:sz w:val="24"/>
        </w:rPr>
        <w:t xml:space="preserve">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</w:rPr>
        <w:t xml:space="preserve"> отработанные масла (13 02 08*) – 3,564т, промасленная ветошь (15 02 02*) – 0,095т, грунт загрязненный опасными веществами (нефтепродуктами) (17 05 03*) – 7,535т, использованная тара - (150110*) – 1,394 т/г,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>не опасные отходы:</w:t>
      </w:r>
      <w:r w:rsidRPr="00804266">
        <w:rPr>
          <w:rFonts w:ascii="Times New Roman" w:eastAsia="Calibri" w:hAnsi="Times New Roman" w:cs="Times New Roman"/>
          <w:sz w:val="24"/>
        </w:rPr>
        <w:t xml:space="preserve"> металлолом (17 04 07) – 5,000 т, огарки сварочных электродов (12 01 13) – 0,014т, строительный мусор (17 01 01) – 2,500т/г, ТБО - (200301) – 1,479 т/г.</w:t>
      </w:r>
    </w:p>
    <w:p w14:paraId="65065132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 расконсервации и испытании скважины</w:t>
      </w:r>
      <w:r w:rsidRPr="00804266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в целях доразведки</w:t>
      </w:r>
      <w:r w:rsidRPr="00804266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(№105), составляет 10,358 т/год, 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 отработанные масла (13 02 08*) – 2,844т, промасленная ветошь (15 02 02*) – 0,083т, грунт загрязненный опасными веществами (нефтепродуктами) (17 05 03*) – 1,507т, использованная тара - (150110*) – 0,279т/г,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1,000 т, огарки сварочных электродов (12 01 13) – 0,003т, строительный мусор (17 01 01) – 0,500т/г, ТБО - (200301) – 4,142 т/г.</w:t>
      </w:r>
    </w:p>
    <w:p w14:paraId="3E65D197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При бурении и испытании скважин в целях доразведки, 1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(ТЮ-7), составляет 409,369 т/год,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 xml:space="preserve">опасные отходы: </w:t>
      </w:r>
      <w:r w:rsidRPr="00804266">
        <w:rPr>
          <w:rFonts w:ascii="Times New Roman" w:eastAsia="Calibri" w:hAnsi="Times New Roman" w:cs="Times New Roman"/>
          <w:sz w:val="24"/>
        </w:rPr>
        <w:t xml:space="preserve"> буровой шлам (01 05 05*) – 236,206т; отработанный буровой раствор (01 05 06*) – 166,142т; отработанные масла (13 02 08*) – 2,468т, промасленная ветошь (15 02 02*) – 0,032т, грунт загрязненный опасными веществами (нефтепродуктами) (17 05 03*) – 1,507т, использованная тара - (150110*) – 0,279т/г,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>не опасные отходы:</w:t>
      </w:r>
      <w:r w:rsidRPr="00804266">
        <w:rPr>
          <w:rFonts w:ascii="Times New Roman" w:eastAsia="Calibri" w:hAnsi="Times New Roman" w:cs="Times New Roman"/>
          <w:sz w:val="24"/>
        </w:rPr>
        <w:t xml:space="preserve"> металлолом (17 04 07) – 1,000т, огарки сварочных электродов (12 01 13) – 0,003т, строительный мусор (17 01 01) – 0,500т/г, ТБО - (200301) – 1,233 т/г.</w:t>
      </w:r>
    </w:p>
    <w:p w14:paraId="6326734E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 КРС и опробовании в целях доразведки,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 5 </w:t>
      </w:r>
      <w:proofErr w:type="spellStart"/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скв</w:t>
      </w:r>
      <w:proofErr w:type="spellEnd"/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, составляет 51,789 т/год,  опасные отходы:</w:t>
      </w:r>
      <w:r w:rsidRPr="008042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отработанные масла (13 02 08*) – 14,221т, промасленная ветошь (15 02 02*) – 0,413т, грунт загрязненный опасными веществами (нефтепродуктами) (17 05 03*) – 7,535т, использованная тара - (150110*) – 1,394т/г, 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не опасные отходы: </w:t>
      </w:r>
      <w:r w:rsidRPr="00804266">
        <w:rPr>
          <w:rFonts w:ascii="Times New Roman" w:eastAsia="Calibri" w:hAnsi="Times New Roman" w:cs="Times New Roman"/>
          <w:sz w:val="24"/>
          <w:szCs w:val="24"/>
        </w:rPr>
        <w:t>металлолом (17 04 07) – 5,000т, огарки сварочных электродов (12 01 13) – 0,014т, строительный мусор (17 01 01) – 2,500т/г, ТБО - (200301) – 20,712 т/г.</w:t>
      </w:r>
    </w:p>
    <w:p w14:paraId="5522754A" w14:textId="77777777" w:rsidR="00804266" w:rsidRPr="00804266" w:rsidRDefault="00804266" w:rsidP="00804266">
      <w:pPr>
        <w:spacing w:before="120" w:after="12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Водопотребление и водоотведение</w:t>
      </w:r>
    </w:p>
    <w:bookmarkEnd w:id="3"/>
    <w:p w14:paraId="25FA7EB0" w14:textId="77777777" w:rsidR="00804266" w:rsidRPr="00804266" w:rsidRDefault="00804266" w:rsidP="0080426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lastRenderedPageBreak/>
        <w:t>Предприятие не подключено к водопроводным сетям. Вода привозная и используется для хозяйственно-бытовых нужд, производственных, административных процессов. Питьевое водоснабжение обеспечивается привозной бутилированной водой. Для питьевых целей - привозная бутилированная вода. Хранение пресной воды осуществляется в 2 емкостях каждая объемом 5 и 20 м</w:t>
      </w:r>
      <w:r w:rsidRPr="00804266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5DAE182" w14:textId="77777777" w:rsidR="00804266" w:rsidRPr="00804266" w:rsidRDefault="00804266" w:rsidP="0080426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 xml:space="preserve">Вода будет использоваться на хозяйственно–бытовые, питьевые и производственно-технологические нужды. На хозяйственно-бытовые и питьевые нужды работающего персонала при проведении работ будет использоваться вода питьевого качества. </w:t>
      </w:r>
    </w:p>
    <w:p w14:paraId="0909FB37" w14:textId="77777777" w:rsidR="00804266" w:rsidRPr="00804266" w:rsidRDefault="00804266" w:rsidP="0080426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>На технологические нужды будет использоваться техническая вода. Вода питьевого качества будет использоваться на питье, приготовление пищи, прачечных, душевых, туалетах. Для производственной и хозяйственно-бытовой деятельности предприятия используется питьевая и техническая вода.</w:t>
      </w:r>
    </w:p>
    <w:p w14:paraId="5EF72F4A" w14:textId="77777777" w:rsidR="00804266" w:rsidRPr="00804266" w:rsidRDefault="00804266" w:rsidP="0080426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04266">
        <w:rPr>
          <w:rFonts w:ascii="Times New Roman" w:eastAsia="Calibri" w:hAnsi="Times New Roman" w:cs="Times New Roman"/>
          <w:sz w:val="24"/>
          <w:szCs w:val="24"/>
        </w:rPr>
        <w:t>Поверхностного и подземного водозабора нет. Специальное водопользование не планируется.</w:t>
      </w:r>
    </w:p>
    <w:p w14:paraId="4BDE2092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отсутствием центральной канализационной сети, для отвода хозбытовых сточных предусмотрен септик достаточного объема. По мере накопления септиков, сточные воды будут откачиваться, и вывозиться автоцистернами на очистные сооружения специализированной компании по договору. Септики после окончания работ очищаются, дезинфицируются и могут использоваться повторно. Сбросы сточных вод от производственных объектов непосредственно в водные объекты или на рельеф местности отсутствуют.</w:t>
      </w:r>
    </w:p>
    <w:p w14:paraId="23945017" w14:textId="77777777" w:rsidR="00804266" w:rsidRPr="00804266" w:rsidRDefault="00804266" w:rsidP="00804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Объем водопотребления и водоотведения при эксплуатации месторождения Таган Южный:</w:t>
      </w:r>
    </w:p>
    <w:p w14:paraId="0BD14E09" w14:textId="77777777" w:rsidR="00804266" w:rsidRPr="00804266" w:rsidRDefault="00804266" w:rsidP="00804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на 2026 год - 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- 100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30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579,6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441,60м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</w:p>
    <w:p w14:paraId="77AB7447" w14:textId="77777777" w:rsidR="00804266" w:rsidRPr="00804266" w:rsidRDefault="00804266" w:rsidP="008042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на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2027 год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- 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- 100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30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1095м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876м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</w:p>
    <w:p w14:paraId="0798ACCD" w14:textId="77777777" w:rsidR="00804266" w:rsidRPr="00804266" w:rsidRDefault="00804266" w:rsidP="008042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на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2028 год - 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- 100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30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1152м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878,4м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</w:p>
    <w:p w14:paraId="0729E242" w14:textId="77777777" w:rsidR="00804266" w:rsidRPr="00804266" w:rsidRDefault="00804266" w:rsidP="0080426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80426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на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2029 год -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- 100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30 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579,6м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441,6м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</w:p>
    <w:p w14:paraId="6CD9B0C7" w14:textId="77777777" w:rsidR="00804266" w:rsidRPr="00804266" w:rsidRDefault="00804266" w:rsidP="008042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Объем водопотребления и водоотведения при расконсервации и КРС от 5 скважин (2026г.) </w:t>
      </w:r>
      <w:bookmarkStart w:id="4" w:name="_Hlk219459639"/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- 6910м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2073м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225м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180м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bookmarkEnd w:id="4"/>
    </w:p>
    <w:p w14:paraId="765FA1F9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Объем</w:t>
      </w:r>
      <w:r w:rsidRPr="00804266">
        <w:rPr>
          <w:rFonts w:ascii="Calibri" w:eastAsia="Calibri" w:hAnsi="Calibri" w:cs="Times New Roman"/>
          <w:i/>
          <w:iCs/>
        </w:rPr>
        <w:t xml:space="preserve"> 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водопотребления и водоотведения при бурении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скв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гл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650-750 м.</w:t>
      </w:r>
    </w:p>
    <w:p w14:paraId="4DD5CC03" w14:textId="77777777" w:rsidR="00804266" w:rsidRPr="00804266" w:rsidRDefault="00804266" w:rsidP="0080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на 2026 год от 1 экс.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скв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техническая вода: водопотребление - 2302м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690,6м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; вода для хозбытовых нужд: водопотребление – 210м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3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водоотведение – 168м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  <w:vertAlign w:val="superscript"/>
        </w:rPr>
        <w:t>з</w:t>
      </w:r>
      <w:r w:rsidRPr="00804266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14:paraId="1E0060FD" w14:textId="77777777" w:rsidR="00804266" w:rsidRPr="00804266" w:rsidRDefault="00804266" w:rsidP="0080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на 2027 год от 2 экс.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скв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 техническая вода: водопотребление - 4604,00 м3, водоотведение 1381,2 м3, вода для хозбытовых нужд: водопотребление - 420 м3, водоотведение 336 м3.</w:t>
      </w:r>
    </w:p>
    <w:p w14:paraId="0F9591D8" w14:textId="77777777" w:rsidR="00804266" w:rsidRPr="00804266" w:rsidRDefault="00804266" w:rsidP="0080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на 2028 год от 2 </w:t>
      </w:r>
      <w:proofErr w:type="spellStart"/>
      <w:proofErr w:type="gram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экс.скв</w:t>
      </w:r>
      <w:proofErr w:type="spellEnd"/>
      <w:proofErr w:type="gram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 техническая вода: водопотребление - 4604,00 м3, водоотведение 1381,2 м3, вода для хозбытовых нужд: водопотребление - 420 м3, водоотведение 336 м3.</w:t>
      </w:r>
    </w:p>
    <w:p w14:paraId="7808CD54" w14:textId="77777777" w:rsidR="00804266" w:rsidRPr="00804266" w:rsidRDefault="00804266" w:rsidP="008042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Объем водопотребления и водоотведения</w:t>
      </w:r>
      <w:r w:rsidRPr="00804266">
        <w:rPr>
          <w:rFonts w:ascii="Calibri" w:eastAsia="Calibri" w:hAnsi="Calibri" w:cs="Times New Roman"/>
        </w:rPr>
        <w:t xml:space="preserve"> 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при бурении и испытании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скв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ТЮ-7 (доразведка): -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техническая вода: водопотребление – 5802м3, при водоотведении - 1740,6 м3,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вода для хозбытовых нужд: водопотребление - 735 м3, водоотведение 588 м3.</w:t>
      </w:r>
    </w:p>
    <w:p w14:paraId="04BA02C2" w14:textId="77777777" w:rsidR="00804266" w:rsidRPr="00804266" w:rsidRDefault="00804266" w:rsidP="008042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При расконсервации и испытании скв.105 (доразведка) -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техническая вода: водопотребление – 4 982,00м3, водоотведение 1494,6 м3,</w:t>
      </w: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вода для хозбытовых нужд: водопотребление - 588м3, водоотведение 468 м3.</w:t>
      </w:r>
    </w:p>
    <w:p w14:paraId="6F088E09" w14:textId="77777777" w:rsidR="00804266" w:rsidRPr="00804266" w:rsidRDefault="00804266" w:rsidP="0080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 xml:space="preserve">При КРС и опробования 5 </w:t>
      </w:r>
      <w:proofErr w:type="spellStart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скв</w:t>
      </w:r>
      <w:proofErr w:type="spellEnd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 (доразведка)</w:t>
      </w:r>
      <w:bookmarkStart w:id="5" w:name="_Hlk219368857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-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техническая вод</w:t>
      </w:r>
      <w:bookmarkStart w:id="6" w:name="_Hlk219371028"/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а: водопотребление - 24 910м3, водоотведение 7473м3</w:t>
      </w:r>
      <w:bookmarkEnd w:id="6"/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14:paraId="363DED00" w14:textId="77777777" w:rsidR="00804266" w:rsidRPr="00804266" w:rsidRDefault="00804266" w:rsidP="008042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При строительстве ЛЭП: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техническая вода на пылеподавление – 62м3, вода для хозбытовых нужд: водопотребление - 75м3, водоотведение 80 м3.</w:t>
      </w:r>
    </w:p>
    <w:p w14:paraId="00B9EB0D" w14:textId="77777777" w:rsidR="00804266" w:rsidRPr="00804266" w:rsidRDefault="00804266" w:rsidP="008042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bookmarkStart w:id="7" w:name="_Hlk219390703"/>
      <w:r w:rsidRPr="008042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Итого на период реализации проекта пробной эксплуатации: </w:t>
      </w:r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техническая вода - водопотребление 54 576,00 м3, водоотведение - 16 354,20м3</w:t>
      </w:r>
      <w:bookmarkEnd w:id="7"/>
      <w:r w:rsidRPr="0080426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вода для хозбытовых нужд: водопотребление – 6077,10м3, водоотведение - 4773,60м3.</w:t>
      </w:r>
    </w:p>
    <w:bookmarkEnd w:id="5"/>
    <w:p w14:paraId="777B0139" w14:textId="77777777" w:rsidR="00804266" w:rsidRPr="00804266" w:rsidRDefault="00804266" w:rsidP="00804266">
      <w:pPr>
        <w:shd w:val="clear" w:color="auto" w:fill="FFFFFF"/>
        <w:spacing w:before="240" w:after="120" w:line="240" w:lineRule="auto"/>
        <w:ind w:firstLine="706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Информации о вероятности возникновения аварий и опасных природных явлений; о возможных существенных вредных воздействиях на окружающую среду о мерах по предотвращению аварий и опасных природных явлений, и ликвидации их последствий, включая оповещение населения;</w:t>
      </w:r>
    </w:p>
    <w:p w14:paraId="44EAEE0E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Воздействия на окружающую среду могут быть разделены на технологически обусловленные и не обусловленные. Технологически обусловленные — это воздействия, объективно возникающие вследствие производства работ, протекания технологических процессов и формирования техногенных потоков веществ. Среди технологически обусловленных воздействий могут быть выделены следующие группы ведущих факторов при реализации проектных решений:</w:t>
      </w:r>
    </w:p>
    <w:p w14:paraId="03BB6854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1. Изъятие земель для размещения технологического оборудования. Изъятие угодий из использования может происходить, также, опосредованно, вследствие потери ими своей ценности при их загрязнении и деградации;</w:t>
      </w:r>
    </w:p>
    <w:p w14:paraId="479E1ECE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2. Нарушения почвенно-растительного покрова возникают при транспортировке оборудования;</w:t>
      </w:r>
    </w:p>
    <w:p w14:paraId="181098D5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3. Возможны аварийные сбросы на почвогрунты различного рода загрязнителей, основными из которых являются углеводородное сырье, сточные воды, ГСМ;</w:t>
      </w:r>
    </w:p>
    <w:p w14:paraId="4FC3EE9B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4. Выбросы в атмосферу от ряда организованных и неорганизованных стационарных источников. Источниками выбросов в атмосферу при проведении разработки месторождения территории являются двигателей внутреннего сгорания буровых установок, резервуары для нефти, насосы для откачки нефти, скважины, факел. Выбросы в атмосферу при нормальных режимах работы, от неорганизованных и организованных источников, в силу ограниченной интенсивности выбросов и их пространственной разобщенности не должны создавать высоких приземных концентраций;</w:t>
      </w:r>
    </w:p>
    <w:p w14:paraId="2AA5983C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5. Сточные воды образуются как в процессе работ, так и систем обеспечения жизнедеятельности. Сброс в поверхностные водоемы отсутствует;</w:t>
      </w:r>
    </w:p>
    <w:p w14:paraId="2DCE0D2A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6. При производственной деятельности и в полевом лагере происходит образование и накопление производственных и твердых бытовых отходов. Отходы производства и потребления собираются в специальные емкости и вывозятся сторонним организациям на договорной основе.</w:t>
      </w:r>
    </w:p>
    <w:p w14:paraId="54DBD627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Технологически не обусловленные воздействия могут быть вызваны различными отклонениями от проектных решений и экологически неграмотным поведением персонала. Они могут проявляться как в процессе производственной деятельности в штатных ситуациях, так и при возникновении аварий.</w:t>
      </w:r>
    </w:p>
    <w:p w14:paraId="10B38477" w14:textId="77777777" w:rsidR="00804266" w:rsidRPr="00804266" w:rsidRDefault="00804266" w:rsidP="0080426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04266">
        <w:rPr>
          <w:rFonts w:ascii="Times New Roman" w:eastAsia="Calibri" w:hAnsi="Times New Roman" w:cs="Times New Roman"/>
          <w:kern w:val="2"/>
          <w:sz w:val="24"/>
          <w:szCs w:val="24"/>
        </w:rPr>
        <w:t>Значительные последствия могут быть вызваны бесконтрольным проездом техники вне отведенных дорог и неконтролируемым расширением зон землеотвода.</w:t>
      </w:r>
    </w:p>
    <w:p w14:paraId="5B4B14FA" w14:textId="77777777" w:rsidR="005350B6" w:rsidRDefault="005350B6"/>
    <w:sectPr w:rsidR="005350B6" w:rsidSect="00804266">
      <w:pgSz w:w="11906" w:h="16838" w:code="9"/>
      <w:pgMar w:top="851" w:right="851" w:bottom="1418" w:left="1701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524A"/>
    <w:multiLevelType w:val="hybridMultilevel"/>
    <w:tmpl w:val="2C1E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02"/>
    <w:rsid w:val="005350B6"/>
    <w:rsid w:val="005E1C17"/>
    <w:rsid w:val="006F7F02"/>
    <w:rsid w:val="00804266"/>
    <w:rsid w:val="0091501F"/>
    <w:rsid w:val="0091557B"/>
    <w:rsid w:val="00AE4AB7"/>
    <w:rsid w:val="00AF4B65"/>
    <w:rsid w:val="00BA7604"/>
    <w:rsid w:val="00D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3A11"/>
  <w15:chartTrackingRefBased/>
  <w15:docId w15:val="{766DE379-F7D7-4B10-83FD-1552435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F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F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F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F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F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F0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F0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7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7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7F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7F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7F0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F7F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3301</Words>
  <Characters>18819</Characters>
  <Application>Microsoft Office Word</Application>
  <DocSecurity>0</DocSecurity>
  <Lines>156</Lines>
  <Paragraphs>44</Paragraphs>
  <ScaleCrop>false</ScaleCrop>
  <Company/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KZN 266</dc:creator>
  <cp:keywords/>
  <dc:description/>
  <cp:lastModifiedBy>KZN 266</cp:lastModifiedBy>
  <cp:revision>2</cp:revision>
  <dcterms:created xsi:type="dcterms:W3CDTF">2026-02-11T04:56:00Z</dcterms:created>
  <dcterms:modified xsi:type="dcterms:W3CDTF">2026-02-11T08:51:00Z</dcterms:modified>
</cp:coreProperties>
</file>