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9980" w14:textId="77777777" w:rsidR="00C21347" w:rsidRDefault="00C21347" w:rsidP="00C21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Объём проектирования по данному объекту: </w:t>
      </w:r>
    </w:p>
    <w:p w14:paraId="6C759BEA" w14:textId="77777777" w:rsidR="00C21347" w:rsidRDefault="00C21347" w:rsidP="00C21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Оптимизация способов эксплуатации 49 существующих скважин с применением насосного оборудования (УШВН, УЭВН, УЭЦН, УШГН), а также унификация устьевой обвязки скважин в соответствии с типовыми решениями, разработанными в ранее выполненных проектах. </w:t>
      </w:r>
    </w:p>
    <w:p w14:paraId="5ED10601" w14:textId="37403AAB" w:rsidR="002667E5" w:rsidRDefault="00C21347" w:rsidP="00C21347">
      <w:pPr>
        <w:rPr>
          <w:sz w:val="23"/>
          <w:szCs w:val="23"/>
        </w:rPr>
      </w:pPr>
      <w:r>
        <w:rPr>
          <w:sz w:val="23"/>
          <w:szCs w:val="23"/>
        </w:rPr>
        <w:t>Производство работ предусмотрено в границах существующих скважин месторождения. Существующая территория спланирована, дополнительной планировки территории под проектируемые объекты проектом не предусмотрено.</w:t>
      </w:r>
    </w:p>
    <w:p w14:paraId="71C3B8BF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Проектными решениями предусматривается модернизация и оптимизация способов эксплуатации 49 существующих скважин с применением насосного оборудования (УШВН, УЭВН, УЭЦН, УШГН), а также сооружений обустройства месторождения, обеспечивающих дополнительную добычу и транспорт продукции скважин. </w:t>
      </w:r>
    </w:p>
    <w:p w14:paraId="7C935D70" w14:textId="77777777" w:rsidR="00C21347" w:rsidRPr="00C21347" w:rsidRDefault="00C21347" w:rsidP="00C21347">
      <w:pPr>
        <w:rPr>
          <w:lang w:val="ru-KZ"/>
        </w:rPr>
      </w:pPr>
      <w:r w:rsidRPr="00C21347">
        <w:rPr>
          <w:b/>
          <w:bCs/>
          <w:i/>
          <w:iCs/>
          <w:lang w:val="ru-KZ"/>
        </w:rPr>
        <w:t xml:space="preserve">По проекту все скважины, существующие и обустроены в ранних выполненных проектах «Обустройство месторождения Северные </w:t>
      </w:r>
      <w:proofErr w:type="spellStart"/>
      <w:r w:rsidRPr="00C21347">
        <w:rPr>
          <w:b/>
          <w:bCs/>
          <w:i/>
          <w:iCs/>
          <w:lang w:val="ru-KZ"/>
        </w:rPr>
        <w:t>Бузачи</w:t>
      </w:r>
      <w:proofErr w:type="spellEnd"/>
      <w:r w:rsidRPr="00C21347">
        <w:rPr>
          <w:b/>
          <w:bCs/>
          <w:i/>
          <w:iCs/>
          <w:lang w:val="ru-KZ"/>
        </w:rPr>
        <w:t xml:space="preserve">». </w:t>
      </w:r>
    </w:p>
    <w:p w14:paraId="3C747AD0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Проектом предусматривается: </w:t>
      </w:r>
    </w:p>
    <w:p w14:paraId="5B985168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Оптимизация способов эксплуатации 49 существующих скважин с применением насосного оборудования (УШВН, УЭВН, УЭЦН, УШГН), а также унификация устьевой обвязки скважин в соответствии с типовыми решениями, разработанными в ранее выполненных проектах. </w:t>
      </w:r>
    </w:p>
    <w:p w14:paraId="7D77E66F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На месторождении Северные </w:t>
      </w:r>
      <w:proofErr w:type="spellStart"/>
      <w:r w:rsidRPr="00C21347">
        <w:rPr>
          <w:lang w:val="ru-KZ"/>
        </w:rPr>
        <w:t>Бузачи</w:t>
      </w:r>
      <w:proofErr w:type="spellEnd"/>
      <w:r w:rsidRPr="00C21347">
        <w:rPr>
          <w:lang w:val="ru-KZ"/>
        </w:rPr>
        <w:t xml:space="preserve"> проектом предусмотрено использование четырёх способов добычи нефти для существующих скважин. Скважины оснащаются: </w:t>
      </w:r>
    </w:p>
    <w:p w14:paraId="73B1A23B" w14:textId="77777777" w:rsidR="00C21347" w:rsidRPr="00C21347" w:rsidRDefault="00C21347" w:rsidP="00C21347">
      <w:pPr>
        <w:rPr>
          <w:lang w:val="ru-KZ"/>
        </w:rPr>
      </w:pPr>
      <w:proofErr w:type="spellStart"/>
      <w:r w:rsidRPr="00C21347">
        <w:rPr>
          <w:lang w:val="ru-KZ"/>
        </w:rPr>
        <w:t>виэлектровинтовыми</w:t>
      </w:r>
      <w:proofErr w:type="spellEnd"/>
      <w:r w:rsidRPr="00C21347">
        <w:rPr>
          <w:lang w:val="ru-KZ"/>
        </w:rPr>
        <w:t xml:space="preserve"> насосами (УЭВН); </w:t>
      </w:r>
    </w:p>
    <w:p w14:paraId="00A9A667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электроцентробежными винтовыми насосами (УЭЦН); </w:t>
      </w:r>
    </w:p>
    <w:p w14:paraId="07615F5D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глубинно-штанговыми насосами (УШГН) с применением станков-качалок. Фундамент под станок-качалку, а также сетчатое ограждение станка-качалки при эксплуатации УШГН поставляются в комплекте с установкой штангового глубинного насоса. </w:t>
      </w:r>
    </w:p>
    <w:p w14:paraId="3D943121" w14:textId="77777777" w:rsidR="00C21347" w:rsidRPr="00C21347" w:rsidRDefault="00C21347" w:rsidP="00C21347">
      <w:pPr>
        <w:rPr>
          <w:lang w:val="ru-KZ"/>
        </w:rPr>
      </w:pPr>
      <w:r w:rsidRPr="00C21347">
        <w:rPr>
          <w:b/>
          <w:bCs/>
          <w:i/>
          <w:iCs/>
          <w:lang w:val="ru-KZ"/>
        </w:rPr>
        <w:t xml:space="preserve">Рассмотренные в проекте варианты обустройства скважин электроприводным винтовым насосом и станком качалкой являются равнозначными. В период эксплуатации при необходимости допускается переход с одного вида насосов на другой. </w:t>
      </w:r>
    </w:p>
    <w:p w14:paraId="114C2887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Замер производится с помощью жидкостного расходомера на тех скважинах, где он установлен. Для скважин, не оборудованных жидкостным расходомером, замеры выполняются на существующих </w:t>
      </w:r>
      <w:proofErr w:type="spellStart"/>
      <w:r w:rsidRPr="00C21347">
        <w:rPr>
          <w:lang w:val="ru-KZ"/>
        </w:rPr>
        <w:t>манифольдных</w:t>
      </w:r>
      <w:proofErr w:type="spellEnd"/>
      <w:r w:rsidRPr="00C21347">
        <w:rPr>
          <w:lang w:val="ru-KZ"/>
        </w:rPr>
        <w:t xml:space="preserve"> станциях. </w:t>
      </w:r>
    </w:p>
    <w:p w14:paraId="31BB737C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Наружная поверхность винтового насоса окрашивается желтый сигнальный цвет. </w:t>
      </w:r>
    </w:p>
    <w:p w14:paraId="7F4A3339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Наружная поверхность станка качалки: головки балансира, шатун, кривошип, колпак шкива, электродвигатель окрашиваются красный сигнальный цвет; балансир, редуктор окрашиваются желтый сигнальный цвет. </w:t>
      </w:r>
    </w:p>
    <w:p w14:paraId="5C9C0BBA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Участки трубопроводов окрашиваются опознавательной краской, коричневым цветом. </w:t>
      </w:r>
    </w:p>
    <w:p w14:paraId="697AC419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Цвет маркировочных надписей: «Нефтегазовая смесь» наносимых на трубопроводы и стрелки, указывающие направление потока должны быть черным на белом рядом с коричневым участком. Цвет предупредительных колец должен быть красным, количество предупредительных колец – одно. </w:t>
      </w:r>
    </w:p>
    <w:p w14:paraId="25C1D1A5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Штурвалы или рукоятки запорных арматур окрашиваются в красный сигнальный цвет. </w:t>
      </w:r>
    </w:p>
    <w:p w14:paraId="7A6BF443" w14:textId="2DF538A8" w:rsidR="00C21347" w:rsidRDefault="00C21347" w:rsidP="00C21347">
      <w:pPr>
        <w:rPr>
          <w:lang w:val="ru-KZ"/>
        </w:rPr>
      </w:pPr>
      <w:r w:rsidRPr="00C21347">
        <w:rPr>
          <w:lang w:val="ru-KZ"/>
        </w:rPr>
        <w:lastRenderedPageBreak/>
        <w:t>Окраску наружных трубопроводов производить эпоксидными эмалями наиболее стойкими к атмосферным условиям и воздействию агрессивных сред.</w:t>
      </w:r>
    </w:p>
    <w:p w14:paraId="449BB01B" w14:textId="77777777" w:rsidR="00C21347" w:rsidRPr="00C21347" w:rsidRDefault="00C21347" w:rsidP="00C21347">
      <w:pPr>
        <w:rPr>
          <w:lang w:val="ru-KZ"/>
        </w:rPr>
      </w:pPr>
      <w:r w:rsidRPr="00C21347">
        <w:rPr>
          <w:b/>
          <w:bCs/>
          <w:lang w:val="ru-KZ"/>
        </w:rPr>
        <w:t xml:space="preserve">Строительство </w:t>
      </w:r>
    </w:p>
    <w:p w14:paraId="23BFC65D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На период строительства в атмосферу будет выбрасываться 14 загрязняющих веществ 2,3,4 классов санитарной опасности (значения ПДК и класс опасности каждого вещества определяются на основании Приказа МНЭ РК от 28 февраля 2015 года №168 «Об утверждении Гигиенических нормативов к атмосферному воздуху в городских и сельских населенных пунктах»): </w:t>
      </w:r>
    </w:p>
    <w:p w14:paraId="0F29AD5D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Организованные источники: </w:t>
      </w:r>
    </w:p>
    <w:p w14:paraId="4CEC7884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№0001 – ДЭС </w:t>
      </w:r>
    </w:p>
    <w:p w14:paraId="4E7BE5F2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Неорганизованные источники: </w:t>
      </w:r>
    </w:p>
    <w:p w14:paraId="023156C6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№6001 – Перемещение грунта бульдозером </w:t>
      </w:r>
    </w:p>
    <w:p w14:paraId="39DAA5F3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№6002 – Разработка грунта экскаватором </w:t>
      </w:r>
    </w:p>
    <w:p w14:paraId="141D21B7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№6003 – Шлифовальная машина </w:t>
      </w:r>
    </w:p>
    <w:p w14:paraId="3CA32A12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№6004 – Пересыпка инертных материалов </w:t>
      </w:r>
    </w:p>
    <w:p w14:paraId="5A91BE0B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№6005 – Битумные работы </w:t>
      </w:r>
    </w:p>
    <w:p w14:paraId="24348D1B" w14:textId="77777777" w:rsidR="00C21347" w:rsidRP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№6006 – Сварочные работы </w:t>
      </w:r>
    </w:p>
    <w:p w14:paraId="338B57FA" w14:textId="03D5A0D5" w:rsidR="00C21347" w:rsidRDefault="00C21347" w:rsidP="00C21347">
      <w:pPr>
        <w:rPr>
          <w:lang w:val="ru-KZ"/>
        </w:rPr>
      </w:pPr>
      <w:r w:rsidRPr="00C21347">
        <w:rPr>
          <w:lang w:val="ru-KZ"/>
        </w:rPr>
        <w:t xml:space="preserve">- ист. №6007 – Лакокрасочные работы </w:t>
      </w:r>
    </w:p>
    <w:p w14:paraId="3587CC91" w14:textId="77777777" w:rsidR="00C21347" w:rsidRDefault="00C21347" w:rsidP="00C21347"/>
    <w:sectPr w:rsidR="00C2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1DF7" w14:textId="77777777" w:rsidR="002358C2" w:rsidRDefault="002358C2" w:rsidP="00C21347">
      <w:pPr>
        <w:spacing w:after="0" w:line="240" w:lineRule="auto"/>
      </w:pPr>
      <w:r>
        <w:separator/>
      </w:r>
    </w:p>
  </w:endnote>
  <w:endnote w:type="continuationSeparator" w:id="0">
    <w:p w14:paraId="16D0F09B" w14:textId="77777777" w:rsidR="002358C2" w:rsidRDefault="002358C2" w:rsidP="00C2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E72B" w14:textId="77777777" w:rsidR="002358C2" w:rsidRDefault="002358C2" w:rsidP="00C21347">
      <w:pPr>
        <w:spacing w:after="0" w:line="240" w:lineRule="auto"/>
      </w:pPr>
      <w:r>
        <w:separator/>
      </w:r>
    </w:p>
  </w:footnote>
  <w:footnote w:type="continuationSeparator" w:id="0">
    <w:p w14:paraId="2ACD08D0" w14:textId="77777777" w:rsidR="002358C2" w:rsidRDefault="002358C2" w:rsidP="00C2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58"/>
    <w:rsid w:val="001A3592"/>
    <w:rsid w:val="002358C2"/>
    <w:rsid w:val="002667E5"/>
    <w:rsid w:val="00C21347"/>
    <w:rsid w:val="00CF6323"/>
    <w:rsid w:val="00E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43BA"/>
  <w15:chartTrackingRefBased/>
  <w15:docId w15:val="{A2FCEBA1-5AAF-49B2-AF84-2BAEC6B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347"/>
  </w:style>
  <w:style w:type="paragraph" w:styleId="a5">
    <w:name w:val="footer"/>
    <w:basedOn w:val="a"/>
    <w:link w:val="a6"/>
    <w:uiPriority w:val="99"/>
    <w:unhideWhenUsed/>
    <w:rsid w:val="00C2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347"/>
  </w:style>
  <w:style w:type="paragraph" w:customStyle="1" w:styleId="Default">
    <w:name w:val="Default"/>
    <w:rsid w:val="00C2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Company>HP Inc.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Dossan Zhanabay</dc:creator>
  <cp:keywords/>
  <dc:description/>
  <cp:lastModifiedBy>Dossan Zhanabay</cp:lastModifiedBy>
  <cp:revision>2</cp:revision>
  <dcterms:created xsi:type="dcterms:W3CDTF">2026-02-18T10:52:00Z</dcterms:created>
  <dcterms:modified xsi:type="dcterms:W3CDTF">2026-02-18T10:55:00Z</dcterms:modified>
</cp:coreProperties>
</file>