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A505" w14:textId="5669640A" w:rsidR="00377E55" w:rsidRPr="00377E55" w:rsidRDefault="00377E55" w:rsidP="00377E55">
      <w:pPr>
        <w:pStyle w:val="a3"/>
        <w:shd w:val="clear" w:color="auto" w:fill="FFFFFF"/>
        <w:spacing w:before="0" w:beforeAutospacing="0" w:after="0" w:afterAutospacing="0"/>
        <w:jc w:val="center"/>
        <w:rPr>
          <w:b/>
          <w:bCs/>
          <w:color w:val="000000"/>
        </w:rPr>
      </w:pPr>
      <w:bookmarkStart w:id="0" w:name="_Hlk167055897"/>
      <w:r w:rsidRPr="00377E55">
        <w:rPr>
          <w:b/>
          <w:bCs/>
          <w:color w:val="000000"/>
        </w:rPr>
        <w:t>Н</w:t>
      </w:r>
      <w:r w:rsidRPr="00377E55">
        <w:rPr>
          <w:b/>
          <w:bCs/>
          <w:color w:val="000000"/>
        </w:rPr>
        <w:t>етехническое резюме</w:t>
      </w:r>
      <w:r w:rsidRPr="00377E55">
        <w:rPr>
          <w:b/>
          <w:bCs/>
          <w:color w:val="000000"/>
        </w:rPr>
        <w:t>.</w:t>
      </w:r>
    </w:p>
    <w:p w14:paraId="1C5EB98C" w14:textId="02B5C8B3" w:rsidR="00F4397B" w:rsidRPr="00377E55" w:rsidRDefault="00377E55" w:rsidP="00F4397B">
      <w:pPr>
        <w:pStyle w:val="a3"/>
        <w:shd w:val="clear" w:color="auto" w:fill="FFFFFF"/>
        <w:spacing w:before="0" w:beforeAutospacing="0" w:after="0" w:afterAutospacing="0"/>
        <w:rPr>
          <w:b/>
          <w:bCs/>
          <w:i/>
          <w:iCs/>
          <w:color w:val="000000"/>
        </w:rPr>
      </w:pPr>
      <w:r w:rsidRPr="00377E55">
        <w:rPr>
          <w:b/>
          <w:bCs/>
          <w:i/>
          <w:iCs/>
          <w:color w:val="000000"/>
        </w:rPr>
        <w:t>1</w:t>
      </w:r>
      <w:r w:rsidR="00F4397B" w:rsidRPr="00377E55">
        <w:rPr>
          <w:b/>
          <w:bCs/>
          <w:i/>
          <w:iCs/>
          <w:color w:val="000000"/>
        </w:rPr>
        <w:t>. «</w:t>
      </w:r>
      <w:r w:rsidR="00F4397B" w:rsidRPr="00377E55">
        <w:rPr>
          <w:b/>
          <w:bCs/>
          <w:i/>
          <w:iCs/>
        </w:rPr>
        <w:t xml:space="preserve">«Обустройство уплотняющих скважин м/р </w:t>
      </w:r>
      <w:proofErr w:type="spellStart"/>
      <w:r w:rsidR="00F4397B" w:rsidRPr="00377E55">
        <w:rPr>
          <w:b/>
          <w:bCs/>
          <w:i/>
          <w:iCs/>
        </w:rPr>
        <w:t>Каламкас</w:t>
      </w:r>
      <w:proofErr w:type="spellEnd"/>
      <w:r w:rsidR="00F4397B" w:rsidRPr="00377E55">
        <w:rPr>
          <w:b/>
          <w:bCs/>
          <w:i/>
          <w:iCs/>
        </w:rPr>
        <w:t xml:space="preserve"> 21 очередь»</w:t>
      </w:r>
      <w:r w:rsidR="00F4397B" w:rsidRPr="00377E55">
        <w:rPr>
          <w:b/>
          <w:bCs/>
          <w:i/>
          <w:iCs/>
          <w:color w:val="000000"/>
        </w:rPr>
        <w:t>»</w:t>
      </w:r>
      <w:r w:rsidR="000775F6">
        <w:rPr>
          <w:b/>
          <w:bCs/>
          <w:i/>
          <w:iCs/>
          <w:color w:val="000000"/>
        </w:rPr>
        <w:t>.</w:t>
      </w:r>
    </w:p>
    <w:p w14:paraId="7900EF66" w14:textId="77777777" w:rsidR="008235C8" w:rsidRDefault="008235C8" w:rsidP="000775F6">
      <w:pPr>
        <w:pStyle w:val="Default"/>
        <w:jc w:val="both"/>
        <w:rPr>
          <w:sz w:val="23"/>
          <w:szCs w:val="23"/>
        </w:rPr>
      </w:pPr>
      <w:r w:rsidRPr="008235C8">
        <w:rPr>
          <w:bCs/>
          <w:sz w:val="23"/>
          <w:szCs w:val="23"/>
        </w:rPr>
        <w:t>Основные проектные решения.</w:t>
      </w:r>
      <w:r>
        <w:rPr>
          <w:b/>
          <w:bCs/>
          <w:sz w:val="23"/>
          <w:szCs w:val="23"/>
        </w:rPr>
        <w:t xml:space="preserve"> </w:t>
      </w:r>
    </w:p>
    <w:p w14:paraId="33ED0298" w14:textId="77777777" w:rsidR="008235C8" w:rsidRDefault="008235C8" w:rsidP="000775F6">
      <w:pPr>
        <w:pStyle w:val="Default"/>
        <w:jc w:val="both"/>
        <w:rPr>
          <w:sz w:val="23"/>
          <w:szCs w:val="23"/>
        </w:rPr>
      </w:pPr>
      <w:r>
        <w:rPr>
          <w:sz w:val="23"/>
          <w:szCs w:val="23"/>
        </w:rPr>
        <w:t xml:space="preserve">Объем проектирования по данному объекту: </w:t>
      </w:r>
    </w:p>
    <w:p w14:paraId="26895E0F" w14:textId="77777777" w:rsidR="008235C8" w:rsidRDefault="008235C8" w:rsidP="000775F6">
      <w:pPr>
        <w:pStyle w:val="Default"/>
        <w:jc w:val="both"/>
        <w:rPr>
          <w:sz w:val="23"/>
          <w:szCs w:val="23"/>
        </w:rPr>
      </w:pPr>
      <w:r>
        <w:rPr>
          <w:sz w:val="23"/>
          <w:szCs w:val="23"/>
        </w:rPr>
        <w:t xml:space="preserve">- обустройство устьев 57-и добывающих скважин; </w:t>
      </w:r>
    </w:p>
    <w:p w14:paraId="7EEA1AF2" w14:textId="77777777" w:rsidR="008235C8" w:rsidRDefault="008235C8" w:rsidP="000775F6">
      <w:pPr>
        <w:pStyle w:val="Default"/>
        <w:jc w:val="both"/>
        <w:rPr>
          <w:sz w:val="23"/>
          <w:szCs w:val="23"/>
        </w:rPr>
      </w:pPr>
      <w:r>
        <w:rPr>
          <w:sz w:val="23"/>
          <w:szCs w:val="23"/>
        </w:rPr>
        <w:t xml:space="preserve">- система сбора и транспорта нефти (выкидные линии); </w:t>
      </w:r>
    </w:p>
    <w:p w14:paraId="7618AA46" w14:textId="77777777" w:rsidR="008235C8" w:rsidRDefault="008235C8" w:rsidP="000775F6">
      <w:pPr>
        <w:pStyle w:val="Default"/>
        <w:jc w:val="both"/>
        <w:rPr>
          <w:sz w:val="23"/>
          <w:szCs w:val="23"/>
        </w:rPr>
      </w:pPr>
      <w:r>
        <w:rPr>
          <w:sz w:val="23"/>
          <w:szCs w:val="23"/>
        </w:rPr>
        <w:t xml:space="preserve">- обустройство устьев 8-и нагнетательных скважин; </w:t>
      </w:r>
    </w:p>
    <w:p w14:paraId="2B494315" w14:textId="77777777" w:rsidR="008235C8" w:rsidRDefault="008235C8" w:rsidP="000775F6">
      <w:pPr>
        <w:pStyle w:val="Default"/>
        <w:jc w:val="both"/>
        <w:rPr>
          <w:sz w:val="23"/>
          <w:szCs w:val="23"/>
        </w:rPr>
      </w:pPr>
      <w:r>
        <w:rPr>
          <w:sz w:val="23"/>
          <w:szCs w:val="23"/>
        </w:rPr>
        <w:t xml:space="preserve">- высоконапорные водоводы (нагнетательные линии); </w:t>
      </w:r>
    </w:p>
    <w:p w14:paraId="349F35A6" w14:textId="77777777" w:rsidR="008235C8" w:rsidRDefault="008235C8" w:rsidP="000775F6">
      <w:pPr>
        <w:pStyle w:val="Default"/>
        <w:jc w:val="both"/>
        <w:rPr>
          <w:sz w:val="23"/>
          <w:szCs w:val="23"/>
        </w:rPr>
      </w:pPr>
      <w:r>
        <w:rPr>
          <w:sz w:val="23"/>
          <w:szCs w:val="23"/>
        </w:rPr>
        <w:t xml:space="preserve">- строительство замерной установки ЗУ; </w:t>
      </w:r>
    </w:p>
    <w:p w14:paraId="5ADA03E9" w14:textId="77777777" w:rsidR="008235C8" w:rsidRDefault="008235C8" w:rsidP="000775F6">
      <w:pPr>
        <w:pStyle w:val="a3"/>
        <w:shd w:val="clear" w:color="auto" w:fill="FFFFFF"/>
        <w:spacing w:before="0" w:beforeAutospacing="0" w:after="0" w:afterAutospacing="0"/>
        <w:jc w:val="both"/>
        <w:rPr>
          <w:color w:val="000000"/>
        </w:rPr>
      </w:pPr>
      <w:r>
        <w:rPr>
          <w:sz w:val="23"/>
          <w:szCs w:val="23"/>
        </w:rPr>
        <w:t>- инженерное обеспечение запроектированных объектов.</w:t>
      </w:r>
    </w:p>
    <w:p w14:paraId="20B6B7F8" w14:textId="77777777" w:rsidR="000775F6" w:rsidRDefault="000775F6" w:rsidP="000775F6">
      <w:pPr>
        <w:ind w:firstLine="709"/>
        <w:jc w:val="both"/>
      </w:pPr>
      <w:r w:rsidRPr="0012327B">
        <w:t>При строительстве определены 1 организованный источник и 1</w:t>
      </w:r>
      <w:r>
        <w:t>2</w:t>
      </w:r>
      <w:r w:rsidRPr="0012327B">
        <w:t xml:space="preserve"> неорганизованных </w:t>
      </w:r>
      <w:r w:rsidRPr="006F7F69">
        <w:t xml:space="preserve">источника выбросов ЗВ. В атмосферу будут выбрасываться загрязняющие вещества </w:t>
      </w:r>
      <w:r w:rsidRPr="00C16D7E">
        <w:t>1</w:t>
      </w:r>
      <w:r w:rsidRPr="006F7F69">
        <w:t xml:space="preserve">5 </w:t>
      </w:r>
      <w:r w:rsidRPr="000F2B07">
        <w:t xml:space="preserve">наименований. </w:t>
      </w:r>
    </w:p>
    <w:p w14:paraId="1CBC750B" w14:textId="77777777" w:rsidR="000775F6" w:rsidRDefault="000775F6" w:rsidP="000775F6">
      <w:pPr>
        <w:ind w:firstLine="709"/>
        <w:jc w:val="both"/>
      </w:pPr>
      <w:r w:rsidRPr="000F2B07">
        <w:t xml:space="preserve">Общий объем выбросов загрязняющих веществ при строительстве составит: </w:t>
      </w:r>
    </w:p>
    <w:p w14:paraId="04E2F992" w14:textId="77777777" w:rsidR="000775F6" w:rsidRPr="006345D8" w:rsidRDefault="000775F6" w:rsidP="000775F6">
      <w:pPr>
        <w:ind w:firstLine="709"/>
        <w:jc w:val="both"/>
      </w:pPr>
      <w:r w:rsidRPr="006345D8">
        <w:t>202</w:t>
      </w:r>
      <w:r>
        <w:t>6</w:t>
      </w:r>
      <w:r w:rsidRPr="006345D8">
        <w:t>г. - 1.0131708 г/сек и 0.7508427 т/год,</w:t>
      </w:r>
    </w:p>
    <w:p w14:paraId="128D0FF6" w14:textId="77777777" w:rsidR="000775F6" w:rsidRPr="00C32AC1" w:rsidRDefault="000775F6" w:rsidP="000775F6">
      <w:pPr>
        <w:ind w:firstLine="709"/>
        <w:jc w:val="both"/>
      </w:pPr>
      <w:r w:rsidRPr="00F34BF6">
        <w:t>202</w:t>
      </w:r>
      <w:r>
        <w:t>7</w:t>
      </w:r>
      <w:r w:rsidRPr="00F34BF6">
        <w:t>г. - 1.0138479 г/сек и 4.2554916 т/год.</w:t>
      </w:r>
    </w:p>
    <w:p w14:paraId="48AA1381" w14:textId="77777777" w:rsidR="000775F6" w:rsidRDefault="000775F6" w:rsidP="000775F6">
      <w:pPr>
        <w:ind w:firstLine="709"/>
        <w:jc w:val="both"/>
      </w:pPr>
      <w:r w:rsidRPr="003D1D96">
        <w:t xml:space="preserve">При эксплуатации определены 1 неорганизованный источник выбросов ЗВ. В атмосферу будут выбрасываться загрязняющие вещества 1 наименований. Общий объем выбросов загрязняющих веществ при эксплуатации составит: </w:t>
      </w:r>
      <w:r>
        <w:t xml:space="preserve">0.0013556 г/сек и </w:t>
      </w:r>
      <w:r w:rsidRPr="006F186D">
        <w:t>0.0005742</w:t>
      </w:r>
      <w:r>
        <w:t xml:space="preserve"> </w:t>
      </w:r>
      <w:r w:rsidRPr="006F186D">
        <w:t>т/год.</w:t>
      </w:r>
    </w:p>
    <w:p w14:paraId="3FBB0C1D" w14:textId="77777777" w:rsidR="000775F6" w:rsidRPr="0060581C" w:rsidRDefault="000775F6" w:rsidP="000775F6">
      <w:pPr>
        <w:tabs>
          <w:tab w:val="left" w:pos="0"/>
        </w:tabs>
        <w:ind w:firstLine="709"/>
        <w:jc w:val="both"/>
      </w:pPr>
      <w:r w:rsidRPr="00B559FC">
        <w:t>Выбросы загрязняющих веществ от источников определялись расчетным методом на</w:t>
      </w:r>
      <w:r w:rsidRPr="0060581C">
        <w:t xml:space="preserve"> основании действующих методик.</w:t>
      </w:r>
    </w:p>
    <w:p w14:paraId="05CC7C9F" w14:textId="77777777" w:rsidR="000775F6" w:rsidRPr="001B372F" w:rsidRDefault="000775F6" w:rsidP="000775F6">
      <w:pPr>
        <w:ind w:firstLine="709"/>
        <w:jc w:val="both"/>
        <w:rPr>
          <w:rFonts w:eastAsiaTheme="minorHAnsi"/>
          <w:szCs w:val="22"/>
          <w:lang w:eastAsia="en-US"/>
        </w:rPr>
      </w:pPr>
      <w:r w:rsidRPr="001B372F">
        <w:rPr>
          <w:szCs w:val="22"/>
        </w:rPr>
        <w:t>Источник воды на хозяйственно-питьевые нужды - привозная бутилированная вода.</w:t>
      </w:r>
    </w:p>
    <w:p w14:paraId="10D58933" w14:textId="77777777" w:rsidR="000775F6" w:rsidRPr="001B372F" w:rsidRDefault="000775F6" w:rsidP="000775F6">
      <w:pPr>
        <w:ind w:firstLine="709"/>
        <w:jc w:val="both"/>
      </w:pPr>
      <w:proofErr w:type="spellStart"/>
      <w:r w:rsidRPr="001B372F">
        <w:t>Хоз</w:t>
      </w:r>
      <w:proofErr w:type="spellEnd"/>
      <w:r w:rsidRPr="001B372F">
        <w:t xml:space="preserve">-бытовые сточные воды сбрасываются в </w:t>
      </w:r>
      <w:r w:rsidRPr="0077206A">
        <w:t>биотуалет</w:t>
      </w:r>
      <w:r w:rsidRPr="001B372F">
        <w:t>, по мере накопления будут вывозиться по договору специализированной организацией.</w:t>
      </w:r>
    </w:p>
    <w:p w14:paraId="6AFD2E29" w14:textId="77777777" w:rsidR="000775F6" w:rsidRDefault="000775F6" w:rsidP="000775F6">
      <w:pPr>
        <w:tabs>
          <w:tab w:val="left" w:pos="0"/>
        </w:tabs>
        <w:ind w:firstLine="709"/>
        <w:jc w:val="both"/>
      </w:pPr>
      <w:r w:rsidRPr="009458CF">
        <w:t xml:space="preserve">Объем образования отходов при строительстве </w:t>
      </w:r>
      <w:r>
        <w:t xml:space="preserve">на 2026 год </w:t>
      </w:r>
      <w:r w:rsidRPr="009458CF">
        <w:t xml:space="preserve">составит – </w:t>
      </w:r>
      <w:r w:rsidRPr="007A6A09">
        <w:t>1,883525</w:t>
      </w:r>
      <w:r>
        <w:t xml:space="preserve"> </w:t>
      </w:r>
      <w:r w:rsidRPr="009458CF">
        <w:t xml:space="preserve">т/год, </w:t>
      </w:r>
      <w:r>
        <w:t xml:space="preserve">на 2027 год - </w:t>
      </w:r>
      <w:r w:rsidRPr="00A53136">
        <w:t>9,403375</w:t>
      </w:r>
      <w:r>
        <w:t xml:space="preserve"> т/год.</w:t>
      </w:r>
    </w:p>
    <w:p w14:paraId="2086F197" w14:textId="77777777" w:rsidR="000775F6" w:rsidRDefault="000775F6" w:rsidP="000775F6">
      <w:pPr>
        <w:ind w:firstLine="709"/>
        <w:jc w:val="both"/>
      </w:pPr>
      <w:r w:rsidRPr="003314E1">
        <w:t>В административном отношении район строительства входит в состав Мангистауского района Мангистауской области РК.</w:t>
      </w:r>
    </w:p>
    <w:p w14:paraId="73EF012C" w14:textId="77777777" w:rsidR="000775F6" w:rsidRDefault="000775F6" w:rsidP="000775F6">
      <w:pPr>
        <w:ind w:firstLine="709"/>
        <w:jc w:val="both"/>
      </w:pPr>
      <w:r w:rsidRPr="008641E2">
        <w:t>Проектом предусматривается обустройство 65 скважин.</w:t>
      </w:r>
    </w:p>
    <w:p w14:paraId="330CF497" w14:textId="77777777" w:rsidR="000775F6" w:rsidRPr="008641E2" w:rsidRDefault="000775F6" w:rsidP="000775F6">
      <w:pPr>
        <w:ind w:firstLine="709"/>
        <w:jc w:val="both"/>
      </w:pPr>
      <w:r w:rsidRPr="008641E2">
        <w:t>Добывающие скважины:</w:t>
      </w:r>
    </w:p>
    <w:p w14:paraId="13100539" w14:textId="77777777" w:rsidR="000775F6" w:rsidRPr="008641E2" w:rsidRDefault="000775F6" w:rsidP="000775F6">
      <w:pPr>
        <w:ind w:firstLine="709"/>
        <w:jc w:val="both"/>
      </w:pPr>
      <w:r>
        <w:t>•</w:t>
      </w:r>
      <w:r>
        <w:tab/>
        <w:t>Площадка под</w:t>
      </w:r>
      <w:r w:rsidRPr="008641E2">
        <w:t xml:space="preserve"> передвижной агрегат;</w:t>
      </w:r>
    </w:p>
    <w:p w14:paraId="68A5104E" w14:textId="77777777" w:rsidR="000775F6" w:rsidRPr="008641E2" w:rsidRDefault="000775F6" w:rsidP="000775F6">
      <w:pPr>
        <w:ind w:firstLine="709"/>
        <w:jc w:val="both"/>
      </w:pPr>
      <w:r w:rsidRPr="008641E2">
        <w:t>•</w:t>
      </w:r>
      <w:r w:rsidRPr="008641E2">
        <w:tab/>
        <w:t>Площадка под трансформаторную подстанцию;</w:t>
      </w:r>
    </w:p>
    <w:p w14:paraId="1F6F6DCF" w14:textId="77777777" w:rsidR="000775F6" w:rsidRPr="008641E2" w:rsidRDefault="000775F6" w:rsidP="000775F6">
      <w:pPr>
        <w:ind w:firstLine="709"/>
        <w:jc w:val="both"/>
      </w:pPr>
      <w:r w:rsidRPr="008641E2">
        <w:t>•</w:t>
      </w:r>
      <w:r w:rsidRPr="008641E2">
        <w:tab/>
        <w:t>Фундамент под станок-качалку;</w:t>
      </w:r>
    </w:p>
    <w:p w14:paraId="10D46024" w14:textId="77777777" w:rsidR="000775F6" w:rsidRPr="008641E2" w:rsidRDefault="000775F6" w:rsidP="000775F6">
      <w:pPr>
        <w:ind w:firstLine="709"/>
        <w:jc w:val="both"/>
      </w:pPr>
      <w:r w:rsidRPr="008641E2">
        <w:t>•</w:t>
      </w:r>
      <w:r w:rsidRPr="008641E2">
        <w:tab/>
        <w:t>Колодец сбора утечек;</w:t>
      </w:r>
    </w:p>
    <w:p w14:paraId="3E78F28F" w14:textId="77777777" w:rsidR="000775F6" w:rsidRPr="008641E2" w:rsidRDefault="000775F6" w:rsidP="000775F6">
      <w:pPr>
        <w:ind w:firstLine="709"/>
        <w:jc w:val="both"/>
      </w:pPr>
      <w:r w:rsidRPr="008641E2">
        <w:t>•</w:t>
      </w:r>
      <w:r w:rsidRPr="008641E2">
        <w:tab/>
        <w:t>Ограждение устья скважины.</w:t>
      </w:r>
    </w:p>
    <w:p w14:paraId="40FE3B9B" w14:textId="77777777" w:rsidR="000775F6" w:rsidRPr="008641E2" w:rsidRDefault="000775F6" w:rsidP="000775F6">
      <w:pPr>
        <w:ind w:firstLine="709"/>
        <w:jc w:val="both"/>
      </w:pPr>
      <w:r w:rsidRPr="008641E2">
        <w:t>Нагнетательные скважины.</w:t>
      </w:r>
    </w:p>
    <w:p w14:paraId="7441731C" w14:textId="77777777" w:rsidR="000775F6" w:rsidRPr="008641E2" w:rsidRDefault="000775F6" w:rsidP="000775F6">
      <w:pPr>
        <w:ind w:firstLine="709"/>
        <w:jc w:val="both"/>
      </w:pPr>
      <w:r w:rsidRPr="008641E2">
        <w:t>•</w:t>
      </w:r>
      <w:r w:rsidRPr="008641E2">
        <w:tab/>
      </w:r>
      <w:r>
        <w:t>Площадка под</w:t>
      </w:r>
      <w:r w:rsidRPr="008641E2">
        <w:t xml:space="preserve"> передвижной агрегат;</w:t>
      </w:r>
    </w:p>
    <w:p w14:paraId="0DE9F628" w14:textId="77777777" w:rsidR="000775F6" w:rsidRPr="008641E2" w:rsidRDefault="000775F6" w:rsidP="000775F6">
      <w:pPr>
        <w:ind w:firstLine="709"/>
        <w:jc w:val="both"/>
      </w:pPr>
      <w:r w:rsidRPr="008641E2">
        <w:t>•</w:t>
      </w:r>
      <w:r w:rsidRPr="008641E2">
        <w:tab/>
        <w:t>Фундамент под трансформаторную подстанцию;</w:t>
      </w:r>
    </w:p>
    <w:p w14:paraId="63950F1B" w14:textId="77777777" w:rsidR="000775F6" w:rsidRDefault="000775F6" w:rsidP="000775F6">
      <w:pPr>
        <w:ind w:firstLine="709"/>
        <w:jc w:val="both"/>
      </w:pPr>
      <w:r w:rsidRPr="008641E2">
        <w:t>•</w:t>
      </w:r>
      <w:r w:rsidRPr="008641E2">
        <w:tab/>
        <w:t>Колодец сбора утечек.</w:t>
      </w:r>
    </w:p>
    <w:p w14:paraId="68716FF3" w14:textId="77777777" w:rsidR="000775F6" w:rsidRDefault="000775F6" w:rsidP="000775F6">
      <w:pPr>
        <w:ind w:firstLine="709"/>
        <w:jc w:val="both"/>
      </w:pPr>
      <w:r w:rsidRPr="008641E2">
        <w:t>После ухода буровой установки площадка имеет значительные неровности. Проектными решениями предусматривается выполнить планировку из ПГС высотой -0,1 м. Поверхности площадки придан двускатный профиль с уклоном от оси к бровкам 5%. Заложение откосов принято 1:2.</w:t>
      </w:r>
    </w:p>
    <w:p w14:paraId="62E0A1C1" w14:textId="77777777" w:rsidR="000775F6" w:rsidRDefault="000775F6" w:rsidP="000775F6">
      <w:pPr>
        <w:ind w:firstLine="709"/>
        <w:jc w:val="both"/>
      </w:pPr>
      <w:r w:rsidRPr="008641E2">
        <w:t xml:space="preserve">Проектные решения по организации движения транспортных средств по </w:t>
      </w:r>
      <w:proofErr w:type="spellStart"/>
      <w:r w:rsidRPr="008641E2">
        <w:t>внутрипромысловым</w:t>
      </w:r>
      <w:proofErr w:type="spellEnd"/>
      <w:r w:rsidRPr="008641E2">
        <w:t xml:space="preserve"> монтажным проездам направлены на обеспечение безо</w:t>
      </w:r>
      <w:r>
        <w:t>пасности движения транспорт</w:t>
      </w:r>
      <w:r w:rsidRPr="008641E2">
        <w:t>ных средств и удобств транспортного обслуживания объектов нефтепромысла.</w:t>
      </w:r>
    </w:p>
    <w:p w14:paraId="482D15E7" w14:textId="77777777" w:rsidR="000775F6" w:rsidRPr="008641E2" w:rsidRDefault="000775F6" w:rsidP="000775F6">
      <w:pPr>
        <w:ind w:firstLine="709"/>
        <w:jc w:val="both"/>
        <w:rPr>
          <w:b/>
        </w:rPr>
      </w:pPr>
      <w:r w:rsidRPr="008641E2">
        <w:rPr>
          <w:b/>
        </w:rPr>
        <w:t>СБОР НЕФТИ И ГАЗА. ЗАВОДНЕНИЕ ПЛАСТОВ.</w:t>
      </w:r>
    </w:p>
    <w:p w14:paraId="04AE1BFC" w14:textId="77777777" w:rsidR="000775F6" w:rsidRPr="008641E2" w:rsidRDefault="000775F6" w:rsidP="000775F6">
      <w:pPr>
        <w:ind w:firstLine="709"/>
        <w:jc w:val="both"/>
      </w:pPr>
      <w:r w:rsidRPr="008641E2">
        <w:t>Размещение основных объектов добычи, сбора и тр</w:t>
      </w:r>
      <w:r>
        <w:t>анспорта продукции скважин реша</w:t>
      </w:r>
      <w:r w:rsidRPr="008641E2">
        <w:t xml:space="preserve">лось на основании технологической схемы разработки месторождения </w:t>
      </w:r>
      <w:proofErr w:type="spellStart"/>
      <w:r w:rsidRPr="008641E2">
        <w:t>Каламкас</w:t>
      </w:r>
      <w:proofErr w:type="spellEnd"/>
      <w:r w:rsidRPr="008641E2">
        <w:t xml:space="preserve">. </w:t>
      </w:r>
    </w:p>
    <w:p w14:paraId="26743697" w14:textId="77777777" w:rsidR="000775F6" w:rsidRPr="008641E2" w:rsidRDefault="000775F6" w:rsidP="000775F6">
      <w:pPr>
        <w:ind w:firstLine="709"/>
        <w:jc w:val="both"/>
      </w:pPr>
      <w:r>
        <w:t>В проекте «</w:t>
      </w:r>
      <w:r w:rsidRPr="008641E2">
        <w:t xml:space="preserve">Обустройство уплотняющих скважин м/р </w:t>
      </w:r>
      <w:proofErr w:type="spellStart"/>
      <w:r w:rsidRPr="008641E2">
        <w:t>К</w:t>
      </w:r>
      <w:r>
        <w:t>аламкас</w:t>
      </w:r>
      <w:proofErr w:type="spellEnd"/>
      <w:r>
        <w:t>. XXI очередь» предусмат</w:t>
      </w:r>
      <w:r w:rsidRPr="008641E2">
        <w:t>ривается:</w:t>
      </w:r>
    </w:p>
    <w:p w14:paraId="535F007E" w14:textId="77777777" w:rsidR="000775F6" w:rsidRPr="008641E2" w:rsidRDefault="000775F6" w:rsidP="000775F6">
      <w:pPr>
        <w:ind w:firstLine="709"/>
        <w:jc w:val="both"/>
      </w:pPr>
      <w:r w:rsidRPr="008641E2">
        <w:lastRenderedPageBreak/>
        <w:t xml:space="preserve">- обустройство устьев 57-и добывающих скважин; </w:t>
      </w:r>
    </w:p>
    <w:p w14:paraId="7EA2C01B" w14:textId="77777777" w:rsidR="000775F6" w:rsidRPr="008641E2" w:rsidRDefault="000775F6" w:rsidP="000775F6">
      <w:pPr>
        <w:ind w:firstLine="709"/>
        <w:jc w:val="both"/>
      </w:pPr>
      <w:r w:rsidRPr="008641E2">
        <w:t>- выкидные линии;</w:t>
      </w:r>
    </w:p>
    <w:p w14:paraId="44B0BFF3" w14:textId="77777777" w:rsidR="000775F6" w:rsidRPr="008641E2" w:rsidRDefault="000775F6" w:rsidP="000775F6">
      <w:pPr>
        <w:ind w:firstLine="709"/>
        <w:jc w:val="both"/>
      </w:pPr>
      <w:r w:rsidRPr="008641E2">
        <w:t>- обустройство устьев 8-и нагнетательных скважин;</w:t>
      </w:r>
    </w:p>
    <w:p w14:paraId="4BC095BC" w14:textId="77777777" w:rsidR="000775F6" w:rsidRDefault="000775F6" w:rsidP="000775F6">
      <w:pPr>
        <w:ind w:firstLine="709"/>
        <w:jc w:val="both"/>
      </w:pPr>
      <w:r w:rsidRPr="008641E2">
        <w:t>- нагнетательные линии;</w:t>
      </w:r>
    </w:p>
    <w:p w14:paraId="363D1993" w14:textId="77777777" w:rsidR="000775F6" w:rsidRPr="008641E2" w:rsidRDefault="000775F6" w:rsidP="000775F6">
      <w:pPr>
        <w:ind w:firstLine="709"/>
        <w:jc w:val="both"/>
        <w:rPr>
          <w:b/>
        </w:rPr>
      </w:pPr>
      <w:r w:rsidRPr="008641E2">
        <w:rPr>
          <w:b/>
        </w:rPr>
        <w:t>Обустройство устьев добывающих скважин.</w:t>
      </w:r>
    </w:p>
    <w:p w14:paraId="610AF2CB" w14:textId="77777777" w:rsidR="000775F6" w:rsidRPr="008641E2" w:rsidRDefault="000775F6" w:rsidP="000775F6">
      <w:pPr>
        <w:ind w:firstLine="709"/>
        <w:jc w:val="both"/>
        <w:rPr>
          <w:b/>
          <w:i/>
        </w:rPr>
      </w:pPr>
      <w:r w:rsidRPr="008641E2">
        <w:rPr>
          <w:b/>
          <w:i/>
        </w:rPr>
        <w:t>Технологическая схема обустройства площадок скважин.</w:t>
      </w:r>
    </w:p>
    <w:p w14:paraId="7C114024" w14:textId="48A34766" w:rsidR="000775F6" w:rsidRDefault="000775F6" w:rsidP="000775F6">
      <w:pPr>
        <w:ind w:firstLine="709"/>
        <w:jc w:val="both"/>
      </w:pPr>
      <w:r w:rsidRPr="008641E2">
        <w:t xml:space="preserve">Добыча нефти на проектируемых 57-и добывающих </w:t>
      </w:r>
      <w:r>
        <w:t>скважинах осуществляется механи</w:t>
      </w:r>
      <w:r w:rsidRPr="008641E2">
        <w:t>зированным способом.</w:t>
      </w:r>
    </w:p>
    <w:p w14:paraId="2D6D633C" w14:textId="77777777" w:rsidR="00354961" w:rsidRPr="00860C27" w:rsidRDefault="00354961" w:rsidP="00354961">
      <w:pPr>
        <w:ind w:firstLine="709"/>
        <w:jc w:val="both"/>
      </w:pPr>
      <w:r w:rsidRPr="00860C27">
        <w:t>Всего в проекте рассматривается обустройство 8-и новых нагнетательных скважин.</w:t>
      </w:r>
    </w:p>
    <w:p w14:paraId="5AB347DC" w14:textId="77777777" w:rsidR="00354961" w:rsidRPr="00AF2A3E" w:rsidRDefault="00354961" w:rsidP="00354961">
      <w:pPr>
        <w:ind w:firstLine="709"/>
        <w:jc w:val="both"/>
        <w:rPr>
          <w:b/>
        </w:rPr>
      </w:pPr>
      <w:r w:rsidRPr="00AF2A3E">
        <w:rPr>
          <w:b/>
        </w:rPr>
        <w:t>АРХИТЕКТУРНО-СТРОИТЕЛЬНЫЕ РЕШЕНИЯ.</w:t>
      </w:r>
    </w:p>
    <w:p w14:paraId="2AD89BDD" w14:textId="77777777" w:rsidR="00354961" w:rsidRPr="00AF2A3E" w:rsidRDefault="00354961" w:rsidP="00354961">
      <w:pPr>
        <w:ind w:firstLine="709"/>
        <w:jc w:val="both"/>
      </w:pPr>
      <w:r>
        <w:t xml:space="preserve">На площадках скважин </w:t>
      </w:r>
      <w:r w:rsidRPr="00AF2A3E">
        <w:t>запроектированы следующие сооружения и строительные конструкции:</w:t>
      </w:r>
    </w:p>
    <w:p w14:paraId="52E03810" w14:textId="77777777" w:rsidR="00354961" w:rsidRPr="00AF2A3E" w:rsidRDefault="00354961" w:rsidP="00354961">
      <w:pPr>
        <w:ind w:firstLine="709"/>
        <w:jc w:val="both"/>
      </w:pPr>
      <w:r w:rsidRPr="00AF2A3E">
        <w:t>Добывающие скважины:</w:t>
      </w:r>
    </w:p>
    <w:p w14:paraId="7ED3A24A" w14:textId="77777777" w:rsidR="00354961" w:rsidRPr="00AF2A3E" w:rsidRDefault="00354961" w:rsidP="00354961">
      <w:pPr>
        <w:ind w:firstLine="709"/>
        <w:jc w:val="both"/>
      </w:pPr>
      <w:r>
        <w:t>•</w:t>
      </w:r>
      <w:r>
        <w:tab/>
        <w:t>Площадка под</w:t>
      </w:r>
      <w:r w:rsidRPr="00AF2A3E">
        <w:t xml:space="preserve"> передвижной агрегат;</w:t>
      </w:r>
    </w:p>
    <w:p w14:paraId="1805E0FA" w14:textId="77777777" w:rsidR="00354961" w:rsidRPr="00AF2A3E" w:rsidRDefault="00354961" w:rsidP="00354961">
      <w:pPr>
        <w:ind w:firstLine="709"/>
        <w:jc w:val="both"/>
      </w:pPr>
      <w:r w:rsidRPr="00AF2A3E">
        <w:t>•</w:t>
      </w:r>
      <w:r w:rsidRPr="00AF2A3E">
        <w:tab/>
        <w:t>Площадка под трансформаторную подстанцию;</w:t>
      </w:r>
    </w:p>
    <w:p w14:paraId="3494A678" w14:textId="77777777" w:rsidR="00354961" w:rsidRPr="00AF2A3E" w:rsidRDefault="00354961" w:rsidP="00354961">
      <w:pPr>
        <w:ind w:firstLine="709"/>
        <w:jc w:val="both"/>
      </w:pPr>
      <w:r w:rsidRPr="00AF2A3E">
        <w:t>•</w:t>
      </w:r>
      <w:r w:rsidRPr="00AF2A3E">
        <w:tab/>
        <w:t>Фундамент под станок-качалку;</w:t>
      </w:r>
    </w:p>
    <w:p w14:paraId="45C326A8" w14:textId="77777777" w:rsidR="00354961" w:rsidRPr="00AF2A3E" w:rsidRDefault="00354961" w:rsidP="00354961">
      <w:pPr>
        <w:ind w:firstLine="709"/>
        <w:jc w:val="both"/>
      </w:pPr>
      <w:r w:rsidRPr="00AF2A3E">
        <w:t>•</w:t>
      </w:r>
      <w:r w:rsidRPr="00AF2A3E">
        <w:tab/>
        <w:t>Колодец сбора утечек;</w:t>
      </w:r>
    </w:p>
    <w:p w14:paraId="6AAEC56F" w14:textId="77777777" w:rsidR="00354961" w:rsidRPr="00AF2A3E" w:rsidRDefault="00354961" w:rsidP="00354961">
      <w:pPr>
        <w:ind w:firstLine="709"/>
        <w:jc w:val="both"/>
      </w:pPr>
      <w:r w:rsidRPr="00AF2A3E">
        <w:t>•</w:t>
      </w:r>
      <w:r w:rsidRPr="00AF2A3E">
        <w:tab/>
        <w:t>Ограждение устья скважины.</w:t>
      </w:r>
    </w:p>
    <w:p w14:paraId="4DD91B53" w14:textId="77777777" w:rsidR="00354961" w:rsidRPr="00AF2A3E" w:rsidRDefault="00354961" w:rsidP="00354961">
      <w:pPr>
        <w:ind w:firstLine="709"/>
        <w:jc w:val="both"/>
      </w:pPr>
      <w:r w:rsidRPr="00AF2A3E">
        <w:t>Нагнетательные скважины.</w:t>
      </w:r>
    </w:p>
    <w:p w14:paraId="1CFA1D7D" w14:textId="77777777" w:rsidR="00354961" w:rsidRPr="00AF2A3E" w:rsidRDefault="00354961" w:rsidP="00354961">
      <w:pPr>
        <w:ind w:firstLine="709"/>
        <w:jc w:val="both"/>
      </w:pPr>
      <w:r w:rsidRPr="00AF2A3E">
        <w:t>•</w:t>
      </w:r>
      <w:r w:rsidRPr="00AF2A3E">
        <w:tab/>
        <w:t>Площадка под передвижной агрегат;</w:t>
      </w:r>
    </w:p>
    <w:p w14:paraId="424A1230" w14:textId="77777777" w:rsidR="00354961" w:rsidRPr="00AF2A3E" w:rsidRDefault="00354961" w:rsidP="00354961">
      <w:pPr>
        <w:ind w:firstLine="709"/>
        <w:jc w:val="both"/>
      </w:pPr>
      <w:r w:rsidRPr="00AF2A3E">
        <w:t>•</w:t>
      </w:r>
      <w:r w:rsidRPr="00AF2A3E">
        <w:tab/>
        <w:t>Фундамент под трансформаторную подстанцию;</w:t>
      </w:r>
    </w:p>
    <w:p w14:paraId="2EA883BF" w14:textId="77777777" w:rsidR="00354961" w:rsidRPr="00AF2A3E" w:rsidRDefault="00354961" w:rsidP="00354961">
      <w:pPr>
        <w:ind w:firstLine="709"/>
        <w:jc w:val="both"/>
      </w:pPr>
      <w:r w:rsidRPr="00AF2A3E">
        <w:t>•</w:t>
      </w:r>
      <w:r w:rsidRPr="00AF2A3E">
        <w:tab/>
        <w:t>Колодец сбора утечек.</w:t>
      </w:r>
    </w:p>
    <w:p w14:paraId="11D2F4BB" w14:textId="77777777" w:rsidR="00354961" w:rsidRPr="00AF2A3E" w:rsidRDefault="00354961" w:rsidP="00354961">
      <w:pPr>
        <w:ind w:firstLine="709"/>
        <w:jc w:val="both"/>
        <w:rPr>
          <w:b/>
        </w:rPr>
      </w:pPr>
      <w:r w:rsidRPr="00AF2A3E">
        <w:rPr>
          <w:b/>
        </w:rPr>
        <w:t>Фундамент под станок-качалку.</w:t>
      </w:r>
    </w:p>
    <w:p w14:paraId="65036234" w14:textId="77777777" w:rsidR="00354961" w:rsidRDefault="00354961" w:rsidP="00354961">
      <w:pPr>
        <w:ind w:firstLine="709"/>
        <w:jc w:val="both"/>
      </w:pPr>
      <w:r w:rsidRPr="00AF2A3E">
        <w:t xml:space="preserve">Фундамент под станок-качалку сборный из металлической рамы и сборных железобетонных дорожных плит ПО-16 (ДП-8) и бетонных блоков ФБС. Плиты уложить на утрамбованное основание из щебня толщиной 100мм, пропитанное битумом, металлическую раму </w:t>
      </w:r>
      <w:proofErr w:type="spellStart"/>
      <w:r w:rsidRPr="00AF2A3E">
        <w:t>обетонить</w:t>
      </w:r>
      <w:proofErr w:type="spellEnd"/>
      <w:r w:rsidRPr="00AF2A3E">
        <w:t xml:space="preserve"> и смонтировать блоки ФБС, оставляя штробу для крепления к раме анкерных болтов при установке станка-качалки.</w:t>
      </w:r>
    </w:p>
    <w:p w14:paraId="4DDB4E8A" w14:textId="77777777" w:rsidR="00354961" w:rsidRPr="00AF2A3E" w:rsidRDefault="00354961" w:rsidP="00354961">
      <w:pPr>
        <w:ind w:firstLine="709"/>
        <w:jc w:val="both"/>
        <w:rPr>
          <w:b/>
        </w:rPr>
      </w:pPr>
      <w:r w:rsidRPr="00AF2A3E">
        <w:rPr>
          <w:b/>
        </w:rPr>
        <w:t>Яко</w:t>
      </w:r>
      <w:r>
        <w:rPr>
          <w:b/>
        </w:rPr>
        <w:t>ря ветровых и грузовых оттяжек.</w:t>
      </w:r>
    </w:p>
    <w:p w14:paraId="7160E251" w14:textId="77777777" w:rsidR="00354961" w:rsidRPr="00AF2A3E" w:rsidRDefault="00354961" w:rsidP="00354961">
      <w:pPr>
        <w:ind w:firstLine="709"/>
        <w:jc w:val="both"/>
      </w:pPr>
      <w:r w:rsidRPr="00AF2A3E">
        <w:t xml:space="preserve">Якоря ветровых и грузовых оттяжек данным проектом не рассматриваются, по причине того, что на промыслах при проведении подземного и капитального ремонта скважин используются инвентарные винтовые якоря, которые после завершения работ демонтируются.  </w:t>
      </w:r>
    </w:p>
    <w:p w14:paraId="2CD723A1" w14:textId="77777777" w:rsidR="00354961" w:rsidRPr="00AF2A3E" w:rsidRDefault="00354961" w:rsidP="00354961">
      <w:pPr>
        <w:ind w:firstLine="709"/>
        <w:jc w:val="both"/>
        <w:rPr>
          <w:b/>
        </w:rPr>
      </w:pPr>
      <w:r w:rsidRPr="00AF2A3E">
        <w:rPr>
          <w:b/>
        </w:rPr>
        <w:t>Основание трансформаторной подстанции КТПНД</w:t>
      </w:r>
      <w:r>
        <w:rPr>
          <w:b/>
        </w:rPr>
        <w:t>.</w:t>
      </w:r>
    </w:p>
    <w:p w14:paraId="547EA809" w14:textId="77777777" w:rsidR="00354961" w:rsidRPr="00AF2A3E" w:rsidRDefault="00354961" w:rsidP="00354961">
      <w:pPr>
        <w:ind w:firstLine="709"/>
        <w:jc w:val="both"/>
      </w:pPr>
      <w:r w:rsidRPr="00AF2A3E">
        <w:t>Основание выполнено из металлопроката и бетонн</w:t>
      </w:r>
      <w:r>
        <w:t>ых фундаментов. В основании фун</w:t>
      </w:r>
      <w:r w:rsidRPr="00AF2A3E">
        <w:t xml:space="preserve">даментов предусмотрен щебень, пролитый </w:t>
      </w:r>
      <w:r>
        <w:t>горячим битумом толщиной 50мм. Боковые по</w:t>
      </w:r>
      <w:r w:rsidRPr="00AF2A3E">
        <w:t>верхности, соприкасающиеся с грунтом, обмазать горячим битумом за 2 раза по грунтовке из раствора 40% битума в бензине.</w:t>
      </w:r>
    </w:p>
    <w:p w14:paraId="1A01453A" w14:textId="77777777" w:rsidR="00354961" w:rsidRPr="00AF2A3E" w:rsidRDefault="00354961" w:rsidP="00354961">
      <w:pPr>
        <w:ind w:firstLine="709"/>
        <w:jc w:val="both"/>
        <w:rPr>
          <w:b/>
        </w:rPr>
      </w:pPr>
      <w:r w:rsidRPr="00AF2A3E">
        <w:rPr>
          <w:b/>
        </w:rPr>
        <w:t>Колодец сбора утечек</w:t>
      </w:r>
      <w:r>
        <w:rPr>
          <w:b/>
        </w:rPr>
        <w:t>.</w:t>
      </w:r>
    </w:p>
    <w:p w14:paraId="3DC98163" w14:textId="77777777" w:rsidR="00354961" w:rsidRPr="00AF2A3E" w:rsidRDefault="00354961" w:rsidP="00354961">
      <w:pPr>
        <w:ind w:firstLine="709"/>
        <w:jc w:val="both"/>
      </w:pPr>
      <w:r w:rsidRPr="00AF2A3E">
        <w:t>Колодец сбора утечек предназначен для сбора возмо</w:t>
      </w:r>
      <w:r>
        <w:t xml:space="preserve">жных утечек </w:t>
      </w:r>
      <w:proofErr w:type="gramStart"/>
      <w:r>
        <w:t>от оборудования</w:t>
      </w:r>
      <w:proofErr w:type="gramEnd"/>
      <w:r>
        <w:t xml:space="preserve"> рас</w:t>
      </w:r>
      <w:r w:rsidRPr="00AF2A3E">
        <w:t>положенного на площадке скважины, при проведении ремон</w:t>
      </w:r>
      <w:r>
        <w:t>та. Ремонт оборудования скважи</w:t>
      </w:r>
      <w:r w:rsidRPr="00AF2A3E">
        <w:t>ны проводится по мере необходимости, но не более 1 раз в год. Колодец выполнен из сборных железобетонных стеновых колец КЦ-20-6. Днище и перекры</w:t>
      </w:r>
      <w:r>
        <w:t>тие колодца выполнены из железо</w:t>
      </w:r>
      <w:r w:rsidRPr="00AF2A3E">
        <w:t>бетонных плит КЦД-20 и КЦП1-20-1 соответственно. На плите перекрытия для осмотра, пред</w:t>
      </w:r>
      <w:r>
        <w:t>усматривается чугунный люк.</w:t>
      </w:r>
    </w:p>
    <w:p w14:paraId="76757918" w14:textId="77777777" w:rsidR="00354961" w:rsidRPr="00AF2A3E" w:rsidRDefault="00354961" w:rsidP="00354961">
      <w:pPr>
        <w:ind w:firstLine="709"/>
        <w:jc w:val="both"/>
        <w:rPr>
          <w:b/>
        </w:rPr>
      </w:pPr>
      <w:r w:rsidRPr="00AF2A3E">
        <w:rPr>
          <w:b/>
        </w:rPr>
        <w:t>Устьевой приямок</w:t>
      </w:r>
      <w:r>
        <w:rPr>
          <w:b/>
        </w:rPr>
        <w:t>.</w:t>
      </w:r>
    </w:p>
    <w:p w14:paraId="13B38E86" w14:textId="77777777" w:rsidR="00354961" w:rsidRDefault="00354961" w:rsidP="00354961">
      <w:pPr>
        <w:ind w:firstLine="709"/>
        <w:jc w:val="both"/>
      </w:pPr>
      <w:r w:rsidRPr="00AF2A3E">
        <w:t>Устьевой приямок запроектирован прямоугольной фо</w:t>
      </w:r>
      <w:r>
        <w:t>рмы в плане с габаритными разме</w:t>
      </w:r>
      <w:r w:rsidRPr="00AF2A3E">
        <w:t>рами 1,2м х 1,2м глубиной 0,5м. Стены из стального листа t=</w:t>
      </w:r>
      <w:r>
        <w:t xml:space="preserve">5мм, дно из бетона </w:t>
      </w:r>
      <w:proofErr w:type="gramStart"/>
      <w:r>
        <w:t>кл.В</w:t>
      </w:r>
      <w:proofErr w:type="gramEnd"/>
      <w:r>
        <w:t>15 толщи</w:t>
      </w:r>
      <w:r w:rsidRPr="00AF2A3E">
        <w:t xml:space="preserve">ной 100мм. Крышка выполнена съёмной из </w:t>
      </w:r>
      <w:proofErr w:type="spellStart"/>
      <w:r w:rsidRPr="00AF2A3E">
        <w:t>просечно</w:t>
      </w:r>
      <w:proofErr w:type="spellEnd"/>
      <w:r w:rsidRPr="00AF2A3E">
        <w:t>-вытяжного листа ПВ 510 по ТУ 36.26.11-5-89.</w:t>
      </w:r>
    </w:p>
    <w:p w14:paraId="6A6F6772" w14:textId="77777777" w:rsidR="00354961" w:rsidRPr="00AF2A3E" w:rsidRDefault="00354961" w:rsidP="00354961">
      <w:pPr>
        <w:ind w:firstLine="709"/>
        <w:jc w:val="both"/>
        <w:rPr>
          <w:b/>
        </w:rPr>
      </w:pPr>
      <w:r w:rsidRPr="00AF2A3E">
        <w:rPr>
          <w:b/>
        </w:rPr>
        <w:t xml:space="preserve">Ограждение устья скважины.  </w:t>
      </w:r>
    </w:p>
    <w:p w14:paraId="4EE0662B" w14:textId="77777777" w:rsidR="00354961" w:rsidRDefault="00354961" w:rsidP="00354961">
      <w:pPr>
        <w:ind w:firstLine="709"/>
        <w:jc w:val="both"/>
      </w:pPr>
      <w:r w:rsidRPr="00AF2A3E">
        <w:lastRenderedPageBreak/>
        <w:t>Конструкция ограждения устья скважины представлена в виде сетчатых панелей ПМ-1,ПМ-2,ПМ</w:t>
      </w:r>
      <w:r>
        <w:t>-3 и калиткой ПК-1, с затвором,</w:t>
      </w:r>
      <w:r w:rsidRPr="00AF2A3E">
        <w:t xml:space="preserve"> габаритами в плане 3.0х7.5м, выполненных из уголков N4 и арматуры диаметром 10 мм, устроенные на стойки из труб диаметром 57х3.5мм. Высота ограждения составляет 1.6 </w:t>
      </w:r>
      <w:r>
        <w:t>метра. Для удобства выполнения</w:t>
      </w:r>
      <w:r w:rsidRPr="00AF2A3E">
        <w:t xml:space="preserve"> работ по по</w:t>
      </w:r>
      <w:r>
        <w:t>дземному и капитальному ремонту</w:t>
      </w:r>
      <w:r w:rsidRPr="00AF2A3E">
        <w:t xml:space="preserve"> скважин, предусмотрена разборная конструкция о</w:t>
      </w:r>
      <w:r>
        <w:t>граждения. Фунда</w:t>
      </w:r>
      <w:r w:rsidRPr="00AF2A3E">
        <w:t>менты под стойки ограждения не требуются, поскольку ограждение выполнено переносного типа, для мобильной доступности пер</w:t>
      </w:r>
      <w:r>
        <w:t>сонала и транспорта. Стойки</w:t>
      </w:r>
      <w:r w:rsidRPr="00AF2A3E">
        <w:t xml:space="preserve"> ограждающих </w:t>
      </w:r>
      <w:proofErr w:type="gramStart"/>
      <w:r w:rsidRPr="00AF2A3E">
        <w:t>кон-</w:t>
      </w:r>
      <w:proofErr w:type="spellStart"/>
      <w:r w:rsidRPr="00AF2A3E">
        <w:t>струкций</w:t>
      </w:r>
      <w:proofErr w:type="spellEnd"/>
      <w:proofErr w:type="gramEnd"/>
      <w:r w:rsidRPr="00AF2A3E">
        <w:t xml:space="preserve"> опираются на основание, исполненное крестообразным видом, выполненные из труб 57х3.5мм. Материал металлических конструкций - сталь марки В40Х, сталь марки Ст3сп3, сталь марки Ст3сп-1 и Ст3сп-1-II.</w:t>
      </w:r>
    </w:p>
    <w:p w14:paraId="722CCB1B" w14:textId="77777777" w:rsidR="000775F6" w:rsidRPr="000775F6" w:rsidRDefault="000775F6" w:rsidP="00F4397B">
      <w:pPr>
        <w:pStyle w:val="a3"/>
        <w:shd w:val="clear" w:color="auto" w:fill="FFFFFF"/>
        <w:spacing w:before="0" w:beforeAutospacing="0" w:after="0" w:afterAutospacing="0"/>
        <w:rPr>
          <w:color w:val="000000"/>
        </w:rPr>
      </w:pPr>
    </w:p>
    <w:p w14:paraId="6D40C90D" w14:textId="413A3C6C" w:rsidR="00F4397B" w:rsidRDefault="00377E55" w:rsidP="00F4397B">
      <w:pPr>
        <w:pStyle w:val="a3"/>
        <w:shd w:val="clear" w:color="auto" w:fill="FFFFFF"/>
        <w:spacing w:before="0" w:beforeAutospacing="0" w:after="0" w:afterAutospacing="0"/>
        <w:rPr>
          <w:color w:val="000000"/>
        </w:rPr>
      </w:pPr>
      <w:r w:rsidRPr="00377E55">
        <w:rPr>
          <w:b/>
          <w:bCs/>
          <w:i/>
          <w:iCs/>
          <w:color w:val="000000"/>
        </w:rPr>
        <w:t>2</w:t>
      </w:r>
      <w:r w:rsidR="00F4397B" w:rsidRPr="00377E55">
        <w:rPr>
          <w:b/>
          <w:bCs/>
          <w:i/>
          <w:iCs/>
          <w:color w:val="000000"/>
        </w:rPr>
        <w:t xml:space="preserve">. </w:t>
      </w:r>
      <w:r w:rsidR="00F4397B" w:rsidRPr="00377E55">
        <w:rPr>
          <w:b/>
          <w:bCs/>
          <w:i/>
          <w:iCs/>
        </w:rPr>
        <w:t xml:space="preserve">«Установка дополнительного оборудования действующих ГУ м/р </w:t>
      </w:r>
      <w:proofErr w:type="spellStart"/>
      <w:r w:rsidR="00F4397B" w:rsidRPr="00377E55">
        <w:rPr>
          <w:b/>
          <w:bCs/>
          <w:i/>
          <w:iCs/>
        </w:rPr>
        <w:t>Каламкас</w:t>
      </w:r>
      <w:proofErr w:type="spellEnd"/>
      <w:r w:rsidR="00F4397B" w:rsidRPr="00377E55">
        <w:rPr>
          <w:b/>
          <w:bCs/>
          <w:i/>
          <w:iCs/>
        </w:rPr>
        <w:t>»</w:t>
      </w:r>
      <w:r w:rsidR="00F4397B" w:rsidRPr="007861E2">
        <w:rPr>
          <w:color w:val="000000"/>
        </w:rPr>
        <w:t>;</w:t>
      </w:r>
    </w:p>
    <w:p w14:paraId="696DE4BE" w14:textId="77777777" w:rsidR="008235C8" w:rsidRPr="000775F6" w:rsidRDefault="008235C8" w:rsidP="000775F6">
      <w:pPr>
        <w:pStyle w:val="Default"/>
        <w:spacing w:line="276" w:lineRule="auto"/>
        <w:ind w:firstLine="708"/>
        <w:jc w:val="both"/>
      </w:pPr>
      <w:r w:rsidRPr="000775F6">
        <w:rPr>
          <w:bCs/>
        </w:rPr>
        <w:t xml:space="preserve">Основные проектные решения. </w:t>
      </w:r>
    </w:p>
    <w:p w14:paraId="37ED31F4" w14:textId="77777777" w:rsidR="008235C8" w:rsidRPr="000775F6" w:rsidRDefault="008235C8" w:rsidP="000775F6">
      <w:pPr>
        <w:pStyle w:val="Default"/>
        <w:spacing w:line="276" w:lineRule="auto"/>
        <w:ind w:firstLine="708"/>
        <w:jc w:val="both"/>
      </w:pPr>
      <w:r w:rsidRPr="000775F6">
        <w:t xml:space="preserve">Проектными решениями предусматривается расширение технологических площадок действующих ГУ, ЗУ, БГ, путем дополнительной установки оборудования, а также замены изношенного оборудования. </w:t>
      </w:r>
    </w:p>
    <w:p w14:paraId="21A22AD2" w14:textId="77777777" w:rsidR="008235C8" w:rsidRPr="000775F6" w:rsidRDefault="008235C8" w:rsidP="000775F6">
      <w:pPr>
        <w:pStyle w:val="Default"/>
        <w:spacing w:line="276" w:lineRule="auto"/>
        <w:ind w:firstLine="708"/>
        <w:jc w:val="both"/>
      </w:pPr>
      <w:r w:rsidRPr="000775F6">
        <w:t xml:space="preserve">Объем проектирования по данному объекту: </w:t>
      </w:r>
    </w:p>
    <w:p w14:paraId="65517136" w14:textId="77777777" w:rsidR="008235C8" w:rsidRPr="000775F6" w:rsidRDefault="008235C8" w:rsidP="000775F6">
      <w:pPr>
        <w:pStyle w:val="Default"/>
        <w:spacing w:line="276" w:lineRule="auto"/>
        <w:jc w:val="both"/>
      </w:pPr>
      <w:r w:rsidRPr="000775F6">
        <w:t xml:space="preserve">- установка дополнительных измерительных установок ИУ «Мера-ММ»; </w:t>
      </w:r>
    </w:p>
    <w:p w14:paraId="007103EE" w14:textId="77777777" w:rsidR="008235C8" w:rsidRPr="000775F6" w:rsidRDefault="008235C8" w:rsidP="000775F6">
      <w:pPr>
        <w:pStyle w:val="Default"/>
        <w:spacing w:line="276" w:lineRule="auto"/>
        <w:jc w:val="both"/>
      </w:pPr>
      <w:r w:rsidRPr="000775F6">
        <w:t xml:space="preserve">- установка дополнительного подогревателя путевого ПП-0,63; </w:t>
      </w:r>
    </w:p>
    <w:p w14:paraId="0AB076BD" w14:textId="77777777" w:rsidR="008235C8" w:rsidRPr="000775F6" w:rsidRDefault="008235C8" w:rsidP="000775F6">
      <w:pPr>
        <w:pStyle w:val="Default"/>
        <w:spacing w:line="276" w:lineRule="auto"/>
        <w:jc w:val="both"/>
      </w:pPr>
      <w:r w:rsidRPr="000775F6">
        <w:t xml:space="preserve">- замена устаревших насосов нефти на новые; </w:t>
      </w:r>
    </w:p>
    <w:p w14:paraId="2EC7E9C2" w14:textId="77777777" w:rsidR="008235C8" w:rsidRPr="000775F6" w:rsidRDefault="008235C8" w:rsidP="000775F6">
      <w:pPr>
        <w:pStyle w:val="Default"/>
        <w:spacing w:line="276" w:lineRule="auto"/>
        <w:jc w:val="both"/>
      </w:pPr>
      <w:r w:rsidRPr="000775F6">
        <w:t xml:space="preserve">- замена и установка счетчиков нефти и топливного газа; </w:t>
      </w:r>
    </w:p>
    <w:p w14:paraId="465F8630" w14:textId="77777777" w:rsidR="008235C8" w:rsidRPr="000775F6" w:rsidRDefault="008235C8" w:rsidP="000775F6">
      <w:pPr>
        <w:pStyle w:val="Default"/>
        <w:spacing w:line="276" w:lineRule="auto"/>
        <w:jc w:val="both"/>
      </w:pPr>
      <w:r w:rsidRPr="000775F6">
        <w:t xml:space="preserve">- установка дополнительных блоков гребенки БГ; </w:t>
      </w:r>
    </w:p>
    <w:p w14:paraId="59ABC54D" w14:textId="48B35729" w:rsidR="008235C8" w:rsidRPr="000775F6" w:rsidRDefault="008235C8" w:rsidP="000775F6">
      <w:pPr>
        <w:pStyle w:val="a3"/>
        <w:shd w:val="clear" w:color="auto" w:fill="FFFFFF"/>
        <w:spacing w:before="0" w:beforeAutospacing="0" w:after="0" w:afterAutospacing="0" w:line="276" w:lineRule="auto"/>
        <w:jc w:val="both"/>
      </w:pPr>
      <w:r w:rsidRPr="000775F6">
        <w:t>- инженерное обеспечение запроектированных объектов.</w:t>
      </w:r>
    </w:p>
    <w:p w14:paraId="269CE0AE" w14:textId="77777777" w:rsidR="000775F6" w:rsidRPr="000775F6" w:rsidRDefault="000775F6" w:rsidP="000775F6">
      <w:pPr>
        <w:spacing w:line="276" w:lineRule="auto"/>
        <w:ind w:firstLine="709"/>
        <w:jc w:val="both"/>
      </w:pPr>
      <w:r w:rsidRPr="000775F6">
        <w:t xml:space="preserve">Район строительства расположен в северной части полуострова </w:t>
      </w:r>
      <w:proofErr w:type="spellStart"/>
      <w:r w:rsidRPr="000775F6">
        <w:t>Бузачи</w:t>
      </w:r>
      <w:proofErr w:type="spellEnd"/>
      <w:r w:rsidRPr="000775F6">
        <w:t xml:space="preserve"> на территории действующего м/р </w:t>
      </w:r>
      <w:proofErr w:type="spellStart"/>
      <w:r w:rsidRPr="000775F6">
        <w:t>Каламкас</w:t>
      </w:r>
      <w:proofErr w:type="spellEnd"/>
      <w:r w:rsidRPr="000775F6">
        <w:t xml:space="preserve">. </w:t>
      </w:r>
    </w:p>
    <w:p w14:paraId="6B643512" w14:textId="3A42A639" w:rsidR="000775F6" w:rsidRDefault="000775F6" w:rsidP="000775F6">
      <w:pPr>
        <w:spacing w:line="276" w:lineRule="auto"/>
        <w:ind w:firstLine="709"/>
        <w:jc w:val="both"/>
      </w:pPr>
      <w:r w:rsidRPr="000775F6">
        <w:t>В административном отношении район строительства входит в состав Мангистауского района Мангистауской области Республики Казахстан.</w:t>
      </w:r>
    </w:p>
    <w:p w14:paraId="69069488" w14:textId="77777777" w:rsidR="000775F6" w:rsidRPr="00D612E3" w:rsidRDefault="000775F6" w:rsidP="000775F6">
      <w:pPr>
        <w:spacing w:line="276" w:lineRule="auto"/>
        <w:ind w:firstLine="709"/>
        <w:jc w:val="both"/>
        <w:rPr>
          <w:b/>
        </w:rPr>
      </w:pPr>
      <w:r w:rsidRPr="00D612E3">
        <w:rPr>
          <w:b/>
        </w:rPr>
        <w:t>ТЕХНОЛОГИЧЕСКИЕ РЕШЕНИЯ.</w:t>
      </w:r>
    </w:p>
    <w:p w14:paraId="3C7D222A" w14:textId="77777777" w:rsidR="000775F6" w:rsidRPr="00FF7237" w:rsidRDefault="000775F6" w:rsidP="000775F6">
      <w:pPr>
        <w:spacing w:line="276" w:lineRule="auto"/>
        <w:ind w:firstLine="709"/>
        <w:jc w:val="both"/>
        <w:rPr>
          <w:b/>
        </w:rPr>
      </w:pPr>
      <w:r w:rsidRPr="00FF7237">
        <w:rPr>
          <w:b/>
        </w:rPr>
        <w:t>Технологические решения и их обоснования.</w:t>
      </w:r>
    </w:p>
    <w:p w14:paraId="2794694B" w14:textId="77777777" w:rsidR="000775F6" w:rsidRPr="00FF7237" w:rsidRDefault="000775F6" w:rsidP="000775F6">
      <w:pPr>
        <w:spacing w:line="276" w:lineRule="auto"/>
        <w:ind w:firstLine="709"/>
        <w:jc w:val="both"/>
      </w:pPr>
      <w:r w:rsidRPr="00FF7237">
        <w:t xml:space="preserve">Размещение основных объектов добычи, сбора и транспорта продукции скважин решалось на основании технологической схемы разработки месторождения </w:t>
      </w:r>
      <w:proofErr w:type="spellStart"/>
      <w:r w:rsidRPr="00FF7237">
        <w:t>Каламкас</w:t>
      </w:r>
      <w:proofErr w:type="spellEnd"/>
      <w:r w:rsidRPr="00FF7237">
        <w:t xml:space="preserve">. </w:t>
      </w:r>
    </w:p>
    <w:p w14:paraId="03983964" w14:textId="77777777" w:rsidR="000775F6" w:rsidRPr="00FF7237" w:rsidRDefault="000775F6" w:rsidP="000775F6">
      <w:pPr>
        <w:spacing w:line="276" w:lineRule="auto"/>
        <w:ind w:firstLine="709"/>
        <w:jc w:val="both"/>
      </w:pPr>
      <w:r>
        <w:t>В проекте «</w:t>
      </w:r>
      <w:r w:rsidRPr="00FF7237">
        <w:t>Установка дополнительного оборудования (расширение) действующих</w:t>
      </w:r>
      <w:r>
        <w:t xml:space="preserve"> </w:t>
      </w:r>
      <w:r w:rsidRPr="00FF7237">
        <w:t xml:space="preserve">ГУ м/р </w:t>
      </w:r>
      <w:proofErr w:type="spellStart"/>
      <w:r w:rsidRPr="00FF7237">
        <w:t>Каламкас</w:t>
      </w:r>
      <w:proofErr w:type="spellEnd"/>
      <w:r w:rsidRPr="00FF7237">
        <w:t>» предусматривается:</w:t>
      </w:r>
    </w:p>
    <w:p w14:paraId="01DE6E53" w14:textId="77777777" w:rsidR="000775F6" w:rsidRPr="00FF7237" w:rsidRDefault="000775F6" w:rsidP="000775F6">
      <w:pPr>
        <w:spacing w:line="276" w:lineRule="auto"/>
        <w:ind w:firstLine="709"/>
        <w:jc w:val="both"/>
      </w:pPr>
      <w:r w:rsidRPr="00FF7237">
        <w:t>-  установка дополнительных измерительных установок ИУ «Мера-ММ»;</w:t>
      </w:r>
    </w:p>
    <w:p w14:paraId="4D3B1415" w14:textId="77777777" w:rsidR="000775F6" w:rsidRPr="00FF7237" w:rsidRDefault="000775F6" w:rsidP="000775F6">
      <w:pPr>
        <w:spacing w:line="276" w:lineRule="auto"/>
        <w:ind w:firstLine="709"/>
        <w:jc w:val="both"/>
      </w:pPr>
      <w:r w:rsidRPr="00FF7237">
        <w:t>-  установка дополнительного подогревателя путевого ПП-0,63;</w:t>
      </w:r>
    </w:p>
    <w:p w14:paraId="6E7E50BB" w14:textId="77777777" w:rsidR="000775F6" w:rsidRPr="00FF7237" w:rsidRDefault="000775F6" w:rsidP="000775F6">
      <w:pPr>
        <w:spacing w:line="276" w:lineRule="auto"/>
        <w:ind w:firstLine="709"/>
        <w:jc w:val="both"/>
      </w:pPr>
      <w:r w:rsidRPr="00FF7237">
        <w:t>-  замена насосов марки НБ-125 на центробежные насосы типа ЦНС 105-147;</w:t>
      </w:r>
    </w:p>
    <w:p w14:paraId="7EEC0460" w14:textId="77777777" w:rsidR="000775F6" w:rsidRPr="00FF7237" w:rsidRDefault="000775F6" w:rsidP="000775F6">
      <w:pPr>
        <w:spacing w:line="276" w:lineRule="auto"/>
        <w:ind w:firstLine="709"/>
        <w:jc w:val="both"/>
      </w:pPr>
      <w:r w:rsidRPr="00FF7237">
        <w:t>- замена счетчика расхода нефти марки «Норд» на расходомер типа «</w:t>
      </w:r>
      <w:proofErr w:type="spellStart"/>
      <w:r w:rsidRPr="00FF7237">
        <w:t>Optimass</w:t>
      </w:r>
      <w:proofErr w:type="spellEnd"/>
      <w:r w:rsidRPr="00FF7237">
        <w:t xml:space="preserve"> 7400 T-80»;</w:t>
      </w:r>
    </w:p>
    <w:p w14:paraId="3F70CD30" w14:textId="77777777" w:rsidR="000775F6" w:rsidRPr="00FF7237" w:rsidRDefault="000775F6" w:rsidP="000775F6">
      <w:pPr>
        <w:spacing w:line="276" w:lineRule="auto"/>
        <w:ind w:firstLine="709"/>
        <w:jc w:val="both"/>
      </w:pPr>
      <w:r w:rsidRPr="00FF7237">
        <w:t>- устройство узла учета расхода топливного газа на базе счетчика типа «СВГ.М-400»</w:t>
      </w:r>
    </w:p>
    <w:p w14:paraId="657C7D15" w14:textId="77777777" w:rsidR="000775F6" w:rsidRDefault="000775F6" w:rsidP="000775F6">
      <w:pPr>
        <w:spacing w:line="276" w:lineRule="auto"/>
        <w:ind w:firstLine="709"/>
        <w:jc w:val="both"/>
      </w:pPr>
      <w:r w:rsidRPr="00FF7237">
        <w:t>- установка дополнительных блоков гребенки БГ.</w:t>
      </w:r>
    </w:p>
    <w:p w14:paraId="73D775E1" w14:textId="77777777" w:rsidR="000775F6" w:rsidRPr="00FF7237" w:rsidRDefault="000775F6" w:rsidP="000775F6">
      <w:pPr>
        <w:spacing w:line="276" w:lineRule="auto"/>
        <w:ind w:firstLine="709"/>
        <w:jc w:val="both"/>
        <w:rPr>
          <w:b/>
        </w:rPr>
      </w:pPr>
      <w:r w:rsidRPr="00FF7237">
        <w:rPr>
          <w:b/>
        </w:rPr>
        <w:t>Установка дополнительного технологического оборудования.</w:t>
      </w:r>
    </w:p>
    <w:p w14:paraId="2BD21E1E" w14:textId="77777777" w:rsidR="000775F6" w:rsidRPr="00FF7237" w:rsidRDefault="000775F6" w:rsidP="000775F6">
      <w:pPr>
        <w:spacing w:line="276" w:lineRule="auto"/>
        <w:ind w:firstLine="709"/>
        <w:jc w:val="both"/>
      </w:pPr>
      <w:r w:rsidRPr="00FF7237">
        <w:t>В соответствии с Заданием на проектирование на действующих групповых и замерных установках (ГУ и ЗУ) в данном разделе рабочего проекта рассматривается:</w:t>
      </w:r>
    </w:p>
    <w:p w14:paraId="36DA3599" w14:textId="77777777" w:rsidR="000775F6" w:rsidRPr="00FF7237" w:rsidRDefault="000775F6" w:rsidP="000775F6">
      <w:pPr>
        <w:spacing w:line="276" w:lineRule="auto"/>
        <w:ind w:firstLine="709"/>
        <w:jc w:val="both"/>
      </w:pPr>
      <w:r w:rsidRPr="00FF7237">
        <w:t>- дополнительная установка автома</w:t>
      </w:r>
      <w:r>
        <w:t>тической измерительной установки</w:t>
      </w:r>
      <w:r w:rsidRPr="00FF7237">
        <w:t xml:space="preserve"> ИУ «МЕРА-ММ»;</w:t>
      </w:r>
    </w:p>
    <w:p w14:paraId="6C46FA1B" w14:textId="77777777" w:rsidR="000775F6" w:rsidRPr="00FF7237" w:rsidRDefault="000775F6" w:rsidP="000775F6">
      <w:pPr>
        <w:spacing w:line="276" w:lineRule="auto"/>
        <w:ind w:firstLine="709"/>
        <w:jc w:val="both"/>
      </w:pPr>
      <w:r w:rsidRPr="00FF7237">
        <w:t>- дополнительная установка путевого подогревателя нефти ПП-0,63;</w:t>
      </w:r>
    </w:p>
    <w:p w14:paraId="79F5E19B" w14:textId="77777777" w:rsidR="000775F6" w:rsidRPr="00FF7237" w:rsidRDefault="000775F6" w:rsidP="000775F6">
      <w:pPr>
        <w:spacing w:line="276" w:lineRule="auto"/>
        <w:ind w:firstLine="709"/>
        <w:jc w:val="both"/>
      </w:pPr>
      <w:r w:rsidRPr="00FF7237">
        <w:t>- замена насосов марки НБ-125 на центробежные насосы типа ЦНС 105-147;</w:t>
      </w:r>
    </w:p>
    <w:p w14:paraId="68DCE4A0" w14:textId="77777777" w:rsidR="000775F6" w:rsidRPr="00FF7237" w:rsidRDefault="000775F6" w:rsidP="000775F6">
      <w:pPr>
        <w:spacing w:line="276" w:lineRule="auto"/>
        <w:ind w:firstLine="709"/>
        <w:jc w:val="both"/>
      </w:pPr>
      <w:r w:rsidRPr="00FF7237">
        <w:lastRenderedPageBreak/>
        <w:t>- замена счетчика расхода нефти марки «Норд» на расходомер типа «</w:t>
      </w:r>
      <w:proofErr w:type="spellStart"/>
      <w:r w:rsidRPr="00FF7237">
        <w:t>Optimass</w:t>
      </w:r>
      <w:proofErr w:type="spellEnd"/>
      <w:r w:rsidRPr="00FF7237">
        <w:t xml:space="preserve"> 7400 T-80»;</w:t>
      </w:r>
    </w:p>
    <w:p w14:paraId="7D3BCEEC" w14:textId="77777777" w:rsidR="000775F6" w:rsidRPr="00FF7237" w:rsidRDefault="000775F6" w:rsidP="000775F6">
      <w:pPr>
        <w:spacing w:line="276" w:lineRule="auto"/>
        <w:ind w:firstLine="709"/>
        <w:jc w:val="both"/>
      </w:pPr>
      <w:r w:rsidRPr="00FF7237">
        <w:t xml:space="preserve">- устройство узла учета расхода топливного газа на базе счетчика типа </w:t>
      </w:r>
      <w:r>
        <w:t>«</w:t>
      </w:r>
      <w:proofErr w:type="spellStart"/>
      <w:r w:rsidRPr="00FF7237">
        <w:t>Optiwave</w:t>
      </w:r>
      <w:proofErr w:type="spellEnd"/>
      <w:r w:rsidRPr="00FF7237">
        <w:t xml:space="preserve"> 7400»</w:t>
      </w:r>
    </w:p>
    <w:p w14:paraId="7A7E3D26" w14:textId="77777777" w:rsidR="000775F6" w:rsidRPr="00FF7237" w:rsidRDefault="000775F6" w:rsidP="000775F6">
      <w:pPr>
        <w:spacing w:line="276" w:lineRule="auto"/>
        <w:ind w:firstLine="709"/>
        <w:jc w:val="both"/>
      </w:pPr>
      <w:r w:rsidRPr="00FF7237">
        <w:t>Для удобства ввода в эксплуатацию законченных строительством объектов, техническими решениями принято разделение объектов на пусковые комплексы (ПК).</w:t>
      </w:r>
    </w:p>
    <w:p w14:paraId="2DBD05AC" w14:textId="77777777" w:rsidR="008235C8" w:rsidRPr="000775F6" w:rsidRDefault="008235C8" w:rsidP="000775F6">
      <w:pPr>
        <w:pStyle w:val="Default"/>
        <w:spacing w:line="276" w:lineRule="auto"/>
        <w:ind w:firstLine="708"/>
        <w:jc w:val="both"/>
      </w:pPr>
      <w:r w:rsidRPr="000775F6">
        <w:t xml:space="preserve">При строительстве определены 1 организованный источник и 12 неорганизованных источника выбросов ЗВ. В атмосферу будут выбрасываться загрязняющие вещества 15 наименований. Общий объем выбросов загрязняющих веществ при строительстве составит: </w:t>
      </w:r>
    </w:p>
    <w:p w14:paraId="49A243B8" w14:textId="77777777" w:rsidR="000775F6" w:rsidRPr="000775F6" w:rsidRDefault="000775F6" w:rsidP="000775F6">
      <w:pPr>
        <w:spacing w:line="276" w:lineRule="auto"/>
        <w:ind w:firstLine="709"/>
        <w:jc w:val="both"/>
      </w:pPr>
      <w:r w:rsidRPr="000775F6">
        <w:t>2026 г. - 0.5870296 г/сек и 0.18413042 т/год;</w:t>
      </w:r>
    </w:p>
    <w:p w14:paraId="710CC94D" w14:textId="77777777" w:rsidR="000775F6" w:rsidRPr="000775F6" w:rsidRDefault="000775F6" w:rsidP="000775F6">
      <w:pPr>
        <w:spacing w:line="276" w:lineRule="auto"/>
        <w:ind w:firstLine="709"/>
        <w:jc w:val="both"/>
      </w:pPr>
      <w:r w:rsidRPr="000775F6">
        <w:t>2027 г. - 0.6345017 г/сек и 1.595411 т/год.</w:t>
      </w:r>
    </w:p>
    <w:p w14:paraId="47A30149" w14:textId="77777777" w:rsidR="008235C8" w:rsidRPr="000775F6" w:rsidRDefault="008235C8" w:rsidP="000775F6">
      <w:pPr>
        <w:pStyle w:val="Default"/>
        <w:spacing w:line="276" w:lineRule="auto"/>
        <w:ind w:firstLine="708"/>
        <w:jc w:val="both"/>
      </w:pPr>
      <w:r w:rsidRPr="000775F6">
        <w:t xml:space="preserve">При эксплуатации определены 17 организованных источников выбросов ЗВ. В атмосферу будут выбрасываться загрязняющие вещества 7 наименований. Общий объем выбросов загрязняющих веществ при эксплуатации составит: 0.7513584 г/сек и 11.7351539 т/год. </w:t>
      </w:r>
    </w:p>
    <w:p w14:paraId="53752689" w14:textId="77777777" w:rsidR="008235C8" w:rsidRPr="000775F6" w:rsidRDefault="008235C8" w:rsidP="000775F6">
      <w:pPr>
        <w:pStyle w:val="Default"/>
        <w:spacing w:line="276" w:lineRule="auto"/>
        <w:ind w:firstLine="708"/>
        <w:jc w:val="both"/>
      </w:pPr>
      <w:r w:rsidRPr="000775F6">
        <w:t xml:space="preserve">Выбросы загрязняющих веществ от источников определялись расчетным методом на основании действующих методик. </w:t>
      </w:r>
    </w:p>
    <w:p w14:paraId="50542784" w14:textId="77777777" w:rsidR="008235C8" w:rsidRPr="000775F6" w:rsidRDefault="008235C8" w:rsidP="000775F6">
      <w:pPr>
        <w:pStyle w:val="Default"/>
        <w:spacing w:line="276" w:lineRule="auto"/>
        <w:ind w:firstLine="708"/>
        <w:jc w:val="both"/>
      </w:pPr>
      <w:r w:rsidRPr="000775F6">
        <w:t xml:space="preserve">Источник воды на хозяйственно-питьевые нужды - привозная бутилированная вода. </w:t>
      </w:r>
    </w:p>
    <w:p w14:paraId="477CD350" w14:textId="77777777" w:rsidR="008235C8" w:rsidRPr="000775F6" w:rsidRDefault="008235C8" w:rsidP="000775F6">
      <w:pPr>
        <w:pStyle w:val="Default"/>
        <w:spacing w:line="276" w:lineRule="auto"/>
        <w:jc w:val="both"/>
      </w:pPr>
      <w:proofErr w:type="spellStart"/>
      <w:r w:rsidRPr="000775F6">
        <w:t>Хоз</w:t>
      </w:r>
      <w:proofErr w:type="spellEnd"/>
      <w:r w:rsidRPr="000775F6">
        <w:t xml:space="preserve">-бытовые сточные воды сбрасываются в биотуалет, по мере накопления будут вывозиться по договору специализированной организацией. </w:t>
      </w:r>
    </w:p>
    <w:p w14:paraId="3E846A27" w14:textId="63807A80" w:rsidR="000775F6" w:rsidRDefault="000775F6" w:rsidP="000775F6">
      <w:pPr>
        <w:tabs>
          <w:tab w:val="left" w:pos="0"/>
        </w:tabs>
        <w:spacing w:line="276" w:lineRule="auto"/>
        <w:ind w:firstLine="709"/>
        <w:jc w:val="both"/>
      </w:pPr>
      <w:r w:rsidRPr="000775F6">
        <w:t>Объем образования отходов при строительстве составит: 2026 г. – 0,27281 т/год, 2027г. – 1,498345 т/год, при эксплуатации отходы отсутствуют.</w:t>
      </w:r>
    </w:p>
    <w:p w14:paraId="5F906331" w14:textId="77777777" w:rsidR="000775F6" w:rsidRDefault="000775F6" w:rsidP="00F4397B">
      <w:pPr>
        <w:rPr>
          <w:b/>
          <w:bCs/>
          <w:i/>
          <w:iCs/>
          <w:color w:val="000000"/>
        </w:rPr>
      </w:pPr>
    </w:p>
    <w:p w14:paraId="524CFD47" w14:textId="77777777" w:rsidR="0021295D" w:rsidRDefault="00377E55" w:rsidP="0021295D">
      <w:pPr>
        <w:rPr>
          <w:b/>
          <w:bCs/>
          <w:i/>
          <w:iCs/>
          <w:color w:val="000000"/>
        </w:rPr>
      </w:pPr>
      <w:r w:rsidRPr="00377E55">
        <w:rPr>
          <w:b/>
          <w:bCs/>
          <w:i/>
          <w:iCs/>
          <w:color w:val="000000"/>
        </w:rPr>
        <w:t>3</w:t>
      </w:r>
      <w:r w:rsidR="00F4397B" w:rsidRPr="00377E55">
        <w:rPr>
          <w:b/>
          <w:bCs/>
          <w:i/>
          <w:iCs/>
          <w:color w:val="000000"/>
        </w:rPr>
        <w:t xml:space="preserve">. «Обустройство 5-ти газодобывающих скважин м/р </w:t>
      </w:r>
      <w:proofErr w:type="spellStart"/>
      <w:r w:rsidR="00F4397B" w:rsidRPr="00377E55">
        <w:rPr>
          <w:b/>
          <w:bCs/>
          <w:i/>
          <w:iCs/>
          <w:color w:val="000000"/>
        </w:rPr>
        <w:t>Каламкас</w:t>
      </w:r>
      <w:proofErr w:type="spellEnd"/>
      <w:r w:rsidR="00F4397B" w:rsidRPr="00377E55">
        <w:rPr>
          <w:b/>
          <w:bCs/>
          <w:i/>
          <w:iCs/>
          <w:color w:val="000000"/>
        </w:rPr>
        <w:t xml:space="preserve"> Мангистауской области»</w:t>
      </w:r>
      <w:bookmarkEnd w:id="0"/>
      <w:r w:rsidR="00F4397B" w:rsidRPr="00377E55">
        <w:rPr>
          <w:b/>
          <w:bCs/>
          <w:i/>
          <w:iCs/>
          <w:color w:val="000000"/>
        </w:rPr>
        <w:t>.</w:t>
      </w:r>
      <w:bookmarkStart w:id="1" w:name="_Toc152862867"/>
    </w:p>
    <w:p w14:paraId="3656E02B" w14:textId="77777777" w:rsidR="0021295D" w:rsidRPr="0021295D" w:rsidRDefault="0021295D" w:rsidP="0021295D">
      <w:pPr>
        <w:pStyle w:val="a6"/>
        <w:spacing w:line="276" w:lineRule="auto"/>
        <w:rPr>
          <w:rFonts w:ascii="Times New Roman" w:hAnsi="Times New Roman"/>
          <w:b/>
          <w:bCs/>
          <w:sz w:val="24"/>
          <w:szCs w:val="24"/>
          <w:lang w:val="ru-RU"/>
        </w:rPr>
      </w:pPr>
      <w:r w:rsidRPr="0021295D">
        <w:rPr>
          <w:rFonts w:ascii="Times New Roman" w:hAnsi="Times New Roman"/>
          <w:b/>
          <w:bCs/>
          <w:sz w:val="24"/>
          <w:szCs w:val="24"/>
          <w:lang w:val="ru-RU"/>
        </w:rPr>
        <w:t>Планировочные решения</w:t>
      </w:r>
    </w:p>
    <w:p w14:paraId="66692730" w14:textId="77777777" w:rsidR="0021295D" w:rsidRDefault="0021295D" w:rsidP="0021295D">
      <w:pPr>
        <w:tabs>
          <w:tab w:val="left" w:pos="709"/>
          <w:tab w:val="left" w:pos="5310"/>
        </w:tabs>
        <w:spacing w:line="276" w:lineRule="auto"/>
        <w:jc w:val="both"/>
      </w:pPr>
      <w:r>
        <w:tab/>
      </w:r>
      <w:r w:rsidRPr="0021295D">
        <w:t>Проектом предусматривается обустройство 5 площадок газодобывающих скважин.</w:t>
      </w:r>
    </w:p>
    <w:p w14:paraId="1C25C962" w14:textId="6B11391F" w:rsidR="0021295D" w:rsidRPr="0021295D" w:rsidRDefault="0021295D" w:rsidP="0021295D">
      <w:pPr>
        <w:tabs>
          <w:tab w:val="left" w:pos="709"/>
          <w:tab w:val="left" w:pos="5310"/>
        </w:tabs>
        <w:spacing w:line="276" w:lineRule="auto"/>
        <w:jc w:val="both"/>
      </w:pPr>
      <w:r>
        <w:tab/>
      </w:r>
      <w:r w:rsidRPr="0021295D">
        <w:t>Проектом предусматривается строительство следующих сооружений:</w:t>
      </w:r>
    </w:p>
    <w:p w14:paraId="70AB647A" w14:textId="77777777" w:rsidR="0021295D" w:rsidRPr="0021295D" w:rsidRDefault="0021295D" w:rsidP="0021295D">
      <w:pPr>
        <w:numPr>
          <w:ilvl w:val="0"/>
          <w:numId w:val="4"/>
        </w:numPr>
        <w:spacing w:line="276" w:lineRule="auto"/>
        <w:ind w:right="238"/>
        <w:jc w:val="both"/>
      </w:pPr>
      <w:r w:rsidRPr="0021295D">
        <w:t>обустройство скважин №№ 5852, 3499, 2511, 2682, 3419;</w:t>
      </w:r>
    </w:p>
    <w:p w14:paraId="7A3A9F24" w14:textId="77777777" w:rsidR="0021295D" w:rsidRPr="0021295D" w:rsidRDefault="0021295D" w:rsidP="0021295D">
      <w:pPr>
        <w:numPr>
          <w:ilvl w:val="0"/>
          <w:numId w:val="4"/>
        </w:numPr>
        <w:spacing w:line="276" w:lineRule="auto"/>
        <w:ind w:right="238"/>
        <w:jc w:val="both"/>
      </w:pPr>
      <w:r w:rsidRPr="0021295D">
        <w:t>строительство газопроводов-шлейфов со скважин до узлов подключения.</w:t>
      </w:r>
    </w:p>
    <w:p w14:paraId="35F82DFA" w14:textId="77777777" w:rsidR="0021295D" w:rsidRPr="0021295D" w:rsidRDefault="0021295D" w:rsidP="0021295D">
      <w:pPr>
        <w:numPr>
          <w:ilvl w:val="0"/>
          <w:numId w:val="4"/>
        </w:numPr>
        <w:spacing w:line="276" w:lineRule="auto"/>
        <w:ind w:right="238"/>
        <w:jc w:val="both"/>
      </w:pPr>
      <w:r w:rsidRPr="0021295D">
        <w:t xml:space="preserve">подключение газопроводов-шлейфов к действующему </w:t>
      </w:r>
      <w:proofErr w:type="spellStart"/>
      <w:r w:rsidRPr="0021295D">
        <w:t>манифольду</w:t>
      </w:r>
      <w:proofErr w:type="spellEnd"/>
      <w:r w:rsidRPr="0021295D">
        <w:t xml:space="preserve"> М-100 на УППГ.</w:t>
      </w:r>
    </w:p>
    <w:p w14:paraId="0D089A14" w14:textId="77777777" w:rsidR="0021295D" w:rsidRPr="0021295D" w:rsidRDefault="0021295D" w:rsidP="0021295D">
      <w:pPr>
        <w:spacing w:line="276" w:lineRule="auto"/>
        <w:ind w:firstLine="360"/>
        <w:jc w:val="both"/>
        <w:rPr>
          <w:lang w:val="x-none" w:eastAsia="x-none"/>
        </w:rPr>
      </w:pPr>
      <w:r w:rsidRPr="0021295D">
        <w:rPr>
          <w:lang w:val="x-none" w:eastAsia="x-none"/>
        </w:rPr>
        <w:t xml:space="preserve">Генеральный план площадок и проездов между ними разработан в соответствии с </w:t>
      </w:r>
      <w:r w:rsidRPr="0021295D">
        <w:rPr>
          <w:bCs/>
          <w:shd w:val="clear" w:color="auto" w:fill="FFFFFF"/>
          <w:lang w:val="x-none" w:eastAsia="x-none"/>
        </w:rPr>
        <w:t xml:space="preserve">СП РК 3.01-103-2012, </w:t>
      </w:r>
      <w:r w:rsidRPr="0021295D">
        <w:rPr>
          <w:lang w:val="x-none" w:eastAsia="x-none"/>
        </w:rPr>
        <w:t>ВНТП 3-85.</w:t>
      </w:r>
    </w:p>
    <w:p w14:paraId="1E0BA4F8" w14:textId="77777777" w:rsidR="0021295D" w:rsidRPr="0021295D" w:rsidRDefault="0021295D" w:rsidP="0021295D">
      <w:pPr>
        <w:spacing w:line="276" w:lineRule="auto"/>
        <w:ind w:firstLine="360"/>
        <w:jc w:val="both"/>
      </w:pPr>
      <w:r w:rsidRPr="0021295D">
        <w:t>При этом в основу положены следующие требования:</w:t>
      </w:r>
      <w:r w:rsidRPr="0021295D">
        <w:tab/>
      </w:r>
    </w:p>
    <w:p w14:paraId="3FC47E4F" w14:textId="77777777" w:rsidR="0021295D" w:rsidRPr="0021295D" w:rsidRDefault="0021295D" w:rsidP="0021295D">
      <w:pPr>
        <w:numPr>
          <w:ilvl w:val="0"/>
          <w:numId w:val="4"/>
        </w:numPr>
        <w:spacing w:line="276" w:lineRule="auto"/>
        <w:ind w:right="238"/>
        <w:jc w:val="both"/>
      </w:pPr>
      <w:r w:rsidRPr="0021295D">
        <w:t>расположение сооружений, а также транспортных путей на территории площадок</w:t>
      </w:r>
    </w:p>
    <w:p w14:paraId="702E69B9" w14:textId="77777777" w:rsidR="0021295D" w:rsidRPr="0021295D" w:rsidRDefault="0021295D" w:rsidP="0021295D">
      <w:pPr>
        <w:spacing w:line="276" w:lineRule="auto"/>
        <w:ind w:right="238"/>
        <w:jc w:val="both"/>
      </w:pPr>
      <w:r w:rsidRPr="0021295D">
        <w:t xml:space="preserve">принято согласно технологической схемы, требуемыми разрывами по нормам </w:t>
      </w:r>
      <w:proofErr w:type="spellStart"/>
      <w:r w:rsidRPr="0021295D">
        <w:t>пожаро</w:t>
      </w:r>
      <w:proofErr w:type="spellEnd"/>
      <w:r w:rsidRPr="0021295D">
        <w:t>- и взрывобезопасности и с учетом розы ветров, санитарными требованиями, грузооборота транспорта;</w:t>
      </w:r>
    </w:p>
    <w:p w14:paraId="3F9AD3EB" w14:textId="77777777" w:rsidR="0021295D" w:rsidRPr="0021295D" w:rsidRDefault="0021295D" w:rsidP="0021295D">
      <w:pPr>
        <w:numPr>
          <w:ilvl w:val="0"/>
          <w:numId w:val="4"/>
        </w:numPr>
        <w:spacing w:line="276" w:lineRule="auto"/>
        <w:ind w:right="238"/>
        <w:jc w:val="both"/>
      </w:pPr>
      <w:r w:rsidRPr="0021295D">
        <w:t>обеспечение благоприятных и безопасных условий труда, а также обеспечение рациональных</w:t>
      </w:r>
    </w:p>
    <w:p w14:paraId="31C0C600" w14:textId="77777777" w:rsidR="0021295D" w:rsidRPr="0021295D" w:rsidRDefault="0021295D" w:rsidP="0021295D">
      <w:pPr>
        <w:spacing w:line="276" w:lineRule="auto"/>
        <w:ind w:right="238"/>
        <w:jc w:val="both"/>
      </w:pPr>
      <w:r w:rsidRPr="0021295D">
        <w:t>производственных, транспортных и инженерных связей на площадке;</w:t>
      </w:r>
    </w:p>
    <w:p w14:paraId="4B78A97E" w14:textId="77777777" w:rsidR="0021295D" w:rsidRPr="0021295D" w:rsidRDefault="0021295D" w:rsidP="0021295D">
      <w:pPr>
        <w:numPr>
          <w:ilvl w:val="0"/>
          <w:numId w:val="4"/>
        </w:numPr>
        <w:spacing w:line="276" w:lineRule="auto"/>
        <w:ind w:right="238"/>
        <w:jc w:val="both"/>
      </w:pPr>
      <w:r w:rsidRPr="0021295D">
        <w:t xml:space="preserve">обеспечение благоприятных и безопасных условий труда, а также обеспечение рациональных производственных, транспортных и инженерных связей на площадках. </w:t>
      </w:r>
    </w:p>
    <w:p w14:paraId="6F0B2927" w14:textId="77777777" w:rsidR="0021295D" w:rsidRPr="0021295D" w:rsidRDefault="0021295D" w:rsidP="0021295D">
      <w:pPr>
        <w:spacing w:line="276" w:lineRule="auto"/>
        <w:jc w:val="both"/>
      </w:pPr>
    </w:p>
    <w:p w14:paraId="1A36A9F7" w14:textId="77777777" w:rsidR="0021295D" w:rsidRPr="0021295D" w:rsidRDefault="0021295D" w:rsidP="0021295D">
      <w:pPr>
        <w:spacing w:line="276" w:lineRule="auto"/>
        <w:jc w:val="both"/>
      </w:pPr>
      <w:r w:rsidRPr="0021295D">
        <w:lastRenderedPageBreak/>
        <w:t>На площадке запроектированы следующие сооружения:</w:t>
      </w:r>
    </w:p>
    <w:p w14:paraId="3E2338AE" w14:textId="77777777" w:rsidR="0021295D" w:rsidRPr="0021295D" w:rsidRDefault="0021295D" w:rsidP="0021295D">
      <w:pPr>
        <w:numPr>
          <w:ilvl w:val="0"/>
          <w:numId w:val="4"/>
        </w:numPr>
        <w:spacing w:line="276" w:lineRule="auto"/>
        <w:ind w:right="238"/>
        <w:jc w:val="both"/>
      </w:pPr>
      <w:r w:rsidRPr="0021295D">
        <w:t>приустьевой приямок;</w:t>
      </w:r>
    </w:p>
    <w:p w14:paraId="68423DC8" w14:textId="77777777" w:rsidR="0021295D" w:rsidRPr="0021295D" w:rsidRDefault="0021295D" w:rsidP="0021295D">
      <w:pPr>
        <w:numPr>
          <w:ilvl w:val="0"/>
          <w:numId w:val="4"/>
        </w:numPr>
        <w:spacing w:line="276" w:lineRule="auto"/>
        <w:ind w:right="238"/>
        <w:jc w:val="both"/>
      </w:pPr>
      <w:r w:rsidRPr="0021295D">
        <w:t>якоря ветровых и грузовых оттяжек (привязка);</w:t>
      </w:r>
    </w:p>
    <w:p w14:paraId="504901F0" w14:textId="77777777" w:rsidR="0021295D" w:rsidRPr="0021295D" w:rsidRDefault="0021295D" w:rsidP="0021295D">
      <w:pPr>
        <w:numPr>
          <w:ilvl w:val="0"/>
          <w:numId w:val="4"/>
        </w:numPr>
        <w:spacing w:line="276" w:lineRule="auto"/>
        <w:ind w:right="238"/>
        <w:jc w:val="both"/>
      </w:pPr>
      <w:r w:rsidRPr="0021295D">
        <w:t>площадка под ремонтный агрегат;</w:t>
      </w:r>
    </w:p>
    <w:p w14:paraId="1BDC3DB0" w14:textId="77777777" w:rsidR="0021295D" w:rsidRPr="0021295D" w:rsidRDefault="0021295D" w:rsidP="0021295D">
      <w:pPr>
        <w:numPr>
          <w:ilvl w:val="0"/>
          <w:numId w:val="4"/>
        </w:numPr>
        <w:spacing w:line="276" w:lineRule="auto"/>
        <w:ind w:right="238"/>
        <w:jc w:val="both"/>
      </w:pPr>
      <w:r w:rsidRPr="0021295D">
        <w:t>свеча продувочная Ду-80мм;</w:t>
      </w:r>
    </w:p>
    <w:p w14:paraId="6B37592F" w14:textId="77777777" w:rsidR="0021295D" w:rsidRPr="0021295D" w:rsidRDefault="0021295D" w:rsidP="0021295D">
      <w:pPr>
        <w:numPr>
          <w:ilvl w:val="0"/>
          <w:numId w:val="4"/>
        </w:numPr>
        <w:spacing w:line="276" w:lineRule="auto"/>
        <w:ind w:right="238"/>
        <w:jc w:val="both"/>
      </w:pPr>
      <w:r w:rsidRPr="0021295D">
        <w:t>площадка обслуживания лубрикатора;</w:t>
      </w:r>
    </w:p>
    <w:p w14:paraId="45654E85" w14:textId="77777777" w:rsidR="0021295D" w:rsidRPr="0021295D" w:rsidRDefault="0021295D" w:rsidP="0021295D">
      <w:pPr>
        <w:numPr>
          <w:ilvl w:val="0"/>
          <w:numId w:val="4"/>
        </w:numPr>
        <w:spacing w:line="276" w:lineRule="auto"/>
        <w:ind w:right="238"/>
        <w:jc w:val="both"/>
      </w:pPr>
      <w:r w:rsidRPr="0021295D">
        <w:t>ограждение газовой скважины.</w:t>
      </w:r>
    </w:p>
    <w:p w14:paraId="5A821443" w14:textId="77777777" w:rsidR="0021295D" w:rsidRPr="0021295D" w:rsidRDefault="0021295D" w:rsidP="0021295D">
      <w:pPr>
        <w:spacing w:line="276" w:lineRule="auto"/>
        <w:ind w:firstLine="360"/>
        <w:jc w:val="both"/>
      </w:pPr>
      <w:r w:rsidRPr="0021295D">
        <w:t xml:space="preserve">При размещении отдельных сооружений было учтено преобладающее направление ветров, чтобы уменьшить действие любого рода выбросов от технологических установок. </w:t>
      </w:r>
    </w:p>
    <w:p w14:paraId="4B504746" w14:textId="77777777" w:rsidR="0021295D" w:rsidRPr="0021295D" w:rsidRDefault="0021295D" w:rsidP="0021295D">
      <w:pPr>
        <w:spacing w:line="276" w:lineRule="auto"/>
        <w:ind w:firstLine="360"/>
        <w:jc w:val="both"/>
      </w:pPr>
      <w:r w:rsidRPr="0021295D">
        <w:t>Под строительство газопроводов-шлейфов выполняется насыпь из мергеля в форме трапеции, ширина которой зависит от количества прокладываемых   труб в одной траншее.</w:t>
      </w:r>
    </w:p>
    <w:p w14:paraId="61CB28B6" w14:textId="77777777" w:rsidR="0021295D" w:rsidRPr="0021295D" w:rsidRDefault="0021295D" w:rsidP="0021295D">
      <w:pPr>
        <w:shd w:val="clear" w:color="auto" w:fill="FFFFFF"/>
        <w:spacing w:line="276" w:lineRule="auto"/>
        <w:ind w:right="10"/>
        <w:jc w:val="both"/>
      </w:pPr>
      <w:r w:rsidRPr="0021295D">
        <w:rPr>
          <w:spacing w:val="-1"/>
        </w:rPr>
        <w:t xml:space="preserve">Высота насыпи под газосборные линии равняется </w:t>
      </w:r>
      <w:r w:rsidRPr="0021295D">
        <w:t xml:space="preserve">1.0м, так как восточное крыло находится в зоне постоянного </w:t>
      </w:r>
      <w:r w:rsidRPr="0021295D">
        <w:rPr>
          <w:spacing w:val="-3"/>
        </w:rPr>
        <w:t>сезонного подтопления грунтовыми и талыми водами.</w:t>
      </w:r>
    </w:p>
    <w:p w14:paraId="49E5B79E" w14:textId="77777777" w:rsidR="0021295D" w:rsidRPr="0021295D" w:rsidRDefault="0021295D" w:rsidP="0021295D">
      <w:pPr>
        <w:spacing w:line="276" w:lineRule="auto"/>
        <w:ind w:firstLine="709"/>
        <w:jc w:val="both"/>
      </w:pPr>
      <w:r w:rsidRPr="0021295D">
        <w:t>Учитывая равнинный характер местности, продольные уклоны не превышают 0,5-1%</w:t>
      </w:r>
      <w:r w:rsidRPr="0021295D">
        <w:rPr>
          <w:vertAlign w:val="subscript"/>
        </w:rPr>
        <w:t xml:space="preserve">о.   </w:t>
      </w:r>
    </w:p>
    <w:p w14:paraId="0CC1F8A6" w14:textId="77777777" w:rsidR="0021295D" w:rsidRPr="0021295D" w:rsidRDefault="0021295D" w:rsidP="0021295D">
      <w:pPr>
        <w:spacing w:line="276" w:lineRule="auto"/>
        <w:ind w:firstLine="709"/>
        <w:jc w:val="both"/>
        <w:rPr>
          <w:bCs/>
        </w:rPr>
      </w:pPr>
      <w:r w:rsidRPr="0021295D">
        <w:rPr>
          <w:bCs/>
        </w:rPr>
        <w:t>Все проектируемые сооружения в осенне-весенний период года находятся в зоне условного подтопления и требуют специальных защитных геотехнических мероприятий.  В процессе строительства газопроводов-шлейфов, а также при эксплуатации проектом рекомендуется использовать в качестве гидроизоляционного экрана мергель толщиной слоя не менее 0.5м, который по своим характеристикам подходит для этих целей.</w:t>
      </w:r>
    </w:p>
    <w:p w14:paraId="29B8EC88" w14:textId="086CC064" w:rsidR="0021295D" w:rsidRPr="0021295D" w:rsidRDefault="0021295D" w:rsidP="0021295D">
      <w:pPr>
        <w:spacing w:line="276" w:lineRule="auto"/>
        <w:ind w:firstLine="709"/>
        <w:jc w:val="both"/>
        <w:rPr>
          <w:b/>
          <w:bCs/>
          <w:i/>
          <w:iCs/>
          <w:color w:val="000000"/>
        </w:rPr>
      </w:pPr>
      <w:r w:rsidRPr="0021295D">
        <w:rPr>
          <w:bCs/>
        </w:rPr>
        <w:t xml:space="preserve">Прилегающие к площадкам дороги и рельеф местности не изменяются. Учитывая крайний равнинный рельеф </w:t>
      </w:r>
      <w:proofErr w:type="spellStart"/>
      <w:r w:rsidRPr="0021295D">
        <w:rPr>
          <w:bCs/>
        </w:rPr>
        <w:t>соров</w:t>
      </w:r>
      <w:proofErr w:type="spellEnd"/>
      <w:r w:rsidRPr="0021295D">
        <w:rPr>
          <w:bCs/>
        </w:rPr>
        <w:t>, водопропускные трубы не запроектированы</w:t>
      </w:r>
    </w:p>
    <w:p w14:paraId="74BF14EC" w14:textId="6E9D75B1" w:rsidR="00354961" w:rsidRPr="00354961" w:rsidRDefault="00354961" w:rsidP="0021295D">
      <w:pPr>
        <w:rPr>
          <w:b/>
          <w:bCs/>
          <w:i/>
          <w:iCs/>
          <w:color w:val="000000"/>
        </w:rPr>
      </w:pPr>
      <w:r w:rsidRPr="00354961">
        <w:t>ТЕХНОЛОГИЧЕСКИЕ РЕШЕНИЯ</w:t>
      </w:r>
      <w:bookmarkEnd w:id="1"/>
    </w:p>
    <w:p w14:paraId="41617F66" w14:textId="4A8A28D3" w:rsidR="00354961" w:rsidRPr="00354961" w:rsidRDefault="00354961" w:rsidP="0021295D">
      <w:pPr>
        <w:ind w:right="-140" w:firstLine="709"/>
        <w:jc w:val="both"/>
        <w:rPr>
          <w:iCs/>
        </w:rPr>
      </w:pPr>
      <w:r w:rsidRPr="00354961">
        <w:rPr>
          <w:iCs/>
        </w:rPr>
        <w:t xml:space="preserve">Проектными решениями предусматривается строительство новых сооружений обустройства месторождения, обеспечивающих дополнительную добычу, сбор и транспорт природного газа в объеме 0.045 </w:t>
      </w:r>
      <w:proofErr w:type="gramStart"/>
      <w:r w:rsidRPr="00354961">
        <w:rPr>
          <w:iCs/>
        </w:rPr>
        <w:t>млн.м</w:t>
      </w:r>
      <w:proofErr w:type="gramEnd"/>
      <w:r w:rsidRPr="00354961">
        <w:rPr>
          <w:iCs/>
          <w:vertAlign w:val="superscript"/>
        </w:rPr>
        <w:t>3</w:t>
      </w:r>
      <w:r w:rsidRPr="00354961">
        <w:rPr>
          <w:iCs/>
        </w:rPr>
        <w:t>/</w:t>
      </w:r>
      <w:proofErr w:type="spellStart"/>
      <w:r w:rsidRPr="00354961">
        <w:rPr>
          <w:iCs/>
        </w:rPr>
        <w:t>сут</w:t>
      </w:r>
      <w:proofErr w:type="spellEnd"/>
      <w:r w:rsidRPr="00354961">
        <w:rPr>
          <w:iCs/>
        </w:rPr>
        <w:t xml:space="preserve"> или 16,425 млн.м</w:t>
      </w:r>
      <w:r w:rsidRPr="00354961">
        <w:rPr>
          <w:iCs/>
          <w:vertAlign w:val="superscript"/>
        </w:rPr>
        <w:t>3</w:t>
      </w:r>
      <w:r w:rsidRPr="00354961">
        <w:rPr>
          <w:iCs/>
        </w:rPr>
        <w:t>/год.</w:t>
      </w:r>
    </w:p>
    <w:p w14:paraId="54613AE1" w14:textId="77777777" w:rsidR="00354961" w:rsidRPr="00354961" w:rsidRDefault="00354961" w:rsidP="0021295D">
      <w:pPr>
        <w:ind w:right="-140" w:firstLine="360"/>
        <w:jc w:val="both"/>
        <w:rPr>
          <w:iCs/>
        </w:rPr>
      </w:pPr>
      <w:r w:rsidRPr="00354961">
        <w:rPr>
          <w:iCs/>
        </w:rPr>
        <w:t>Объем проектирования по данному объекту:</w:t>
      </w:r>
    </w:p>
    <w:p w14:paraId="311CA6E0" w14:textId="77777777" w:rsidR="00354961" w:rsidRPr="00354961" w:rsidRDefault="00354961" w:rsidP="00354961">
      <w:pPr>
        <w:numPr>
          <w:ilvl w:val="0"/>
          <w:numId w:val="4"/>
        </w:numPr>
        <w:tabs>
          <w:tab w:val="num" w:pos="900"/>
        </w:tabs>
        <w:ind w:right="-140"/>
        <w:jc w:val="both"/>
        <w:rPr>
          <w:iCs/>
        </w:rPr>
      </w:pPr>
      <w:r w:rsidRPr="00354961">
        <w:rPr>
          <w:iCs/>
        </w:rPr>
        <w:t>обустройство устьев 5-ти газодобывающих скважин;</w:t>
      </w:r>
    </w:p>
    <w:p w14:paraId="333AB0C0" w14:textId="77777777" w:rsidR="00354961" w:rsidRPr="00354961" w:rsidRDefault="00354961" w:rsidP="00354961">
      <w:pPr>
        <w:numPr>
          <w:ilvl w:val="0"/>
          <w:numId w:val="4"/>
        </w:numPr>
        <w:tabs>
          <w:tab w:val="num" w:pos="900"/>
        </w:tabs>
        <w:ind w:right="-140"/>
        <w:jc w:val="both"/>
        <w:rPr>
          <w:iCs/>
        </w:rPr>
      </w:pPr>
      <w:r w:rsidRPr="00354961">
        <w:rPr>
          <w:iCs/>
        </w:rPr>
        <w:t>газопроводы-шлейфы от скважин до существующего УППГ;</w:t>
      </w:r>
    </w:p>
    <w:p w14:paraId="6D9B7344" w14:textId="77777777" w:rsidR="00354961" w:rsidRPr="00354961" w:rsidRDefault="00354961" w:rsidP="00354961">
      <w:pPr>
        <w:numPr>
          <w:ilvl w:val="0"/>
          <w:numId w:val="4"/>
        </w:numPr>
        <w:tabs>
          <w:tab w:val="num" w:pos="900"/>
        </w:tabs>
        <w:ind w:right="-140"/>
        <w:jc w:val="both"/>
        <w:rPr>
          <w:iCs/>
        </w:rPr>
      </w:pPr>
      <w:r w:rsidRPr="00354961">
        <w:rPr>
          <w:iCs/>
        </w:rPr>
        <w:t xml:space="preserve">подключение к существующему </w:t>
      </w:r>
      <w:proofErr w:type="spellStart"/>
      <w:r w:rsidRPr="00354961">
        <w:rPr>
          <w:iCs/>
        </w:rPr>
        <w:t>манифольду</w:t>
      </w:r>
      <w:proofErr w:type="spellEnd"/>
      <w:r w:rsidRPr="00354961">
        <w:rPr>
          <w:iCs/>
        </w:rPr>
        <w:t xml:space="preserve"> М-100 на УППГ;</w:t>
      </w:r>
    </w:p>
    <w:p w14:paraId="7FA1D669" w14:textId="77777777" w:rsidR="00354961" w:rsidRPr="00354961" w:rsidRDefault="00354961" w:rsidP="00354961">
      <w:pPr>
        <w:numPr>
          <w:ilvl w:val="0"/>
          <w:numId w:val="4"/>
        </w:numPr>
        <w:tabs>
          <w:tab w:val="num" w:pos="900"/>
        </w:tabs>
        <w:ind w:right="-140"/>
        <w:jc w:val="both"/>
        <w:rPr>
          <w:iCs/>
        </w:rPr>
      </w:pPr>
      <w:r w:rsidRPr="00354961">
        <w:rPr>
          <w:iCs/>
        </w:rPr>
        <w:t>электроснабжение проектируемых объектов (станции СКЗ);</w:t>
      </w:r>
    </w:p>
    <w:p w14:paraId="7EAB6AC2" w14:textId="77777777" w:rsidR="00354961" w:rsidRPr="00354961" w:rsidRDefault="00354961" w:rsidP="00354961">
      <w:pPr>
        <w:numPr>
          <w:ilvl w:val="0"/>
          <w:numId w:val="4"/>
        </w:numPr>
        <w:tabs>
          <w:tab w:val="num" w:pos="900"/>
        </w:tabs>
        <w:ind w:right="-140"/>
        <w:jc w:val="both"/>
        <w:rPr>
          <w:iCs/>
        </w:rPr>
      </w:pPr>
      <w:r w:rsidRPr="00354961">
        <w:rPr>
          <w:iCs/>
        </w:rPr>
        <w:t xml:space="preserve">охранные </w:t>
      </w:r>
      <w:proofErr w:type="spellStart"/>
      <w:r w:rsidRPr="00354961">
        <w:rPr>
          <w:iCs/>
        </w:rPr>
        <w:t>техпроезды</w:t>
      </w:r>
      <w:proofErr w:type="spellEnd"/>
      <w:r w:rsidRPr="00354961">
        <w:rPr>
          <w:iCs/>
        </w:rPr>
        <w:t xml:space="preserve"> и площадки</w:t>
      </w:r>
      <w:r w:rsidRPr="00354961">
        <w:rPr>
          <w:iCs/>
          <w:lang w:val="en-US"/>
        </w:rPr>
        <w:t>.</w:t>
      </w:r>
    </w:p>
    <w:p w14:paraId="112B94FB" w14:textId="77777777" w:rsidR="00354961" w:rsidRPr="00354961" w:rsidRDefault="00354961" w:rsidP="0021295D">
      <w:pPr>
        <w:ind w:right="-140" w:firstLine="360"/>
        <w:jc w:val="both"/>
        <w:rPr>
          <w:iCs/>
        </w:rPr>
      </w:pPr>
      <w:r w:rsidRPr="00354961">
        <w:rPr>
          <w:iCs/>
        </w:rPr>
        <w:t>Для удобства ввода в эксплуатацию проектными решениями принято разделение объектов строительства на пусковые комплексы ПК. Ниже приведены объемы проектирования по пусковым комплексам:</w:t>
      </w:r>
    </w:p>
    <w:p w14:paraId="4FFF2871" w14:textId="77777777" w:rsidR="00354961" w:rsidRPr="00354961" w:rsidRDefault="00354961" w:rsidP="00354961">
      <w:pPr>
        <w:numPr>
          <w:ilvl w:val="0"/>
          <w:numId w:val="4"/>
        </w:numPr>
        <w:ind w:right="-140"/>
        <w:jc w:val="both"/>
        <w:rPr>
          <w:iCs/>
        </w:rPr>
      </w:pPr>
      <w:r w:rsidRPr="00354961">
        <w:rPr>
          <w:iCs/>
        </w:rPr>
        <w:t>ПК-1 включает в себя обустройство площадок скважин №№ 5852, 3499, 2511 и строительство</w:t>
      </w:r>
    </w:p>
    <w:p w14:paraId="0ABF46EE" w14:textId="77777777" w:rsidR="00354961" w:rsidRPr="00354961" w:rsidRDefault="00354961" w:rsidP="00354961">
      <w:pPr>
        <w:ind w:right="-140"/>
        <w:jc w:val="both"/>
        <w:rPr>
          <w:iCs/>
        </w:rPr>
      </w:pPr>
      <w:r w:rsidRPr="00354961">
        <w:rPr>
          <w:iCs/>
        </w:rPr>
        <w:t>газопроводов-шлейфов Ду-100 до площадки действующей УППГ;</w:t>
      </w:r>
    </w:p>
    <w:p w14:paraId="6710BDB3" w14:textId="77777777" w:rsidR="00354961" w:rsidRPr="00354961" w:rsidRDefault="00354961" w:rsidP="00354961">
      <w:pPr>
        <w:numPr>
          <w:ilvl w:val="0"/>
          <w:numId w:val="4"/>
        </w:numPr>
        <w:ind w:right="-140"/>
        <w:jc w:val="both"/>
        <w:rPr>
          <w:iCs/>
        </w:rPr>
      </w:pPr>
      <w:r w:rsidRPr="00354961">
        <w:rPr>
          <w:iCs/>
        </w:rPr>
        <w:t>ПК-2 включает в себя обустройство площадки скважины № 2682 и строительство газопровода-</w:t>
      </w:r>
    </w:p>
    <w:p w14:paraId="084A606F" w14:textId="77777777" w:rsidR="00354961" w:rsidRPr="00354961" w:rsidRDefault="00354961" w:rsidP="00354961">
      <w:pPr>
        <w:ind w:right="-140"/>
        <w:jc w:val="both"/>
        <w:rPr>
          <w:iCs/>
        </w:rPr>
      </w:pPr>
      <w:r w:rsidRPr="00354961">
        <w:rPr>
          <w:iCs/>
        </w:rPr>
        <w:t>шлейфа Ду-100 до площадки действующей УППГ;</w:t>
      </w:r>
    </w:p>
    <w:p w14:paraId="28624516" w14:textId="77777777" w:rsidR="00354961" w:rsidRPr="00354961" w:rsidRDefault="00354961" w:rsidP="00354961">
      <w:pPr>
        <w:numPr>
          <w:ilvl w:val="0"/>
          <w:numId w:val="4"/>
        </w:numPr>
        <w:ind w:right="-140"/>
        <w:jc w:val="both"/>
        <w:rPr>
          <w:iCs/>
        </w:rPr>
      </w:pPr>
      <w:r w:rsidRPr="00354961">
        <w:rPr>
          <w:iCs/>
        </w:rPr>
        <w:t>ПК-3 включает в себя обустройство площадки скважины № 3419 и строительство газопровода-</w:t>
      </w:r>
    </w:p>
    <w:p w14:paraId="5D0130C3" w14:textId="77777777" w:rsidR="00354961" w:rsidRPr="00354961" w:rsidRDefault="00354961" w:rsidP="00354961">
      <w:pPr>
        <w:ind w:right="-140"/>
        <w:jc w:val="both"/>
        <w:rPr>
          <w:iCs/>
        </w:rPr>
      </w:pPr>
      <w:r w:rsidRPr="00354961">
        <w:rPr>
          <w:iCs/>
        </w:rPr>
        <w:t>шлейфа Ду-100 до действующей УППГ;</w:t>
      </w:r>
    </w:p>
    <w:p w14:paraId="11B88587" w14:textId="77777777" w:rsidR="00354961" w:rsidRPr="00354961" w:rsidRDefault="00354961" w:rsidP="00354961">
      <w:pPr>
        <w:numPr>
          <w:ilvl w:val="0"/>
          <w:numId w:val="4"/>
        </w:numPr>
        <w:ind w:right="-140"/>
        <w:jc w:val="both"/>
        <w:rPr>
          <w:iCs/>
        </w:rPr>
      </w:pPr>
      <w:r w:rsidRPr="00354961">
        <w:rPr>
          <w:iCs/>
        </w:rPr>
        <w:t>ПК-4 включает в себя подключение газопроводов-шлейфов проектируемых скважин №№5852,</w:t>
      </w:r>
    </w:p>
    <w:p w14:paraId="5C338524" w14:textId="77777777" w:rsidR="0021295D" w:rsidRDefault="00354961" w:rsidP="0021295D">
      <w:pPr>
        <w:spacing w:line="276" w:lineRule="auto"/>
        <w:ind w:right="-140"/>
        <w:jc w:val="both"/>
        <w:rPr>
          <w:iCs/>
        </w:rPr>
      </w:pPr>
      <w:r w:rsidRPr="0021295D">
        <w:rPr>
          <w:iCs/>
        </w:rPr>
        <w:t xml:space="preserve">3499, 2511, 2682, 3419 к существующему </w:t>
      </w:r>
      <w:proofErr w:type="spellStart"/>
      <w:r w:rsidRPr="0021295D">
        <w:rPr>
          <w:iCs/>
        </w:rPr>
        <w:t>манифольду</w:t>
      </w:r>
      <w:proofErr w:type="spellEnd"/>
      <w:r w:rsidRPr="0021295D">
        <w:rPr>
          <w:iCs/>
        </w:rPr>
        <w:t xml:space="preserve"> М-100 на УППГ.</w:t>
      </w:r>
    </w:p>
    <w:p w14:paraId="54F80FF6" w14:textId="77777777" w:rsidR="0021295D" w:rsidRDefault="00354961" w:rsidP="0021295D">
      <w:pPr>
        <w:spacing w:line="276" w:lineRule="auto"/>
        <w:ind w:right="-140" w:firstLine="709"/>
        <w:jc w:val="both"/>
        <w:rPr>
          <w:iCs/>
        </w:rPr>
      </w:pPr>
      <w:r w:rsidRPr="0021295D">
        <w:rPr>
          <w:bCs/>
        </w:rPr>
        <w:t>На период строительства выявлено всего 20 источников выбросов загрязняющих веществ в атмосферный воздух, из них: организованный - 6 и неорганизованных - 14.</w:t>
      </w:r>
    </w:p>
    <w:p w14:paraId="59B37340" w14:textId="77777777" w:rsidR="0021295D" w:rsidRPr="0021295D" w:rsidRDefault="00354961" w:rsidP="0021295D">
      <w:pPr>
        <w:spacing w:line="276" w:lineRule="auto"/>
        <w:ind w:right="-140" w:firstLine="284"/>
        <w:jc w:val="both"/>
        <w:rPr>
          <w:iCs/>
        </w:rPr>
      </w:pPr>
      <w:r w:rsidRPr="0021295D">
        <w:rPr>
          <w:bCs/>
        </w:rPr>
        <w:lastRenderedPageBreak/>
        <w:t xml:space="preserve">Общий объем выбросов загрязняющих веществ в период строительства составит – </w:t>
      </w:r>
      <w:r w:rsidRPr="0021295D">
        <w:rPr>
          <w:b/>
          <w:bCs/>
          <w:iCs/>
        </w:rPr>
        <w:t>24,98</w:t>
      </w:r>
      <w:r w:rsidRPr="0021295D">
        <w:rPr>
          <w:b/>
          <w:bCs/>
        </w:rPr>
        <w:t xml:space="preserve"> </w:t>
      </w:r>
      <w:r w:rsidRPr="0021295D">
        <w:rPr>
          <w:bCs/>
        </w:rPr>
        <w:t xml:space="preserve">г/с или </w:t>
      </w:r>
      <w:r w:rsidRPr="0021295D">
        <w:rPr>
          <w:b/>
          <w:bCs/>
          <w:iCs/>
        </w:rPr>
        <w:t xml:space="preserve">4,4 </w:t>
      </w:r>
      <w:r w:rsidRPr="0021295D">
        <w:rPr>
          <w:bCs/>
        </w:rPr>
        <w:t>т/период.; объем выбросов загрязняющих веществ на 202</w:t>
      </w:r>
      <w:r w:rsidRPr="0021295D">
        <w:rPr>
          <w:bCs/>
          <w:lang w:val="kk-KZ"/>
        </w:rPr>
        <w:t>6</w:t>
      </w:r>
      <w:r w:rsidRPr="0021295D">
        <w:rPr>
          <w:bCs/>
        </w:rPr>
        <w:t xml:space="preserve"> год составит - </w:t>
      </w:r>
      <w:r w:rsidRPr="0021295D">
        <w:rPr>
          <w:b/>
          <w:bCs/>
          <w:color w:val="000000"/>
        </w:rPr>
        <w:t>9,37058г/сек или 1,65364т/год</w:t>
      </w:r>
      <w:r w:rsidRPr="0021295D">
        <w:rPr>
          <w:bCs/>
        </w:rPr>
        <w:t>, а на 202</w:t>
      </w:r>
      <w:r w:rsidRPr="0021295D">
        <w:rPr>
          <w:bCs/>
          <w:lang w:val="kk-KZ"/>
        </w:rPr>
        <w:t>7</w:t>
      </w:r>
      <w:r w:rsidRPr="0021295D">
        <w:rPr>
          <w:bCs/>
        </w:rPr>
        <w:t xml:space="preserve"> год </w:t>
      </w:r>
      <w:proofErr w:type="spellStart"/>
      <w:r w:rsidRPr="0021295D">
        <w:rPr>
          <w:bCs/>
        </w:rPr>
        <w:t>сосавит</w:t>
      </w:r>
      <w:proofErr w:type="spellEnd"/>
      <w:r w:rsidRPr="0021295D">
        <w:rPr>
          <w:bCs/>
        </w:rPr>
        <w:t xml:space="preserve">- </w:t>
      </w:r>
      <w:r w:rsidRPr="0021295D">
        <w:rPr>
          <w:b/>
          <w:bCs/>
          <w:color w:val="000000"/>
        </w:rPr>
        <w:t>15,61364г/сек или 2,75086т/год.</w:t>
      </w:r>
    </w:p>
    <w:p w14:paraId="18403D41" w14:textId="6758EE1B" w:rsidR="00354961" w:rsidRPr="0021295D" w:rsidRDefault="00354961" w:rsidP="0021295D">
      <w:pPr>
        <w:spacing w:line="276" w:lineRule="auto"/>
        <w:ind w:right="-140" w:firstLine="284"/>
        <w:jc w:val="both"/>
        <w:rPr>
          <w:iCs/>
        </w:rPr>
      </w:pPr>
      <w:r w:rsidRPr="0021295D">
        <w:t xml:space="preserve">Выбросы загрязняющих веществ в атмосферу </w:t>
      </w:r>
      <w:r w:rsidRPr="0021295D">
        <w:rPr>
          <w:i/>
          <w:iCs/>
        </w:rPr>
        <w:t>от передвижных источников (автотранспорт и спецтехника, работающие на дизтопливе и на бензине)</w:t>
      </w:r>
      <w:r w:rsidRPr="0021295D">
        <w:t xml:space="preserve"> определены по предполагаемому расходу топлива при их перемещениях и составят за весь период проведения работ </w:t>
      </w:r>
      <w:r w:rsidRPr="0021295D">
        <w:rPr>
          <w:b/>
          <w:bCs/>
        </w:rPr>
        <w:t xml:space="preserve">3,50188 </w:t>
      </w:r>
      <w:r w:rsidRPr="0021295D">
        <w:t>т/период.</w:t>
      </w:r>
    </w:p>
    <w:p w14:paraId="170065B7" w14:textId="77777777" w:rsidR="0021295D" w:rsidRPr="0021295D" w:rsidRDefault="0021295D" w:rsidP="0021295D">
      <w:pPr>
        <w:widowControl w:val="0"/>
        <w:autoSpaceDE w:val="0"/>
        <w:autoSpaceDN w:val="0"/>
        <w:spacing w:line="276" w:lineRule="auto"/>
        <w:jc w:val="both"/>
        <w:rPr>
          <w:rFonts w:eastAsiaTheme="minorEastAsia"/>
          <w:i/>
          <w:color w:val="000000"/>
          <w:lang w:eastAsia="en-US"/>
        </w:rPr>
      </w:pPr>
      <w:r w:rsidRPr="0021295D">
        <w:rPr>
          <w:rFonts w:eastAsiaTheme="minorEastAsia"/>
          <w:i/>
          <w:color w:val="000000"/>
          <w:lang w:eastAsia="en-US"/>
        </w:rPr>
        <w:t>В период эксплуатации проектируемого объекта источники выбросов загрязняющих веществ в атмосферный воздух отсутствуют.</w:t>
      </w:r>
    </w:p>
    <w:p w14:paraId="054AEC89" w14:textId="77777777" w:rsidR="0021295D" w:rsidRDefault="0021295D" w:rsidP="0021295D">
      <w:pPr>
        <w:jc w:val="both"/>
        <w:rPr>
          <w:rFonts w:ascii="Arial" w:hAnsi="Arial" w:cs="Arial"/>
          <w:sz w:val="20"/>
          <w:szCs w:val="20"/>
        </w:rPr>
      </w:pPr>
    </w:p>
    <w:p w14:paraId="6D2AA671" w14:textId="77777777" w:rsidR="00354961" w:rsidRPr="00D460FA" w:rsidRDefault="00354961" w:rsidP="00354961">
      <w:pPr>
        <w:widowControl w:val="0"/>
        <w:spacing w:before="120"/>
        <w:ind w:firstLine="284"/>
        <w:jc w:val="both"/>
        <w:rPr>
          <w:rFonts w:ascii="Arial" w:hAnsi="Arial" w:cs="Arial"/>
          <w:b/>
          <w:bCs/>
          <w:iCs/>
          <w:sz w:val="20"/>
          <w:szCs w:val="20"/>
        </w:rPr>
      </w:pPr>
    </w:p>
    <w:p w14:paraId="0A2A2624" w14:textId="77777777" w:rsidR="00F4397B" w:rsidRDefault="00F4397B" w:rsidP="00F4397B"/>
    <w:sectPr w:rsidR="00F439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76A37"/>
    <w:multiLevelType w:val="hybridMultilevel"/>
    <w:tmpl w:val="0128A5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291EEB"/>
    <w:multiLevelType w:val="multilevel"/>
    <w:tmpl w:val="693E0BFE"/>
    <w:lvl w:ilvl="0">
      <w:start w:val="1"/>
      <w:numFmt w:val="decimal"/>
      <w:pStyle w:val="1"/>
      <w:suff w:val="space"/>
      <w:lvlText w:val="%1."/>
      <w:lvlJc w:val="left"/>
      <w:pPr>
        <w:ind w:left="644" w:hanging="360"/>
      </w:pPr>
      <w:rPr>
        <w:rFonts w:cs="Times New Roman CYR" w:hint="default"/>
      </w:rPr>
    </w:lvl>
    <w:lvl w:ilvl="1">
      <w:start w:val="1"/>
      <w:numFmt w:val="decimal"/>
      <w:suff w:val="space"/>
      <w:lvlText w:val="%1.%2."/>
      <w:lvlJc w:val="left"/>
      <w:pPr>
        <w:ind w:left="1142" w:hanging="432"/>
      </w:pPr>
      <w:rPr>
        <w:rFonts w:cs="Times New Roman CYR" w:hint="default"/>
      </w:rPr>
    </w:lvl>
    <w:lvl w:ilvl="2">
      <w:start w:val="1"/>
      <w:numFmt w:val="decimal"/>
      <w:suff w:val="space"/>
      <w:lvlText w:val="%1.%2.%3."/>
      <w:lvlJc w:val="left"/>
      <w:pPr>
        <w:ind w:left="284" w:hanging="284"/>
      </w:pPr>
      <w:rPr>
        <w:rFonts w:cs="Times New Roman CYR" w:hint="default"/>
      </w:rPr>
    </w:lvl>
    <w:lvl w:ilvl="3">
      <w:start w:val="1"/>
      <w:numFmt w:val="decimal"/>
      <w:pStyle w:val="4"/>
      <w:suff w:val="space"/>
      <w:lvlText w:val="%1.%2.%3.%4."/>
      <w:lvlJc w:val="left"/>
      <w:pPr>
        <w:ind w:left="1074" w:hanging="648"/>
      </w:pPr>
      <w:rPr>
        <w:rFonts w:cs="Times New Roman CYR" w:hint="default"/>
      </w:rPr>
    </w:lvl>
    <w:lvl w:ilvl="4">
      <w:start w:val="1"/>
      <w:numFmt w:val="decimal"/>
      <w:lvlText w:val="%1.%2.%3.%4.%5."/>
      <w:lvlJc w:val="left"/>
      <w:pPr>
        <w:tabs>
          <w:tab w:val="num" w:pos="2520"/>
        </w:tabs>
        <w:ind w:left="2232" w:hanging="792"/>
      </w:pPr>
      <w:rPr>
        <w:rFonts w:cs="Times New Roman CYR" w:hint="default"/>
      </w:rPr>
    </w:lvl>
    <w:lvl w:ilvl="5">
      <w:start w:val="1"/>
      <w:numFmt w:val="decimal"/>
      <w:lvlText w:val="%1.%2.%3.%4.%5.%6."/>
      <w:lvlJc w:val="left"/>
      <w:pPr>
        <w:tabs>
          <w:tab w:val="num" w:pos="2880"/>
        </w:tabs>
        <w:ind w:left="2736" w:hanging="936"/>
      </w:pPr>
      <w:rPr>
        <w:rFonts w:cs="Times New Roman CYR" w:hint="default"/>
      </w:rPr>
    </w:lvl>
    <w:lvl w:ilvl="6">
      <w:start w:val="1"/>
      <w:numFmt w:val="decimal"/>
      <w:lvlText w:val="%1.%2.%3.%4.%5.%6.%7."/>
      <w:lvlJc w:val="left"/>
      <w:pPr>
        <w:tabs>
          <w:tab w:val="num" w:pos="3600"/>
        </w:tabs>
        <w:ind w:left="3240" w:hanging="1080"/>
      </w:pPr>
      <w:rPr>
        <w:rFonts w:cs="Times New Roman CYR" w:hint="default"/>
      </w:rPr>
    </w:lvl>
    <w:lvl w:ilvl="7">
      <w:start w:val="1"/>
      <w:numFmt w:val="decimal"/>
      <w:lvlText w:val="%1.%2.%3.%4.%5.%6.%7.%8."/>
      <w:lvlJc w:val="left"/>
      <w:pPr>
        <w:tabs>
          <w:tab w:val="num" w:pos="3960"/>
        </w:tabs>
        <w:ind w:left="3744" w:hanging="1224"/>
      </w:pPr>
      <w:rPr>
        <w:rFonts w:cs="Times New Roman CYR" w:hint="default"/>
      </w:rPr>
    </w:lvl>
    <w:lvl w:ilvl="8">
      <w:start w:val="1"/>
      <w:numFmt w:val="decimal"/>
      <w:lvlText w:val="%1.%2.%3.%4.%5.%6.%7.%8.%9."/>
      <w:lvlJc w:val="left"/>
      <w:pPr>
        <w:tabs>
          <w:tab w:val="num" w:pos="4680"/>
        </w:tabs>
        <w:ind w:left="4320" w:hanging="1440"/>
      </w:pPr>
      <w:rPr>
        <w:rFonts w:cs="Times New Roman CYR" w:hint="default"/>
      </w:rPr>
    </w:lvl>
  </w:abstractNum>
  <w:abstractNum w:abstractNumId="2" w15:restartNumberingAfterBreak="0">
    <w:nsid w:val="4F96653C"/>
    <w:multiLevelType w:val="hybridMultilevel"/>
    <w:tmpl w:val="4CBC1ACA"/>
    <w:name w:val="Нумерованный список 14"/>
    <w:lvl w:ilvl="0" w:tplc="3E0E07B2">
      <w:numFmt w:val="bullet"/>
      <w:pStyle w:val="EC-"/>
      <w:lvlText w:val="-"/>
      <w:lvlJc w:val="left"/>
      <w:pPr>
        <w:ind w:left="927" w:firstLine="0"/>
      </w:pPr>
      <w:rPr>
        <w:rFonts w:ascii="Courier New" w:hAnsi="Courier New"/>
      </w:rPr>
    </w:lvl>
    <w:lvl w:ilvl="1" w:tplc="2DB61A94">
      <w:numFmt w:val="bullet"/>
      <w:lvlText w:val="o"/>
      <w:lvlJc w:val="left"/>
      <w:pPr>
        <w:ind w:left="1647" w:firstLine="0"/>
      </w:pPr>
      <w:rPr>
        <w:rFonts w:ascii="Courier New" w:hAnsi="Courier New" w:cs="Courier New"/>
      </w:rPr>
    </w:lvl>
    <w:lvl w:ilvl="2" w:tplc="2522D7DE">
      <w:numFmt w:val="bullet"/>
      <w:lvlText w:val=""/>
      <w:lvlJc w:val="left"/>
      <w:pPr>
        <w:ind w:left="2367" w:firstLine="0"/>
      </w:pPr>
      <w:rPr>
        <w:rFonts w:ascii="Wingdings" w:eastAsia="Wingdings" w:hAnsi="Wingdings" w:cs="Wingdings"/>
      </w:rPr>
    </w:lvl>
    <w:lvl w:ilvl="3" w:tplc="EB4A250E">
      <w:numFmt w:val="bullet"/>
      <w:lvlText w:val=""/>
      <w:lvlJc w:val="left"/>
      <w:pPr>
        <w:ind w:left="3087" w:firstLine="0"/>
      </w:pPr>
      <w:rPr>
        <w:rFonts w:ascii="Symbol" w:hAnsi="Symbol"/>
      </w:rPr>
    </w:lvl>
    <w:lvl w:ilvl="4" w:tplc="F72C1910">
      <w:numFmt w:val="bullet"/>
      <w:lvlText w:val="o"/>
      <w:lvlJc w:val="left"/>
      <w:pPr>
        <w:ind w:left="3807" w:firstLine="0"/>
      </w:pPr>
      <w:rPr>
        <w:rFonts w:ascii="Courier New" w:hAnsi="Courier New" w:cs="Courier New"/>
      </w:rPr>
    </w:lvl>
    <w:lvl w:ilvl="5" w:tplc="DC8EE75E">
      <w:numFmt w:val="bullet"/>
      <w:lvlText w:val=""/>
      <w:lvlJc w:val="left"/>
      <w:pPr>
        <w:ind w:left="4527" w:firstLine="0"/>
      </w:pPr>
      <w:rPr>
        <w:rFonts w:ascii="Wingdings" w:eastAsia="Wingdings" w:hAnsi="Wingdings" w:cs="Wingdings"/>
      </w:rPr>
    </w:lvl>
    <w:lvl w:ilvl="6" w:tplc="C72452B8">
      <w:numFmt w:val="bullet"/>
      <w:lvlText w:val=""/>
      <w:lvlJc w:val="left"/>
      <w:pPr>
        <w:ind w:left="5247" w:firstLine="0"/>
      </w:pPr>
      <w:rPr>
        <w:rFonts w:ascii="Symbol" w:hAnsi="Symbol"/>
      </w:rPr>
    </w:lvl>
    <w:lvl w:ilvl="7" w:tplc="CF86F0A0">
      <w:numFmt w:val="bullet"/>
      <w:lvlText w:val="o"/>
      <w:lvlJc w:val="left"/>
      <w:pPr>
        <w:ind w:left="5967" w:firstLine="0"/>
      </w:pPr>
      <w:rPr>
        <w:rFonts w:ascii="Courier New" w:hAnsi="Courier New" w:cs="Courier New"/>
      </w:rPr>
    </w:lvl>
    <w:lvl w:ilvl="8" w:tplc="E94823BA">
      <w:numFmt w:val="bullet"/>
      <w:lvlText w:val=""/>
      <w:lvlJc w:val="left"/>
      <w:pPr>
        <w:ind w:left="6687" w:firstLine="0"/>
      </w:pPr>
      <w:rPr>
        <w:rFonts w:ascii="Wingdings" w:eastAsia="Wingdings" w:hAnsi="Wingdings" w:cs="Wingdings"/>
      </w:rPr>
    </w:lvl>
  </w:abstractNum>
  <w:abstractNum w:abstractNumId="3" w15:restartNumberingAfterBreak="0">
    <w:nsid w:val="60102374"/>
    <w:multiLevelType w:val="multilevel"/>
    <w:tmpl w:val="0419001D"/>
    <w:styleLink w:val="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77246A8"/>
    <w:multiLevelType w:val="hybridMultilevel"/>
    <w:tmpl w:val="992A47F6"/>
    <w:lvl w:ilvl="0" w:tplc="2AF43C5E">
      <w:start w:val="1"/>
      <w:numFmt w:val="bullet"/>
      <w:pStyle w:val="EC-0"/>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 w15:restartNumberingAfterBreak="0">
    <w:nsid w:val="70507DEC"/>
    <w:multiLevelType w:val="multilevel"/>
    <w:tmpl w:val="077CA264"/>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288"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7B"/>
    <w:rsid w:val="000775F6"/>
    <w:rsid w:val="00093DDC"/>
    <w:rsid w:val="0021295D"/>
    <w:rsid w:val="00354961"/>
    <w:rsid w:val="00377E55"/>
    <w:rsid w:val="008235C8"/>
    <w:rsid w:val="00F43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B093"/>
  <w15:chartTrackingRefBased/>
  <w15:docId w15:val="{548F5D9D-FB00-4B86-886E-7215C442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97B"/>
    <w:pPr>
      <w:spacing w:after="0" w:line="240" w:lineRule="auto"/>
    </w:pPr>
    <w:rPr>
      <w:rFonts w:ascii="Times New Roman" w:eastAsia="Times New Roman" w:hAnsi="Times New Roman" w:cs="Times New Roman"/>
      <w:sz w:val="24"/>
      <w:szCs w:val="24"/>
      <w:lang w:eastAsia="ru-RU"/>
    </w:rPr>
  </w:style>
  <w:style w:type="paragraph" w:styleId="1">
    <w:name w:val="heading 1"/>
    <w:aliases w:val="Hoofdstuk,Part,OG Heading 1,h1,Заголовок 1 Знак1,Заголовок 1 Знак2 Знак,Заголовок 1 Знак Знак1 Знак,Заголовок 1 Знак1 Знак Знак Знак,Заголовок 1 Знак Знак Знак Знак Знак,Заголовок 1 Знак Знак Знак Знак Знак Знак Знак Знак,WGPSN Large Header"/>
    <w:basedOn w:val="a"/>
    <w:next w:val="a"/>
    <w:link w:val="10"/>
    <w:uiPriority w:val="1"/>
    <w:qFormat/>
    <w:rsid w:val="00F4397B"/>
    <w:pPr>
      <w:keepNext/>
      <w:numPr>
        <w:numId w:val="1"/>
      </w:numPr>
      <w:spacing w:before="240"/>
      <w:jc w:val="center"/>
      <w:outlineLvl w:val="0"/>
    </w:pPr>
    <w:rPr>
      <w:rFonts w:ascii="Times New Roman CYR" w:eastAsia="Times New Roman CYR" w:hAnsi="Times New Roman CYR"/>
      <w:b/>
      <w:bCs/>
      <w:caps/>
      <w:kern w:val="28"/>
      <w:lang w:val="x-none" w:eastAsia="x-none"/>
    </w:rPr>
  </w:style>
  <w:style w:type="paragraph" w:styleId="2">
    <w:name w:val="heading 2"/>
    <w:basedOn w:val="a"/>
    <w:next w:val="a"/>
    <w:link w:val="20"/>
    <w:uiPriority w:val="9"/>
    <w:semiHidden/>
    <w:unhideWhenUsed/>
    <w:qFormat/>
    <w:rsid w:val="003549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aliases w:val="Kopje,ALK_K4,Heading 4_ARGOSS,Close,KAAE4,RSKH4,C Head,Report Heading 4,. (A.),H4,заголовок 4 Знак,Заголовок 4 Знак Знак,Заголовок 4 Знак1 Знак Знак,Заголовок 4 Знак Знак Знак Знак,Заголовок 4 Знак Знак1,заг4"/>
    <w:basedOn w:val="a"/>
    <w:next w:val="a"/>
    <w:link w:val="40"/>
    <w:qFormat/>
    <w:rsid w:val="00F4397B"/>
    <w:pPr>
      <w:keepNext/>
      <w:numPr>
        <w:ilvl w:val="3"/>
        <w:numId w:val="1"/>
      </w:numPr>
      <w:spacing w:before="120"/>
      <w:jc w:val="both"/>
      <w:outlineLvl w:val="3"/>
    </w:pPr>
    <w:rPr>
      <w:rFonts w:ascii="Times New Roman CYR" w:eastAsia="Times New Roman CYR" w:hAnsi="Times New Roman CY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397B"/>
    <w:pPr>
      <w:spacing w:before="100" w:beforeAutospacing="1" w:after="100" w:afterAutospacing="1"/>
    </w:pPr>
  </w:style>
  <w:style w:type="character" w:customStyle="1" w:styleId="10">
    <w:name w:val="Заголовок 1 Знак"/>
    <w:aliases w:val="Hoofdstuk Знак,Part Знак,OG Heading 1 Знак,h1 Знак,Заголовок 1 Знак1 Знак,Заголовок 1 Знак2 Знак Знак,Заголовок 1 Знак Знак1 Знак Знак,Заголовок 1 Знак1 Знак Знак Знак Знак,Заголовок 1 Знак Знак Знак Знак Знак Знак"/>
    <w:basedOn w:val="a0"/>
    <w:link w:val="1"/>
    <w:uiPriority w:val="1"/>
    <w:rsid w:val="00F4397B"/>
    <w:rPr>
      <w:rFonts w:ascii="Times New Roman CYR" w:eastAsia="Times New Roman CYR" w:hAnsi="Times New Roman CYR" w:cs="Times New Roman"/>
      <w:b/>
      <w:bCs/>
      <w:caps/>
      <w:kern w:val="28"/>
      <w:sz w:val="24"/>
      <w:szCs w:val="24"/>
      <w:lang w:val="x-none" w:eastAsia="x-none"/>
    </w:rPr>
  </w:style>
  <w:style w:type="character" w:customStyle="1" w:styleId="40">
    <w:name w:val="Заголовок 4 Знак"/>
    <w:aliases w:val="Kopje Знак,ALK_K4 Знак,Heading 4_ARGOSS Знак,Close Знак,KAAE4 Знак,RSKH4 Знак,C Head Знак,Report Heading 4 Знак,. (A.) Знак,H4 Знак,заголовок 4 Знак Знак,Заголовок 4 Знак Знак Знак,Заголовок 4 Знак1 Знак Знак Знак,заг4 Знак"/>
    <w:basedOn w:val="a0"/>
    <w:link w:val="4"/>
    <w:rsid w:val="00F4397B"/>
    <w:rPr>
      <w:rFonts w:ascii="Times New Roman CYR" w:eastAsia="Times New Roman CYR" w:hAnsi="Times New Roman CYR" w:cs="Times New Roman"/>
      <w:i/>
      <w:iCs/>
      <w:sz w:val="24"/>
      <w:szCs w:val="24"/>
      <w:lang w:val="x-none" w:eastAsia="x-none"/>
    </w:rPr>
  </w:style>
  <w:style w:type="paragraph" w:styleId="a4">
    <w:name w:val="List Paragraph"/>
    <w:aliases w:val="Заголовок первого уровня,_список,Абзац,Paragraph,Citation List,Resume Title,List Paragraph Char Char,Bullet 1,Number_1,SGLText List Paragraph,lp1,Normal Sentence,Colorful List - Accent 11,ListPar1,List Paragraph2,List Paragraph11,list1,HE"/>
    <w:basedOn w:val="a"/>
    <w:link w:val="a5"/>
    <w:uiPriority w:val="1"/>
    <w:qFormat/>
    <w:rsid w:val="00F4397B"/>
    <w:pPr>
      <w:ind w:left="720"/>
      <w:contextualSpacing/>
    </w:pPr>
    <w:rPr>
      <w:rFonts w:ascii="Times New Roman CYR" w:eastAsia="Times New Roman CYR" w:hAnsi="Times New Roman CYR"/>
      <w:lang w:val="x-none" w:eastAsia="x-none"/>
    </w:rPr>
  </w:style>
  <w:style w:type="character" w:customStyle="1" w:styleId="a5">
    <w:name w:val="Абзац списка Знак"/>
    <w:aliases w:val="Заголовок первого уровня Знак,_список Знак,Абзац Знак,Paragraph Знак,Citation List Знак,Resume Title Знак,List Paragraph Char Char Знак,Bullet 1 Знак,Number_1 Знак,SGLText List Paragraph Знак,lp1 Знак,Normal Sentence Знак,ListPar1 Знак"/>
    <w:link w:val="a4"/>
    <w:uiPriority w:val="1"/>
    <w:qFormat/>
    <w:locked/>
    <w:rsid w:val="00F4397B"/>
    <w:rPr>
      <w:rFonts w:ascii="Times New Roman CYR" w:eastAsia="Times New Roman CYR" w:hAnsi="Times New Roman CYR" w:cs="Times New Roman"/>
      <w:sz w:val="24"/>
      <w:szCs w:val="24"/>
      <w:lang w:val="x-none" w:eastAsia="x-none"/>
    </w:rPr>
  </w:style>
  <w:style w:type="paragraph" w:customStyle="1" w:styleId="EC-">
    <w:name w:val="EC-подбулет"/>
    <w:basedOn w:val="a4"/>
    <w:link w:val="EC-1"/>
    <w:qFormat/>
    <w:rsid w:val="00F4397B"/>
    <w:pPr>
      <w:numPr>
        <w:numId w:val="2"/>
      </w:numPr>
      <w:tabs>
        <w:tab w:val="left" w:pos="993"/>
      </w:tabs>
      <w:spacing w:line="300" w:lineRule="auto"/>
    </w:pPr>
    <w:rPr>
      <w:rFonts w:ascii="Times New Roman" w:eastAsia="Times New Roman" w:hAnsi="Times New Roman"/>
      <w:sz w:val="20"/>
      <w:szCs w:val="20"/>
    </w:rPr>
  </w:style>
  <w:style w:type="character" w:customStyle="1" w:styleId="EC-1">
    <w:name w:val="EC-подбулет Знак"/>
    <w:link w:val="EC-"/>
    <w:rsid w:val="00F4397B"/>
    <w:rPr>
      <w:rFonts w:ascii="Times New Roman" w:eastAsia="Times New Roman" w:hAnsi="Times New Roman" w:cs="Times New Roman"/>
      <w:sz w:val="20"/>
      <w:szCs w:val="20"/>
      <w:lang w:val="x-none" w:eastAsia="x-none"/>
    </w:rPr>
  </w:style>
  <w:style w:type="paragraph" w:customStyle="1" w:styleId="EC">
    <w:name w:val="EC_абзац"/>
    <w:basedOn w:val="a"/>
    <w:link w:val="EC0"/>
    <w:qFormat/>
    <w:rsid w:val="00F4397B"/>
    <w:pPr>
      <w:widowControl w:val="0"/>
      <w:suppressLineNumbers/>
      <w:suppressAutoHyphens/>
      <w:spacing w:line="300" w:lineRule="auto"/>
      <w:ind w:firstLine="567"/>
      <w:jc w:val="both"/>
    </w:pPr>
    <w:rPr>
      <w:rFonts w:eastAsia="SimSun"/>
      <w:sz w:val="20"/>
      <w:lang w:val="x-none" w:eastAsia="zh-CN"/>
    </w:rPr>
  </w:style>
  <w:style w:type="character" w:customStyle="1" w:styleId="EC0">
    <w:name w:val="EC_абзац Знак"/>
    <w:link w:val="EC"/>
    <w:qFormat/>
    <w:rsid w:val="00F4397B"/>
    <w:rPr>
      <w:rFonts w:ascii="Times New Roman" w:eastAsia="SimSun" w:hAnsi="Times New Roman" w:cs="Times New Roman"/>
      <w:sz w:val="20"/>
      <w:szCs w:val="24"/>
      <w:lang w:val="x-none" w:eastAsia="zh-CN"/>
    </w:rPr>
  </w:style>
  <w:style w:type="paragraph" w:customStyle="1" w:styleId="EC-0">
    <w:name w:val="EC-булет"/>
    <w:basedOn w:val="EC-"/>
    <w:link w:val="EC-2"/>
    <w:qFormat/>
    <w:rsid w:val="00F4397B"/>
    <w:pPr>
      <w:widowControl w:val="0"/>
      <w:numPr>
        <w:numId w:val="3"/>
      </w:numPr>
    </w:pPr>
  </w:style>
  <w:style w:type="character" w:customStyle="1" w:styleId="EC-2">
    <w:name w:val="EC-булет Знак"/>
    <w:basedOn w:val="EC-1"/>
    <w:link w:val="EC-0"/>
    <w:rsid w:val="00F4397B"/>
    <w:rPr>
      <w:rFonts w:ascii="Times New Roman" w:eastAsia="Times New Roman" w:hAnsi="Times New Roman" w:cs="Times New Roman"/>
      <w:sz w:val="20"/>
      <w:szCs w:val="20"/>
      <w:lang w:val="x-none" w:eastAsia="x-none"/>
    </w:rPr>
  </w:style>
  <w:style w:type="paragraph" w:customStyle="1" w:styleId="Default">
    <w:name w:val="Default"/>
    <w:rsid w:val="00F439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354961"/>
    <w:rPr>
      <w:rFonts w:asciiTheme="majorHAnsi" w:eastAsiaTheme="majorEastAsia" w:hAnsiTheme="majorHAnsi" w:cstheme="majorBidi"/>
      <w:color w:val="2E74B5" w:themeColor="accent1" w:themeShade="BF"/>
      <w:sz w:val="26"/>
      <w:szCs w:val="26"/>
      <w:lang w:eastAsia="ru-RU"/>
    </w:rPr>
  </w:style>
  <w:style w:type="paragraph" w:styleId="a6">
    <w:name w:val="Body Text"/>
    <w:aliases w:val="Основной текст4,Основной текст Знак Знак Знак Знак Знак Знак Знак Знак Знак Знак Знак Знак3,Основной текст Знак Знак Знак Знак3,Основной текст Знак Знак Знак Знак Знак Знак Знак Знак Знак 3,b1,Основной текст Знак Знак1,Основной текст31,gl"/>
    <w:basedOn w:val="a"/>
    <w:link w:val="11"/>
    <w:rsid w:val="0021295D"/>
    <w:pPr>
      <w:jc w:val="both"/>
    </w:pPr>
    <w:rPr>
      <w:rFonts w:ascii="Arial" w:hAnsi="Arial"/>
      <w:sz w:val="20"/>
      <w:szCs w:val="20"/>
      <w:lang w:val="en-GB"/>
    </w:rPr>
  </w:style>
  <w:style w:type="character" w:customStyle="1" w:styleId="a7">
    <w:name w:val="Основной текст Знак"/>
    <w:basedOn w:val="a0"/>
    <w:uiPriority w:val="99"/>
    <w:semiHidden/>
    <w:rsid w:val="0021295D"/>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4 Знак,Основной текст Знак Знак Знак Знак Знак Знак Знак Знак Знак Знак Знак Знак3 Знак,Основной текст Знак Знак Знак Знак3 Знак,Основной текст Знак Знак Знак Знак Знак Знак Знак Знак Знак 3 Знак,b1 Знак1,gl Знак"/>
    <w:link w:val="a6"/>
    <w:rsid w:val="0021295D"/>
    <w:rPr>
      <w:rFonts w:ascii="Arial" w:eastAsia="Times New Roman" w:hAnsi="Arial" w:cs="Times New Roman"/>
      <w:sz w:val="20"/>
      <w:szCs w:val="20"/>
      <w:lang w:val="en-GB" w:eastAsia="ru-RU"/>
    </w:rPr>
  </w:style>
  <w:style w:type="numbering" w:customStyle="1" w:styleId="6">
    <w:name w:val="Стиль6"/>
    <w:rsid w:val="0021295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2107</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Б. Жапарова</dc:creator>
  <cp:keywords/>
  <dc:description/>
  <cp:lastModifiedBy>Айнур Бериккановна Жапарова</cp:lastModifiedBy>
  <cp:revision>4</cp:revision>
  <dcterms:created xsi:type="dcterms:W3CDTF">2024-05-20T12:02:00Z</dcterms:created>
  <dcterms:modified xsi:type="dcterms:W3CDTF">2026-02-20T10:24:00Z</dcterms:modified>
</cp:coreProperties>
</file>