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6734" w14:textId="41FE8FC7" w:rsidR="0099205A" w:rsidRPr="00A93FC8" w:rsidRDefault="0099205A" w:rsidP="00071F9A">
      <w:pPr>
        <w:widowControl w:val="0"/>
        <w:suppressAutoHyphens/>
        <w:jc w:val="center"/>
        <w:rPr>
          <w:b/>
          <w:bCs/>
          <w:caps/>
        </w:rPr>
      </w:pPr>
      <w:r w:rsidRPr="00A93FC8">
        <w:rPr>
          <w:b/>
          <w:bCs/>
          <w:caps/>
        </w:rPr>
        <w:t>Краткое нетехническое резюме</w:t>
      </w:r>
    </w:p>
    <w:p w14:paraId="27CB0CF6" w14:textId="7A037C71" w:rsidR="0099205A" w:rsidRPr="00A93FC8" w:rsidRDefault="0099205A" w:rsidP="00071F9A">
      <w:pPr>
        <w:widowControl w:val="0"/>
        <w:suppressAutoHyphens/>
        <w:jc w:val="center"/>
      </w:pPr>
      <w:r w:rsidRPr="00A93FC8">
        <w:t xml:space="preserve">к </w:t>
      </w:r>
      <w:r w:rsidR="00017A7A">
        <w:t xml:space="preserve">материалам экологической оценки по упрощённому порядку для </w:t>
      </w:r>
      <w:r w:rsidRPr="00A93FC8">
        <w:t>намечаемой деятельности</w:t>
      </w:r>
    </w:p>
    <w:p w14:paraId="5B942B7C" w14:textId="728D0CD4" w:rsidR="0099205A" w:rsidRDefault="00913A3C" w:rsidP="00B44284">
      <w:pPr>
        <w:widowControl w:val="0"/>
        <w:suppressAutoHyphens/>
        <w:jc w:val="center"/>
      </w:pPr>
      <w:r>
        <w:t>«</w:t>
      </w:r>
      <w:r w:rsidR="00CB1FF1" w:rsidRPr="007B7803">
        <w:rPr>
          <w:spacing w:val="-4"/>
        </w:rPr>
        <w:t>Строительство оценочной горизонтальной скважины № С-311 на месторождении Сарыбулак, Восточно-Казахстанской области</w:t>
      </w:r>
      <w:r>
        <w:t>»</w:t>
      </w:r>
    </w:p>
    <w:p w14:paraId="1AFC8C29" w14:textId="77777777" w:rsidR="00ED0716" w:rsidRPr="00A93FC8" w:rsidRDefault="00ED0716" w:rsidP="00B44284">
      <w:pPr>
        <w:widowControl w:val="0"/>
        <w:suppressAutoHyphens/>
        <w:jc w:val="center"/>
      </w:pPr>
    </w:p>
    <w:p w14:paraId="33BCEF64" w14:textId="1EEF2787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1) описание предполагаемого места осуществления намечаемой деятельности, план с изображением его границ;</w:t>
      </w:r>
    </w:p>
    <w:p w14:paraId="351A9CDD" w14:textId="77777777" w:rsidR="00CB1FF1" w:rsidRPr="00EE0D68" w:rsidRDefault="00CB1FF1" w:rsidP="00CB1FF1">
      <w:pPr>
        <w:widowControl w:val="0"/>
        <w:kinsoku w:val="0"/>
        <w:overflowPunct w:val="0"/>
        <w:ind w:firstLine="539"/>
        <w:jc w:val="both"/>
      </w:pPr>
      <w:r w:rsidRPr="00EE0D68">
        <w:t>Строительство оценочной горизонтальной скважины №С-311 (разведочная) предусматривается в границах действующего месторождения Сарыбулак, расположенного в Зайсанском районе Восточно-Казахстанской области.</w:t>
      </w:r>
    </w:p>
    <w:p w14:paraId="59008EFE" w14:textId="77777777" w:rsidR="00CB1FF1" w:rsidRPr="00EE0D68" w:rsidRDefault="00CB1FF1" w:rsidP="00CB1FF1">
      <w:pPr>
        <w:widowControl w:val="0"/>
        <w:kinsoku w:val="0"/>
        <w:overflowPunct w:val="0"/>
        <w:ind w:firstLine="539"/>
        <w:jc w:val="both"/>
      </w:pPr>
      <w:r w:rsidRPr="00EE0D68">
        <w:t xml:space="preserve">Координаты местоположения устья скважины согласно проектной документации: 47°34'44.6400" </w:t>
      </w:r>
      <w:proofErr w:type="spellStart"/>
      <w:r w:rsidRPr="00EE0D68">
        <w:t>сш</w:t>
      </w:r>
      <w:proofErr w:type="spellEnd"/>
      <w:r w:rsidRPr="00EE0D68">
        <w:t xml:space="preserve"> 84°27'51.1800" </w:t>
      </w:r>
      <w:proofErr w:type="spellStart"/>
      <w:r w:rsidRPr="00EE0D68">
        <w:t>вд</w:t>
      </w:r>
      <w:proofErr w:type="spellEnd"/>
      <w:r w:rsidRPr="00EE0D68">
        <w:t>.</w:t>
      </w:r>
    </w:p>
    <w:p w14:paraId="4AD064D5" w14:textId="77777777" w:rsidR="00CB1FF1" w:rsidRPr="00EE0D68" w:rsidRDefault="00CB1FF1" w:rsidP="00CB1FF1">
      <w:pPr>
        <w:widowControl w:val="0"/>
        <w:kinsoku w:val="0"/>
        <w:overflowPunct w:val="0"/>
        <w:ind w:firstLine="539"/>
        <w:jc w:val="both"/>
        <w:rPr>
          <w:sz w:val="10"/>
          <w:szCs w:val="10"/>
        </w:rPr>
      </w:pPr>
    </w:p>
    <w:p w14:paraId="37B9170C" w14:textId="77777777" w:rsidR="00CB1FF1" w:rsidRPr="00EE0D68" w:rsidRDefault="00CB1FF1" w:rsidP="00CB1FF1">
      <w:pPr>
        <w:widowControl w:val="0"/>
        <w:kinsoku w:val="0"/>
        <w:overflowPunct w:val="0"/>
        <w:jc w:val="center"/>
        <w:rPr>
          <w:noProof/>
          <w:sz w:val="10"/>
          <w:szCs w:val="10"/>
        </w:rPr>
      </w:pPr>
      <w:r w:rsidRPr="00EE0D68">
        <w:rPr>
          <w:noProof/>
        </w:rPr>
        <w:drawing>
          <wp:inline distT="0" distB="0" distL="0" distR="0" wp14:anchorId="120163D1" wp14:editId="5A5F07B7">
            <wp:extent cx="6291580" cy="3575685"/>
            <wp:effectExtent l="0" t="0" r="0" b="5715"/>
            <wp:docPr id="15122018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EEC4" w14:textId="77777777" w:rsidR="00CB1FF1" w:rsidRPr="00EE0D68" w:rsidRDefault="00CB1FF1" w:rsidP="00CB1FF1">
      <w:pPr>
        <w:widowControl w:val="0"/>
        <w:kinsoku w:val="0"/>
        <w:overflowPunct w:val="0"/>
        <w:jc w:val="center"/>
        <w:rPr>
          <w:sz w:val="10"/>
          <w:szCs w:val="10"/>
        </w:rPr>
      </w:pPr>
    </w:p>
    <w:p w14:paraId="2895B304" w14:textId="77777777" w:rsidR="00CB1FF1" w:rsidRPr="00EE0D68" w:rsidRDefault="00CB1FF1" w:rsidP="00CB1FF1">
      <w:pPr>
        <w:widowControl w:val="0"/>
        <w:kinsoku w:val="0"/>
        <w:overflowPunct w:val="0"/>
        <w:jc w:val="center"/>
        <w:rPr>
          <w:sz w:val="20"/>
          <w:szCs w:val="20"/>
        </w:rPr>
      </w:pPr>
      <w:r w:rsidRPr="00EE0D68">
        <w:rPr>
          <w:sz w:val="20"/>
          <w:szCs w:val="20"/>
        </w:rPr>
        <w:t>Рисунок 1 – Расположение объекта намечаемой деятельности относительно ближайшей жилой зоны</w:t>
      </w:r>
    </w:p>
    <w:p w14:paraId="3CF50296" w14:textId="77777777" w:rsidR="004914D1" w:rsidRPr="00A93FC8" w:rsidRDefault="004914D1" w:rsidP="00071F9A">
      <w:pPr>
        <w:widowControl w:val="0"/>
        <w:suppressAutoHyphens/>
        <w:ind w:left="284" w:hanging="284"/>
        <w:jc w:val="both"/>
        <w:rPr>
          <w:i/>
          <w:iCs/>
          <w:spacing w:val="-8"/>
        </w:rPr>
      </w:pPr>
    </w:p>
    <w:p w14:paraId="02880AC1" w14:textId="171287EB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  <w:spacing w:val="-8"/>
        </w:rPr>
      </w:pPr>
      <w:r w:rsidRPr="00A93FC8">
        <w:rPr>
          <w:i/>
          <w:iCs/>
          <w:spacing w:val="-8"/>
        </w:rPr>
        <w:t>2) описание затрагиваемой территории с указанием численности е</w:t>
      </w:r>
      <w:r w:rsidR="00AF4ED3" w:rsidRPr="00A93FC8">
        <w:rPr>
          <w:i/>
          <w:iCs/>
          <w:spacing w:val="-8"/>
        </w:rPr>
        <w:t>ё</w:t>
      </w:r>
      <w:r w:rsidRPr="00A93FC8">
        <w:rPr>
          <w:i/>
          <w:iCs/>
          <w:spacing w:val="-8"/>
        </w:rPr>
        <w:t xml:space="preserve"> населения, участков, на которых могут быть обнаружены выбросы, сбросы и иные негативные воздействия намечаемой деятельности на окружающую среду, с </w:t>
      </w:r>
      <w:r w:rsidR="00AF4ED3" w:rsidRPr="00A93FC8">
        <w:rPr>
          <w:i/>
          <w:iCs/>
          <w:spacing w:val="-8"/>
        </w:rPr>
        <w:t>учётом</w:t>
      </w:r>
      <w:r w:rsidRPr="00A93FC8">
        <w:rPr>
          <w:i/>
          <w:iCs/>
          <w:spacing w:val="-8"/>
        </w:rPr>
        <w:t xml:space="preserve"> их характеристик и способности переноса в окружающую среду; участков извлечения природных ресурсов и захоронения отходов;</w:t>
      </w:r>
    </w:p>
    <w:p w14:paraId="70ACD881" w14:textId="77777777" w:rsidR="00CB1FF1" w:rsidRPr="00EE0D68" w:rsidRDefault="00CB1FF1" w:rsidP="00CB1FF1">
      <w:pPr>
        <w:widowControl w:val="0"/>
        <w:kinsoku w:val="0"/>
        <w:overflowPunct w:val="0"/>
        <w:ind w:firstLine="539"/>
        <w:jc w:val="both"/>
      </w:pPr>
      <w:r w:rsidRPr="00EE0D68">
        <w:t>Ближайшая жилая зона – с. Карабулак – располагается на расстоянии более 17 км в юго-восточном направлении.</w:t>
      </w:r>
    </w:p>
    <w:p w14:paraId="74FDD4D1" w14:textId="484EFBB4" w:rsidR="00F301A6" w:rsidRPr="00A93FC8" w:rsidRDefault="00AF4ED3" w:rsidP="00071F9A">
      <w:pPr>
        <w:widowControl w:val="0"/>
        <w:suppressAutoHyphens/>
        <w:ind w:firstLine="567"/>
        <w:jc w:val="both"/>
        <w:rPr>
          <w:lang w:val="kk-KZ"/>
        </w:rPr>
      </w:pPr>
      <w:r w:rsidRPr="00A93FC8">
        <w:t xml:space="preserve">Воздействие намечаемой деятельности на окружающую среду не будет </w:t>
      </w:r>
      <w:r w:rsidR="00F301A6" w:rsidRPr="00A93FC8">
        <w:rPr>
          <w:lang w:val="kk-KZ"/>
        </w:rPr>
        <w:t>создавать концентраций</w:t>
      </w:r>
      <w:r w:rsidR="00F301A6" w:rsidRPr="00A93FC8">
        <w:t>, п</w:t>
      </w:r>
      <w:r w:rsidR="00F301A6" w:rsidRPr="00A93FC8">
        <w:rPr>
          <w:lang w:val="kk-KZ"/>
        </w:rPr>
        <w:t>ревышающих установленные гигиенические нормативы качества воздуха населённых мест.</w:t>
      </w:r>
    </w:p>
    <w:p w14:paraId="5C8B77CF" w14:textId="77777777" w:rsidR="004914D1" w:rsidRPr="00A93FC8" w:rsidRDefault="004914D1" w:rsidP="00071F9A">
      <w:pPr>
        <w:widowControl w:val="0"/>
        <w:suppressAutoHyphens/>
        <w:ind w:firstLine="567"/>
        <w:jc w:val="both"/>
      </w:pPr>
    </w:p>
    <w:p w14:paraId="093C0D77" w14:textId="3B56F4F0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3) наименование инициатора намечаемой деятельности, его контактные данные;</w:t>
      </w:r>
    </w:p>
    <w:p w14:paraId="04E7D465" w14:textId="77777777" w:rsidR="00947B75" w:rsidRPr="009A7C0D" w:rsidRDefault="00947B75" w:rsidP="00947B75">
      <w:pPr>
        <w:widowControl w:val="0"/>
        <w:ind w:left="3828" w:hanging="3828"/>
        <w:jc w:val="both"/>
      </w:pPr>
      <w:r w:rsidRPr="009A7C0D">
        <w:t>Наименование:</w:t>
      </w:r>
      <w:r w:rsidRPr="009A7C0D">
        <w:tab/>
        <w:t>товарищество с ограниченной ответственностью «Тарбагатай Мунай» (ТОО «Тарбагатай Мунай»)</w:t>
      </w:r>
    </w:p>
    <w:p w14:paraId="4CCBD12D" w14:textId="77777777" w:rsidR="00947B75" w:rsidRPr="009A7C0D" w:rsidRDefault="00947B75" w:rsidP="00947B75">
      <w:pPr>
        <w:widowControl w:val="0"/>
        <w:ind w:left="3544" w:hanging="3544"/>
        <w:jc w:val="both"/>
        <w:rPr>
          <w:sz w:val="10"/>
          <w:szCs w:val="10"/>
        </w:rPr>
      </w:pPr>
    </w:p>
    <w:p w14:paraId="422484D0" w14:textId="77777777" w:rsidR="00947B75" w:rsidRPr="009A7C0D" w:rsidRDefault="00947B75" w:rsidP="00947B75">
      <w:pPr>
        <w:widowControl w:val="0"/>
        <w:ind w:left="3828" w:hanging="3828"/>
        <w:jc w:val="both"/>
      </w:pPr>
      <w:r w:rsidRPr="009A7C0D">
        <w:t>Юридический адрес:</w:t>
      </w:r>
      <w:r w:rsidRPr="009A7C0D">
        <w:tab/>
        <w:t>Восточно-Казахстанская область, г. Усть-Каменогорск, пр. им. К. Сатпаева, 64, 8-й этаж</w:t>
      </w:r>
    </w:p>
    <w:p w14:paraId="0E07F4C2" w14:textId="77777777" w:rsidR="00947B75" w:rsidRPr="009A7C0D" w:rsidRDefault="00947B75" w:rsidP="00947B75">
      <w:pPr>
        <w:widowControl w:val="0"/>
        <w:ind w:left="3544" w:hanging="3544"/>
        <w:jc w:val="both"/>
        <w:rPr>
          <w:sz w:val="10"/>
          <w:szCs w:val="10"/>
        </w:rPr>
      </w:pPr>
    </w:p>
    <w:p w14:paraId="62457E1B" w14:textId="77777777" w:rsidR="00947B75" w:rsidRPr="009A7C0D" w:rsidRDefault="00947B75" w:rsidP="00947B75">
      <w:pPr>
        <w:widowControl w:val="0"/>
        <w:ind w:left="3828" w:hanging="3828"/>
        <w:jc w:val="both"/>
      </w:pPr>
      <w:r w:rsidRPr="009A7C0D">
        <w:t>БИН:</w:t>
      </w:r>
      <w:r w:rsidRPr="009A7C0D">
        <w:tab/>
        <w:t>060940004104</w:t>
      </w:r>
    </w:p>
    <w:p w14:paraId="1F03C487" w14:textId="77777777" w:rsidR="00947B75" w:rsidRPr="009A7C0D" w:rsidRDefault="00947B75" w:rsidP="00947B75">
      <w:pPr>
        <w:widowControl w:val="0"/>
        <w:jc w:val="both"/>
        <w:rPr>
          <w:sz w:val="10"/>
          <w:szCs w:val="10"/>
        </w:rPr>
      </w:pPr>
    </w:p>
    <w:p w14:paraId="6E97260A" w14:textId="77777777" w:rsidR="00947B75" w:rsidRPr="009A7C0D" w:rsidRDefault="00947B75" w:rsidP="00947B75">
      <w:pPr>
        <w:widowControl w:val="0"/>
        <w:ind w:left="3828" w:hanging="3828"/>
        <w:jc w:val="both"/>
      </w:pPr>
      <w:r w:rsidRPr="009A7C0D">
        <w:t>Руководитель:</w:t>
      </w:r>
      <w:r w:rsidRPr="009A7C0D">
        <w:tab/>
        <w:t xml:space="preserve">Генеральный директор – </w:t>
      </w:r>
      <w:bookmarkStart w:id="0" w:name="_Hlk153211093"/>
      <w:proofErr w:type="spellStart"/>
      <w:r w:rsidRPr="009A7C0D">
        <w:t>Кульжанов</w:t>
      </w:r>
      <w:proofErr w:type="spellEnd"/>
      <w:r w:rsidRPr="009A7C0D">
        <w:t xml:space="preserve"> Арман Маратович</w:t>
      </w:r>
      <w:bookmarkEnd w:id="0"/>
    </w:p>
    <w:p w14:paraId="37089EDE" w14:textId="77777777" w:rsidR="00AF4ED3" w:rsidRPr="00A93FC8" w:rsidRDefault="00AF4ED3" w:rsidP="00071F9A">
      <w:pPr>
        <w:widowControl w:val="0"/>
        <w:suppressAutoHyphens/>
        <w:ind w:firstLine="567"/>
        <w:jc w:val="both"/>
      </w:pPr>
    </w:p>
    <w:p w14:paraId="456DF717" w14:textId="6DFCEFF4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lastRenderedPageBreak/>
        <w:t>4) краткое описание намечаемой деятельности:</w:t>
      </w:r>
    </w:p>
    <w:p w14:paraId="580AEE8C" w14:textId="03A7CBBD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вид деятельности</w:t>
      </w:r>
    </w:p>
    <w:p w14:paraId="541D8314" w14:textId="230E5711" w:rsidR="00947B75" w:rsidRDefault="00C8049B" w:rsidP="004914D1">
      <w:pPr>
        <w:widowControl w:val="0"/>
        <w:suppressAutoHyphens/>
        <w:ind w:firstLine="567"/>
        <w:jc w:val="both"/>
      </w:pPr>
      <w:r w:rsidRPr="00A93FC8">
        <w:t>Намечаемая деятельность</w:t>
      </w:r>
      <w:r w:rsidR="00947B75">
        <w:t xml:space="preserve"> предусматривает бурение </w:t>
      </w:r>
      <w:proofErr w:type="spellStart"/>
      <w:r w:rsidR="00947B75">
        <w:t>оценочн</w:t>
      </w:r>
      <w:proofErr w:type="spellEnd"/>
      <w:r w:rsidR="00CB1FF1">
        <w:rPr>
          <w:lang w:val="kk-KZ"/>
        </w:rPr>
        <w:t>ой доразведочной горизонтальной скважины С-311</w:t>
      </w:r>
      <w:r w:rsidR="00947B75">
        <w:t>.</w:t>
      </w:r>
    </w:p>
    <w:p w14:paraId="4D7103B3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44B532D7" w14:textId="2BC0643A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объект, необходимый для е</w:t>
      </w:r>
      <w:r w:rsidR="002C59D5" w:rsidRPr="00A93FC8">
        <w:rPr>
          <w:u w:val="single"/>
        </w:rPr>
        <w:t>ё</w:t>
      </w:r>
      <w:r w:rsidRPr="00A93FC8">
        <w:rPr>
          <w:u w:val="single"/>
        </w:rPr>
        <w:t xml:space="preserve">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</w:t>
      </w:r>
    </w:p>
    <w:p w14:paraId="00FAD1D4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Реализация намечаемой деятельности предусматривается в 2 этапа:</w:t>
      </w:r>
    </w:p>
    <w:p w14:paraId="31506E7C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1 этап – подготовительные работы, бурение и крепление;</w:t>
      </w:r>
    </w:p>
    <w:p w14:paraId="75AB54ED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2 этап – испытание.</w:t>
      </w:r>
    </w:p>
    <w:p w14:paraId="48E5F12F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 xml:space="preserve">С учётом </w:t>
      </w:r>
      <w:proofErr w:type="spellStart"/>
      <w:r w:rsidRPr="00EE0D68">
        <w:t>горно</w:t>
      </w:r>
      <w:proofErr w:type="spellEnd"/>
      <w:r w:rsidRPr="00EE0D68">
        <w:t>-геологических условий и анализа данных по ранее пробурённым скважинам и совмещённого графика давлений выбрана следующая конструкция скважины, позволяющая безопасное вскрытие всего стратиграфического комплекса проектного разреза:</w:t>
      </w:r>
    </w:p>
    <w:p w14:paraId="38627BA8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 xml:space="preserve">– направление </w:t>
      </w:r>
      <w:r w:rsidRPr="00EE0D68">
        <w:rPr>
          <w:rFonts w:ascii="Cambria Math" w:hAnsi="Cambria Math" w:cs="Cambria Math"/>
        </w:rPr>
        <w:t>∅</w:t>
      </w:r>
      <w:r w:rsidRPr="00EE0D68">
        <w:t xml:space="preserve"> 426мм х 45м;</w:t>
      </w:r>
    </w:p>
    <w:p w14:paraId="352E9EDE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 xml:space="preserve">– кондуктор </w:t>
      </w:r>
      <w:r w:rsidRPr="00EE0D68">
        <w:rPr>
          <w:rFonts w:ascii="Cambria Math" w:hAnsi="Cambria Math" w:cs="Cambria Math"/>
        </w:rPr>
        <w:t>∅</w:t>
      </w:r>
      <w:r w:rsidRPr="00EE0D68">
        <w:t xml:space="preserve"> 339,7мм х 500м;</w:t>
      </w:r>
    </w:p>
    <w:p w14:paraId="58918563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 xml:space="preserve">– промежуточная колонна </w:t>
      </w:r>
      <w:r w:rsidRPr="00EE0D68">
        <w:rPr>
          <w:rFonts w:ascii="Cambria Math" w:hAnsi="Cambria Math" w:cs="Cambria Math"/>
        </w:rPr>
        <w:t>∅</w:t>
      </w:r>
      <w:r w:rsidRPr="00EE0D68">
        <w:t xml:space="preserve"> 244,5мм х 2850м;</w:t>
      </w:r>
    </w:p>
    <w:p w14:paraId="61B6FF87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>– пилотный ствол – бурение до проектной глубины скважины 4200 м;</w:t>
      </w:r>
    </w:p>
    <w:p w14:paraId="4475D2B5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  <w:lang w:bidi="en-US"/>
        </w:rPr>
      </w:pPr>
      <w:r w:rsidRPr="00EE0D68">
        <w:t>–</w:t>
      </w:r>
      <w:r w:rsidRPr="00EE0D68">
        <w:rPr>
          <w:color w:val="auto"/>
          <w:lang w:bidi="en-US"/>
        </w:rPr>
        <w:t xml:space="preserve"> эксплуатационная колонна </w:t>
      </w:r>
      <w:r w:rsidRPr="00EE0D68">
        <w:rPr>
          <w:rFonts w:ascii="Cambria Math" w:hAnsi="Cambria Math" w:cs="Cambria Math"/>
          <w:color w:val="auto"/>
          <w:lang w:bidi="en-US"/>
        </w:rPr>
        <w:t>∅</w:t>
      </w:r>
      <w:r w:rsidRPr="00EE0D68">
        <w:rPr>
          <w:color w:val="auto"/>
          <w:lang w:bidi="en-US"/>
        </w:rPr>
        <w:t xml:space="preserve"> 139,7мм х 0-4249м (по стволу).</w:t>
      </w:r>
    </w:p>
    <w:p w14:paraId="77213C79" w14:textId="77777777" w:rsidR="00CB1FF1" w:rsidRPr="00EE0D68" w:rsidRDefault="00CB1FF1" w:rsidP="00CB1FF1">
      <w:pPr>
        <w:pStyle w:val="Default"/>
        <w:ind w:firstLine="567"/>
        <w:jc w:val="both"/>
      </w:pPr>
      <w:r w:rsidRPr="00EE0D68">
        <w:t>Проектная глубина по вертикали – 3381 м, по стволу – 4249 м.</w:t>
      </w:r>
    </w:p>
    <w:p w14:paraId="3674F240" w14:textId="77777777" w:rsidR="00B075DC" w:rsidRPr="00A93FC8" w:rsidRDefault="00B075DC" w:rsidP="00B075DC">
      <w:pPr>
        <w:widowControl w:val="0"/>
        <w:kinsoku w:val="0"/>
        <w:overflowPunct w:val="0"/>
        <w:ind w:firstLine="540"/>
        <w:jc w:val="both"/>
        <w:rPr>
          <w:sz w:val="10"/>
          <w:szCs w:val="10"/>
          <w:u w:val="single"/>
        </w:rPr>
      </w:pPr>
    </w:p>
    <w:p w14:paraId="30C32A68" w14:textId="0844BA95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</w:t>
      </w:r>
    </w:p>
    <w:p w14:paraId="3EB177EB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Предусматривается использование следующих типов бурового раствора: глиняно-карбоксиметилцеллюлозного и полимерного. Параметры буровых растворов меняются в зависимости от глубины и иных фактических условий проводки бурения скважины.</w:t>
      </w:r>
    </w:p>
    <w:p w14:paraId="395248EA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Испытания в процессе бурения не осуществляются.</w:t>
      </w:r>
    </w:p>
    <w:p w14:paraId="24C40AFB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  <w:spacing w:val="-4"/>
        </w:rPr>
      </w:pPr>
      <w:r w:rsidRPr="00EE0D68">
        <w:rPr>
          <w:color w:val="auto"/>
          <w:spacing w:val="-4"/>
        </w:rPr>
        <w:t>Испытание (освоение) объекта в эксплуатационной колонне состоит из следующих операций:</w:t>
      </w:r>
    </w:p>
    <w:p w14:paraId="0FE60E16" w14:textId="77777777" w:rsidR="00CB1FF1" w:rsidRPr="00EE0D68" w:rsidRDefault="00CB1FF1" w:rsidP="00CB1FF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E0D68">
        <w:rPr>
          <w:color w:val="auto"/>
        </w:rPr>
        <w:t>Подготовительные работы перед испытанием объекта:</w:t>
      </w:r>
    </w:p>
    <w:p w14:paraId="07B71FBD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 xml:space="preserve">– </w:t>
      </w:r>
      <w:proofErr w:type="spellStart"/>
      <w:r w:rsidRPr="00EE0D68">
        <w:rPr>
          <w:color w:val="auto"/>
        </w:rPr>
        <w:t>шаблонирование</w:t>
      </w:r>
      <w:proofErr w:type="spellEnd"/>
      <w:r w:rsidRPr="00EE0D68">
        <w:rPr>
          <w:color w:val="auto"/>
        </w:rPr>
        <w:t xml:space="preserve"> эксплуатационной колонны;</w:t>
      </w:r>
    </w:p>
    <w:p w14:paraId="17493C8D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 xml:space="preserve">– смена </w:t>
      </w:r>
      <w:proofErr w:type="spellStart"/>
      <w:r w:rsidRPr="00EE0D68">
        <w:rPr>
          <w:color w:val="auto"/>
        </w:rPr>
        <w:t>тех.воды</w:t>
      </w:r>
      <w:proofErr w:type="spellEnd"/>
      <w:r w:rsidRPr="00EE0D68">
        <w:rPr>
          <w:color w:val="auto"/>
        </w:rPr>
        <w:t xml:space="preserve"> на перфорационную жидкость;</w:t>
      </w:r>
    </w:p>
    <w:p w14:paraId="6FA4AB1C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>– ПЗР к спуску НКТ;</w:t>
      </w:r>
    </w:p>
    <w:p w14:paraId="1B4552BA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>– спуск НКТ;</w:t>
      </w:r>
    </w:p>
    <w:p w14:paraId="4D835F4B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>– установка ФА;</w:t>
      </w:r>
    </w:p>
    <w:p w14:paraId="43EBA327" w14:textId="77777777" w:rsidR="00CB1FF1" w:rsidRPr="00EE0D68" w:rsidRDefault="00CB1FF1" w:rsidP="00CB1FF1">
      <w:pPr>
        <w:pStyle w:val="Default"/>
        <w:ind w:left="927"/>
        <w:jc w:val="both"/>
        <w:rPr>
          <w:color w:val="auto"/>
        </w:rPr>
      </w:pPr>
      <w:r w:rsidRPr="00EE0D68">
        <w:rPr>
          <w:color w:val="auto"/>
        </w:rPr>
        <w:t>– перфорация обсадной колонны.</w:t>
      </w:r>
    </w:p>
    <w:p w14:paraId="41DEE004" w14:textId="77777777" w:rsidR="00CB1FF1" w:rsidRPr="00EE0D68" w:rsidRDefault="00CB1FF1" w:rsidP="00CB1FF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E0D68">
        <w:rPr>
          <w:color w:val="auto"/>
        </w:rPr>
        <w:t>Вывоз притока – смена перфорационной жидкости на техническую воду.</w:t>
      </w:r>
    </w:p>
    <w:p w14:paraId="1E44D2EB" w14:textId="77777777" w:rsidR="00CB1FF1" w:rsidRPr="00EE0D68" w:rsidRDefault="00CB1FF1" w:rsidP="00CB1FF1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EE0D68">
        <w:rPr>
          <w:color w:val="auto"/>
        </w:rPr>
        <w:t>Испытание объекта.</w:t>
      </w:r>
    </w:p>
    <w:p w14:paraId="515C5690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Для испытания скважины используется передвижная установка УПА-80.</w:t>
      </w:r>
    </w:p>
    <w:p w14:paraId="5E71C04E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После окончания строительства со спущенной эксплуатационной колонной при наличии промышленных залежей углеводородов предусматривается консервация скважины на период обустройства. Срок консервации, предусмотренный проектом – свыше 1 года.</w:t>
      </w:r>
    </w:p>
    <w:p w14:paraId="4CEB630D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После проведения комплекса работ по испытанию скважины, получения положительного результата по продуктивности, принятия решения о консервации, скважина глушится. Скважина заполняется раствором.</w:t>
      </w:r>
    </w:p>
    <w:p w14:paraId="7D43C714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Предусматривается установка цементного моста высотой 60 м и с подошвой моста на 10 м выше верхних отверстий перфорации.</w:t>
      </w:r>
    </w:p>
    <w:p w14:paraId="2C3956E8" w14:textId="77777777" w:rsidR="00CB1FF1" w:rsidRPr="00EE0D68" w:rsidRDefault="00CB1FF1" w:rsidP="00CB1FF1">
      <w:pPr>
        <w:pStyle w:val="Default"/>
        <w:ind w:firstLine="567"/>
        <w:jc w:val="both"/>
        <w:rPr>
          <w:color w:val="auto"/>
        </w:rPr>
      </w:pPr>
      <w:r w:rsidRPr="00EE0D68">
        <w:rPr>
          <w:color w:val="auto"/>
        </w:rPr>
        <w:t>Устье скважины оборудуется фонтанной арматурой, предусмотренной проектом. Штурвалы задвижек арматуры консервируемой скважины должны быть сняты, крайние фланцы задвижек оборудованы заглушками, манометры сняты и патрубки загерметизированы. Устье должно быть ограждено. На ограждении устанавливается металлическая табличка с указанием номера скважины, месторождения, ТОО «Тарбагатай Мунай» и даты окончания бурения. Проводится рекультивация земельного отвода.</w:t>
      </w:r>
    </w:p>
    <w:p w14:paraId="2EC7D9E0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EE0D68">
        <w:rPr>
          <w:spacing w:val="-4"/>
        </w:rPr>
        <w:t xml:space="preserve">Год начала строительства скважины – 2026. Сроки реализации намечаемой деятельности (бурение) – ориентировочно 340 суток (около 11,5 месяцев), из них СМР, подготовительные </w:t>
      </w:r>
      <w:r w:rsidRPr="00EE0D68">
        <w:rPr>
          <w:spacing w:val="-4"/>
        </w:rPr>
        <w:lastRenderedPageBreak/>
        <w:t>работы к бурению и само бурение и крепление – 160 суток (5,4 месяца), испытания – 180 суток (6 месяцев).</w:t>
      </w:r>
    </w:p>
    <w:p w14:paraId="43FE26D0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Строительно-монтажные работы (СМР) предусматривается проводить с привлечением сторонней подрядной организации. Для административно-бытового обслуживания персонала привлекаемой подрядной организации будут использоваться существующие административно-бытовые помещения ТОО «Тарбагатай Мунай».</w:t>
      </w:r>
    </w:p>
    <w:p w14:paraId="1B01B4EA" w14:textId="77777777" w:rsidR="00C8049B" w:rsidRPr="00A93FC8" w:rsidRDefault="00C8049B" w:rsidP="00071F9A">
      <w:pPr>
        <w:widowControl w:val="0"/>
        <w:suppressAutoHyphens/>
        <w:ind w:firstLine="567"/>
        <w:jc w:val="both"/>
        <w:rPr>
          <w:sz w:val="10"/>
          <w:szCs w:val="10"/>
        </w:rPr>
      </w:pPr>
    </w:p>
    <w:p w14:paraId="612E3E12" w14:textId="3A984830" w:rsidR="0099205A" w:rsidRPr="00A93FC8" w:rsidRDefault="0099205A" w:rsidP="00071F9A">
      <w:pPr>
        <w:widowControl w:val="0"/>
        <w:suppressAutoHyphens/>
        <w:jc w:val="both"/>
        <w:rPr>
          <w:spacing w:val="-10"/>
          <w:u w:val="single"/>
        </w:rPr>
      </w:pPr>
      <w:r w:rsidRPr="00A93FC8">
        <w:rPr>
          <w:spacing w:val="-10"/>
          <w:u w:val="single"/>
        </w:rPr>
        <w:t>примерная площадь земельного участка, необходимого для осуществления намечаемой деятельности</w:t>
      </w:r>
    </w:p>
    <w:p w14:paraId="3EDAFD0D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Реализация намечаемой деятельности предусматривается на части земельного участка с кадастровым номером 05-069-013-006 (площадь участка 867 га, целевое назначение – для ведения крестьянского хозяйства). С собственником земельного участка Крестьянское хозяйство «ШҰҒЫЛА» заключен договор публичного сервитута № 1 от 21 января 2026 года.</w:t>
      </w:r>
    </w:p>
    <w:p w14:paraId="5654DDE2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7563B974" w14:textId="10D11C38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14:paraId="58061D3C" w14:textId="77777777" w:rsidR="00880466" w:rsidRPr="009A7C0D" w:rsidRDefault="00880466" w:rsidP="00880466">
      <w:pPr>
        <w:widowControl w:val="0"/>
        <w:kinsoku w:val="0"/>
        <w:overflowPunct w:val="0"/>
        <w:ind w:firstLine="539"/>
        <w:jc w:val="both"/>
      </w:pPr>
      <w:r w:rsidRPr="009A7C0D">
        <w:t>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реализации намечаемой деятельности. Однако, полный отказ от намечаемой деятельности повлечёт за собой негативные последствия на социально-экономическое состояние региона, так как в связи с неосуществлением деятельности прогнозируется снижение налоговых поступлений в государственный бюджет, а также сокращение рабочих мест ввиду невозможности дальнейшей эксплуатации месторождения.</w:t>
      </w:r>
    </w:p>
    <w:p w14:paraId="0DCE934D" w14:textId="7D9C7C81" w:rsidR="0099205A" w:rsidRPr="00A93FC8" w:rsidRDefault="00880466" w:rsidP="00880466">
      <w:pPr>
        <w:widowControl w:val="0"/>
        <w:suppressAutoHyphens/>
        <w:ind w:firstLine="567"/>
        <w:jc w:val="both"/>
      </w:pPr>
      <w:r w:rsidRPr="009A7C0D">
        <w:t>На основании вышеизложенного, вариант отказа от намечаемой деятельности в виду его значительного негативного социально-экономического результата рассматриваться не будет.</w:t>
      </w:r>
    </w:p>
    <w:p w14:paraId="660F03FD" w14:textId="77777777" w:rsidR="002C59D5" w:rsidRPr="00A93FC8" w:rsidRDefault="002C59D5" w:rsidP="00071F9A">
      <w:pPr>
        <w:widowControl w:val="0"/>
        <w:suppressAutoHyphens/>
        <w:rPr>
          <w:sz w:val="10"/>
          <w:szCs w:val="10"/>
        </w:rPr>
      </w:pPr>
    </w:p>
    <w:p w14:paraId="48F5A3B3" w14:textId="1827125F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1B286F43" w14:textId="54B56864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жизнь и (или) здоровье людей, условия их проживания и деятельности</w:t>
      </w:r>
    </w:p>
    <w:p w14:paraId="5314422B" w14:textId="77777777" w:rsidR="00AE1D0A" w:rsidRPr="00A93FC8" w:rsidRDefault="00AE1D0A" w:rsidP="00AE1D0A">
      <w:pPr>
        <w:widowControl w:val="0"/>
        <w:kinsoku w:val="0"/>
        <w:overflowPunct w:val="0"/>
        <w:ind w:firstLine="540"/>
        <w:jc w:val="both"/>
      </w:pPr>
      <w:r w:rsidRPr="00A93FC8">
        <w:t>Намечаемая деятельность не окажет воздействия на условия проживания и деятельности населения района, так как реализация намечаемой деятельности напрямую связана с существующей хозяйственной деятельностью, проводимой инициатором, и направленная на обеспечение её безопасности в будущем, исключении неконтролируемого негативного воздействия на компоненты окружающей среды.</w:t>
      </w:r>
    </w:p>
    <w:p w14:paraId="10382378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53A16BE5" w14:textId="4E72AE34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</w:t>
      </w:r>
    </w:p>
    <w:p w14:paraId="6501A74D" w14:textId="7809076D" w:rsidR="00411ABC" w:rsidRPr="00A93FC8" w:rsidRDefault="00411ABC" w:rsidP="00071F9A">
      <w:pPr>
        <w:widowControl w:val="0"/>
        <w:suppressAutoHyphens/>
        <w:kinsoku w:val="0"/>
        <w:overflowPunct w:val="0"/>
        <w:ind w:firstLine="540"/>
        <w:jc w:val="both"/>
      </w:pPr>
      <w:bookmarkStart w:id="1" w:name="_Hlk110923890"/>
      <w:r w:rsidRPr="00A93FC8">
        <w:t>Использование растительности и представителей животного мира, использования невозобновляемых или дефицитных природных ресурсов в ходе осуществления намечаемой деятельности не предусматривается.</w:t>
      </w:r>
      <w:bookmarkEnd w:id="1"/>
    </w:p>
    <w:p w14:paraId="7334ABA2" w14:textId="77777777" w:rsidR="003F4004" w:rsidRPr="00A93FC8" w:rsidRDefault="003F4004" w:rsidP="00071F9A">
      <w:pPr>
        <w:widowControl w:val="0"/>
        <w:suppressAutoHyphens/>
        <w:kinsoku w:val="0"/>
        <w:overflowPunct w:val="0"/>
        <w:ind w:firstLine="540"/>
        <w:jc w:val="both"/>
        <w:rPr>
          <w:sz w:val="10"/>
          <w:szCs w:val="10"/>
        </w:rPr>
      </w:pPr>
      <w:bookmarkStart w:id="2" w:name="_Hlk102117803"/>
    </w:p>
    <w:bookmarkEnd w:id="2"/>
    <w:p w14:paraId="265FE5CE" w14:textId="5FC0F97A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14:paraId="07E3E628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EE0D68">
        <w:rPr>
          <w:spacing w:val="-4"/>
        </w:rPr>
        <w:t xml:space="preserve">В период подготовительных работ предусматривается снятие ПСП и перемещение земельных масс в количестве до 14,0 </w:t>
      </w:r>
      <w:proofErr w:type="spellStart"/>
      <w:r w:rsidRPr="00EE0D68">
        <w:rPr>
          <w:spacing w:val="-4"/>
        </w:rPr>
        <w:t>тыс.т</w:t>
      </w:r>
      <w:proofErr w:type="spellEnd"/>
      <w:r w:rsidRPr="00EE0D68">
        <w:rPr>
          <w:spacing w:val="-4"/>
        </w:rPr>
        <w:t>.</w:t>
      </w:r>
    </w:p>
    <w:p w14:paraId="4D014E18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EE0D68">
        <w:rPr>
          <w:spacing w:val="-4"/>
        </w:rPr>
        <w:t>После окончанию СМР предусматривается проведение работ по рекультивации площадки.</w:t>
      </w:r>
    </w:p>
    <w:p w14:paraId="114A0B78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3BEE8EF9" w14:textId="60A6A633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 xml:space="preserve">воды (в том числе </w:t>
      </w:r>
      <w:proofErr w:type="spellStart"/>
      <w:r w:rsidRPr="00A93FC8">
        <w:rPr>
          <w:u w:val="single"/>
        </w:rPr>
        <w:t>гидроморфологические</w:t>
      </w:r>
      <w:proofErr w:type="spellEnd"/>
      <w:r w:rsidRPr="00A93FC8">
        <w:rPr>
          <w:u w:val="single"/>
        </w:rPr>
        <w:t xml:space="preserve"> изменения, количество и качество вод)</w:t>
      </w:r>
    </w:p>
    <w:p w14:paraId="13817A03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Водные ресурсы для осуществления намечаемой деятельности требуются для обеспечения нужд водоснабжения на хозяйственно-бытовые нужды (в том числе питьевые) и технические.</w:t>
      </w:r>
    </w:p>
    <w:p w14:paraId="69328CA5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Административно-бытовое обслуживание персонала. Задействованного в период СМР будет осуществляться в административно-бытовых помещениях вахтового посёлка (водоснабжение на данные нужды в рамках настоящего проекта не учитываются). Ориентировочный объём требуемой воды для питьевых нужд на участке СМР составит 0,3 м</w:t>
      </w:r>
      <w:r w:rsidRPr="00EE0D68">
        <w:rPr>
          <w:vertAlign w:val="superscript"/>
        </w:rPr>
        <w:t>3</w:t>
      </w:r>
      <w:r w:rsidRPr="00EE0D68">
        <w:t>/сутки, 102,0 м</w:t>
      </w:r>
      <w:r w:rsidRPr="00EE0D68">
        <w:rPr>
          <w:vertAlign w:val="superscript"/>
        </w:rPr>
        <w:t>3</w:t>
      </w:r>
      <w:r w:rsidRPr="00EE0D68">
        <w:t>/период.</w:t>
      </w:r>
    </w:p>
    <w:p w14:paraId="534A81B0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 xml:space="preserve">Источником водоснабжения для хозяйственно-питьевых нужд будет являться привозная вода из системы водоснабжения вахтового посёлка ТОО «Тарбагатай Мунай» (разрешение на специальное водопользование Серии </w:t>
      </w:r>
      <w:r w:rsidRPr="00EE0D68">
        <w:rPr>
          <w:lang w:val="kk-KZ"/>
        </w:rPr>
        <w:t xml:space="preserve">Ертіс </w:t>
      </w:r>
      <w:r w:rsidRPr="00EE0D68">
        <w:t xml:space="preserve">№ </w:t>
      </w:r>
      <w:r w:rsidRPr="00EE0D68">
        <w:rPr>
          <w:lang w:val="ru-KZ"/>
        </w:rPr>
        <w:t xml:space="preserve">KZ87VTE00354131 </w:t>
      </w:r>
      <w:r w:rsidRPr="00EE0D68">
        <w:t xml:space="preserve">от 19.02.2026 г. (срок </w:t>
      </w:r>
      <w:r w:rsidRPr="00EE0D68">
        <w:lastRenderedPageBreak/>
        <w:t>действия – 19.02.2031 г.).</w:t>
      </w:r>
    </w:p>
    <w:p w14:paraId="6C5E1E6B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10"/>
        </w:rPr>
      </w:pPr>
      <w:r w:rsidRPr="00EE0D68">
        <w:rPr>
          <w:spacing w:val="-10"/>
        </w:rPr>
        <w:t>Для технических нужд (буровые работы, цементирование скважин и т.п.) согласно расчётам, представленным в проектной документации намечаемой деятельности, потребуется 347000,0 м</w:t>
      </w:r>
      <w:r w:rsidRPr="00EE0D68">
        <w:rPr>
          <w:spacing w:val="-10"/>
          <w:vertAlign w:val="superscript"/>
        </w:rPr>
        <w:t>3</w:t>
      </w:r>
      <w:r w:rsidRPr="00EE0D68">
        <w:rPr>
          <w:spacing w:val="-10"/>
        </w:rPr>
        <w:t>/период.</w:t>
      </w:r>
    </w:p>
    <w:p w14:paraId="71C1D4C5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2"/>
        </w:rPr>
      </w:pPr>
      <w:r w:rsidRPr="00EE0D68">
        <w:rPr>
          <w:spacing w:val="-2"/>
        </w:rPr>
        <w:t xml:space="preserve">Источником водоснабжения для технических нужд предусматривается с использованием существующего производственно-техническое водоснабжение месторождения, которое обеспечивается за счёт подземных вод из эксплуатационных скважин, пробурённых в 2009 году ТОО «ГРК «Топаз». В настоящее время водоснабжение на производственно-технические нужды месторождения Сарыбулак осуществляется в рамках разрешения на специальное водопользование Серии </w:t>
      </w:r>
      <w:proofErr w:type="spellStart"/>
      <w:r w:rsidRPr="00EE0D68">
        <w:rPr>
          <w:spacing w:val="-2"/>
        </w:rPr>
        <w:t>Ертис</w:t>
      </w:r>
      <w:proofErr w:type="spellEnd"/>
      <w:r w:rsidRPr="00EE0D68">
        <w:rPr>
          <w:spacing w:val="-2"/>
        </w:rPr>
        <w:t xml:space="preserve"> № </w:t>
      </w:r>
      <w:r w:rsidRPr="00EE0D68">
        <w:rPr>
          <w:spacing w:val="-2"/>
          <w:lang w:val="ru-KZ"/>
        </w:rPr>
        <w:t xml:space="preserve">KZ59VTE00355411 </w:t>
      </w:r>
      <w:r w:rsidRPr="00EE0D68">
        <w:rPr>
          <w:spacing w:val="-2"/>
        </w:rPr>
        <w:t>от 24.02.2026 г. (срок действия разрешения – 26.01.2031 г.).</w:t>
      </w:r>
    </w:p>
    <w:p w14:paraId="340C8AF8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  <w:rPr>
          <w:spacing w:val="-2"/>
        </w:rPr>
      </w:pPr>
      <w:r w:rsidRPr="00EE0D68">
        <w:t>Хозяйственно-бытовые сточные воды будут отводиться в передвижные биотуалеты либо организуемые непосредственно на участке проведения СМР водонепроницаемые выгреба. По мере заполнения биотуалета/выгреба хоз.-бытовые сточные воды откачиваются и вывозится на очистные сооружения.</w:t>
      </w:r>
    </w:p>
    <w:p w14:paraId="5BB953A6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0E29AFDA" w14:textId="6FCAE27D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атмосферный воздух</w:t>
      </w:r>
    </w:p>
    <w:p w14:paraId="77EF9E86" w14:textId="77777777" w:rsidR="00A61FD8" w:rsidRPr="00A93FC8" w:rsidRDefault="00A61FD8" w:rsidP="00A61FD8">
      <w:pPr>
        <w:widowControl w:val="0"/>
        <w:kinsoku w:val="0"/>
        <w:overflowPunct w:val="0"/>
        <w:ind w:firstLine="540"/>
        <w:jc w:val="both"/>
      </w:pPr>
      <w:bookmarkStart w:id="3" w:name="_Hlk110923998"/>
      <w:r w:rsidRPr="00A93FC8">
        <w:t>С целью определения создаваемого воздействия на атмосферный воздух населённых мест был применён метод моделирования рассеивания приземных концентраций загрязняющих веществ в приземном слое атмосферного воздуха.</w:t>
      </w:r>
      <w:bookmarkEnd w:id="3"/>
    </w:p>
    <w:p w14:paraId="639D2EDD" w14:textId="4F34EA08" w:rsidR="00A61FD8" w:rsidRPr="00576812" w:rsidRDefault="00A61FD8" w:rsidP="00A61FD8">
      <w:pPr>
        <w:widowControl w:val="0"/>
        <w:kinsoku w:val="0"/>
        <w:overflowPunct w:val="0"/>
        <w:ind w:firstLine="540"/>
        <w:jc w:val="both"/>
      </w:pPr>
      <w:r w:rsidRPr="00576812">
        <w:t xml:space="preserve">В ходе проводимых расчётов рассеивания загрязняющих веществ в приземном слое атмосферного воздуха проверялось соблюдение Гигиенических нормативов к атмосферному воздуху в городских и сельских населённых пунктах, утверждённых приказом Министра здравоохранения Республики Казахстан от 2 августа 2022 года № ҚР ДСМ-70, на границе </w:t>
      </w:r>
      <w:r w:rsidR="00576812" w:rsidRPr="00576812">
        <w:t>ближайшей</w:t>
      </w:r>
      <w:r w:rsidRPr="00576812">
        <w:t xml:space="preserve"> жилой зоны.</w:t>
      </w:r>
    </w:p>
    <w:p w14:paraId="0F4D3355" w14:textId="24275661" w:rsidR="002C41A7" w:rsidRPr="00A93FC8" w:rsidRDefault="002C41A7" w:rsidP="00E12C46">
      <w:pPr>
        <w:widowControl w:val="0"/>
        <w:kinsoku w:val="0"/>
        <w:overflowPunct w:val="0"/>
        <w:ind w:firstLine="540"/>
        <w:jc w:val="both"/>
        <w:rPr>
          <w:spacing w:val="-2"/>
        </w:rPr>
      </w:pPr>
      <w:r w:rsidRPr="00A93FC8">
        <w:rPr>
          <w:spacing w:val="-2"/>
        </w:rPr>
        <w:t xml:space="preserve">Согласно проведённым расчётам концентрации загрязняющих веществ, создаваемые в ходе осуществления намечаемой деятельности на границе </w:t>
      </w:r>
      <w:r w:rsidR="00CB1FF1">
        <w:rPr>
          <w:spacing w:val="-2"/>
          <w:lang w:val="kk-KZ"/>
        </w:rPr>
        <w:t>жилой зоны</w:t>
      </w:r>
      <w:r w:rsidRPr="00A93FC8">
        <w:rPr>
          <w:spacing w:val="-2"/>
        </w:rPr>
        <w:t xml:space="preserve"> не превысят установленные Гигиенические нормативы.</w:t>
      </w:r>
    </w:p>
    <w:p w14:paraId="432DEF7A" w14:textId="77777777" w:rsidR="0033729D" w:rsidRPr="00A93FC8" w:rsidRDefault="0033729D" w:rsidP="00071F9A">
      <w:pPr>
        <w:widowControl w:val="0"/>
        <w:suppressAutoHyphens/>
        <w:kinsoku w:val="0"/>
        <w:overflowPunct w:val="0"/>
        <w:ind w:firstLine="540"/>
        <w:jc w:val="both"/>
        <w:rPr>
          <w:sz w:val="10"/>
          <w:szCs w:val="10"/>
        </w:rPr>
      </w:pPr>
    </w:p>
    <w:p w14:paraId="2F40859A" w14:textId="5CDC4493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сопротивляемость к изменению климата экологических и социально-экономических систем</w:t>
      </w:r>
    </w:p>
    <w:p w14:paraId="59523664" w14:textId="690F1DC2" w:rsidR="0099205A" w:rsidRPr="00A93FC8" w:rsidRDefault="00A9199D" w:rsidP="00071F9A">
      <w:pPr>
        <w:widowControl w:val="0"/>
        <w:suppressAutoHyphens/>
        <w:ind w:firstLine="567"/>
        <w:jc w:val="both"/>
      </w:pPr>
      <w:r w:rsidRPr="00A93FC8">
        <w:t>Влияние намечаемой деятельности на процесс изменения климата, условий и факторов сопротивляемости к изменению климата, экологических и социально-экономических систем не прогнозируется.</w:t>
      </w:r>
    </w:p>
    <w:p w14:paraId="67A9390E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41FD852D" w14:textId="61FEBD0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14:paraId="75B3F893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bookmarkStart w:id="4" w:name="_Hlk102117634"/>
      <w:bookmarkStart w:id="5" w:name="_Hlk110924066"/>
      <w:r w:rsidRPr="00A93FC8">
        <w:t>Участок намечаемой деятельности расположен за границами земель государственного лесного фонда и особо охраняемых природных территорий.</w:t>
      </w:r>
    </w:p>
    <w:p w14:paraId="1454078E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r w:rsidRPr="00A93FC8">
        <w:t>Объекты историко-культурного наследия (в том числе архитектурные и археологические) в границах расположения объекта намечаемой деятельности отсутствуют.</w:t>
      </w:r>
    </w:p>
    <w:p w14:paraId="76B298A4" w14:textId="4E25A95F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r w:rsidRPr="00A93FC8">
        <w:t>Изменение рельефа в ходе реализации намечаемой деятельности не окажет значительного влияния на ландшафты и прилегающих объектов.</w:t>
      </w:r>
    </w:p>
    <w:p w14:paraId="3C96C569" w14:textId="77777777" w:rsidR="00454E76" w:rsidRPr="00A93FC8" w:rsidRDefault="00454E76" w:rsidP="00454E76">
      <w:pPr>
        <w:widowControl w:val="0"/>
        <w:kinsoku w:val="0"/>
        <w:overflowPunct w:val="0"/>
        <w:ind w:firstLine="540"/>
        <w:jc w:val="both"/>
      </w:pPr>
      <w:bookmarkStart w:id="6" w:name="_Hlk102117647"/>
      <w:bookmarkEnd w:id="4"/>
      <w:r w:rsidRPr="00A93FC8">
        <w:t>Исходя из вышеизложенного, воздействие намечаемой деятельности можно охарактеризовать как не существенное.</w:t>
      </w:r>
      <w:bookmarkEnd w:id="5"/>
      <w:bookmarkEnd w:id="6"/>
    </w:p>
    <w:p w14:paraId="2D240420" w14:textId="77777777" w:rsidR="00A9199D" w:rsidRPr="00A93FC8" w:rsidRDefault="00A9199D" w:rsidP="00071F9A">
      <w:pPr>
        <w:widowControl w:val="0"/>
        <w:suppressAutoHyphens/>
        <w:rPr>
          <w:sz w:val="10"/>
          <w:szCs w:val="10"/>
        </w:rPr>
      </w:pPr>
    </w:p>
    <w:p w14:paraId="101D66D2" w14:textId="2A2B2B08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взаимодействие указанных объектов</w:t>
      </w:r>
    </w:p>
    <w:p w14:paraId="52FE3678" w14:textId="67EF9DA9" w:rsidR="0099205A" w:rsidRPr="00A93FC8" w:rsidRDefault="00A9199D" w:rsidP="00071F9A">
      <w:pPr>
        <w:widowControl w:val="0"/>
        <w:suppressAutoHyphens/>
        <w:ind w:firstLine="567"/>
        <w:jc w:val="both"/>
      </w:pPr>
      <w:r w:rsidRPr="00A93FC8">
        <w:t>Намечаемая деятельность не повлечёт за собой изменений в экологической обстановке и взаимодействии компонентов окружающей среды.</w:t>
      </w:r>
    </w:p>
    <w:p w14:paraId="1019003F" w14:textId="77777777" w:rsidR="00A9199D" w:rsidRPr="00A93FC8" w:rsidRDefault="00A9199D" w:rsidP="00071F9A">
      <w:pPr>
        <w:widowControl w:val="0"/>
        <w:suppressAutoHyphens/>
      </w:pPr>
    </w:p>
    <w:p w14:paraId="7D7C6B90" w14:textId="368C9EEE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6E0E1810" w14:textId="77777777" w:rsidR="00071F9A" w:rsidRPr="00A93FC8" w:rsidRDefault="00071F9A" w:rsidP="00071F9A">
      <w:pPr>
        <w:widowControl w:val="0"/>
        <w:suppressAutoHyphens/>
        <w:kinsoku w:val="0"/>
        <w:overflowPunct w:val="0"/>
        <w:ind w:firstLine="540"/>
        <w:jc w:val="both"/>
      </w:pPr>
      <w:bookmarkStart w:id="7" w:name="_Hlk110924154"/>
      <w:r w:rsidRPr="00A93FC8">
        <w:t>В ходе осуществления намечаемой деятельности прогнозируются один вид эмиссий в окружающую среду – выбросы загрязняющих веществ в атмосферный воздух.</w:t>
      </w:r>
    </w:p>
    <w:p w14:paraId="2DBE042A" w14:textId="77777777" w:rsidR="00071F9A" w:rsidRDefault="00071F9A" w:rsidP="00071F9A">
      <w:pPr>
        <w:widowControl w:val="0"/>
        <w:suppressAutoHyphens/>
        <w:kinsoku w:val="0"/>
        <w:overflowPunct w:val="0"/>
        <w:ind w:firstLine="539"/>
        <w:jc w:val="both"/>
        <w:rPr>
          <w:lang w:val="kk-KZ"/>
        </w:rPr>
      </w:pPr>
      <w:r w:rsidRPr="00A93FC8">
        <w:t>Под выбросом загрязняющих веществ в атмосферный воздух понимается поступление загрязняющих веществ в атмосферный воздух от источников выброса.</w:t>
      </w:r>
    </w:p>
    <w:p w14:paraId="5BB0992C" w14:textId="77777777" w:rsidR="00CB1FF1" w:rsidRPr="00EE0D68" w:rsidRDefault="00CB1FF1" w:rsidP="00CB1FF1">
      <w:pPr>
        <w:widowControl w:val="0"/>
        <w:ind w:firstLine="567"/>
        <w:jc w:val="both"/>
        <w:rPr>
          <w:spacing w:val="-4"/>
        </w:rPr>
      </w:pPr>
      <w:r w:rsidRPr="00EE0D68">
        <w:rPr>
          <w:spacing w:val="-4"/>
        </w:rPr>
        <w:lastRenderedPageBreak/>
        <w:t>Итого выбросы от 1 этапа реализации намечаемой деятельности составят 57,392462 т/год, 10,21557 г/сек.</w:t>
      </w:r>
    </w:p>
    <w:p w14:paraId="320236B4" w14:textId="77777777" w:rsidR="00CB1FF1" w:rsidRPr="00EE0D68" w:rsidRDefault="00CB1FF1" w:rsidP="00CB1FF1">
      <w:pPr>
        <w:widowControl w:val="0"/>
        <w:ind w:firstLine="567"/>
        <w:jc w:val="both"/>
        <w:rPr>
          <w:spacing w:val="-4"/>
        </w:rPr>
      </w:pPr>
      <w:r w:rsidRPr="00EE0D68">
        <w:rPr>
          <w:spacing w:val="-4"/>
        </w:rPr>
        <w:t>Итого выбросы от 2 этапа реализации намечаемой деятельности составят 32,412474 т/год, 22,71966 г/сек.</w:t>
      </w:r>
    </w:p>
    <w:p w14:paraId="512C1314" w14:textId="77777777" w:rsidR="00CB1FF1" w:rsidRPr="00EE0D68" w:rsidRDefault="00CB1FF1" w:rsidP="00CB1FF1">
      <w:pPr>
        <w:widowControl w:val="0"/>
        <w:ind w:firstLine="567"/>
        <w:jc w:val="both"/>
      </w:pPr>
      <w:r w:rsidRPr="00EE0D68">
        <w:t>Суммарные выбросы загрязняющих веществ при реализации намечаемой деятельности (1 и 2 этапы) составят – 89,804936 т/год, 32,93523 г/сек.</w:t>
      </w:r>
    </w:p>
    <w:p w14:paraId="68E15187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bookmarkStart w:id="8" w:name="_Hlk124767852"/>
      <w:bookmarkStart w:id="9" w:name="_Hlk110924192"/>
      <w:bookmarkEnd w:id="7"/>
      <w:r w:rsidRPr="00EE0D68">
        <w:t>В ходе осуществления СМР прогнозируется образование следующих видов отходов производства и потребления:</w:t>
      </w:r>
    </w:p>
    <w:p w14:paraId="270198A9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твёрдые бытовые отходы от жизнедеятельности персонала организации (код 20 03 01);</w:t>
      </w:r>
    </w:p>
    <w:p w14:paraId="034A6576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буровой шлам (код 01 05 06*);</w:t>
      </w:r>
    </w:p>
    <w:p w14:paraId="58232014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отработанный буровой раствор (код 01 05 06*);</w:t>
      </w:r>
    </w:p>
    <w:p w14:paraId="569292A8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тара из-под хим. реагентов (код 15 01 10*);</w:t>
      </w:r>
    </w:p>
    <w:p w14:paraId="50111D62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остатки и огарки сварочных электродов (код 12 01 13);</w:t>
      </w:r>
    </w:p>
    <w:p w14:paraId="3BA11716" w14:textId="77777777" w:rsidR="00CB1FF1" w:rsidRPr="00EE0D68" w:rsidRDefault="00CB1FF1" w:rsidP="00CB1FF1">
      <w:pPr>
        <w:widowControl w:val="0"/>
        <w:kinsoku w:val="0"/>
        <w:overflowPunct w:val="0"/>
        <w:ind w:firstLine="540"/>
        <w:jc w:val="both"/>
      </w:pPr>
      <w:r w:rsidRPr="00EE0D68">
        <w:t>– тара из-под ЛКМ (код 15 01 10*).</w:t>
      </w:r>
    </w:p>
    <w:bookmarkEnd w:id="8"/>
    <w:bookmarkEnd w:id="9"/>
    <w:p w14:paraId="3238F509" w14:textId="2AC632AB" w:rsidR="003F4004" w:rsidRPr="00A93FC8" w:rsidRDefault="003F4004" w:rsidP="00071F9A">
      <w:pPr>
        <w:widowControl w:val="0"/>
        <w:suppressAutoHyphens/>
        <w:kinsoku w:val="0"/>
        <w:overflowPunct w:val="0"/>
        <w:ind w:firstLine="540"/>
        <w:jc w:val="both"/>
      </w:pPr>
      <w:r w:rsidRPr="00A93FC8">
        <w:t>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(на площадках, в складах, хранилищах, контейнерах и иных объектах хранения).</w:t>
      </w:r>
    </w:p>
    <w:p w14:paraId="5D261B7C" w14:textId="77777777" w:rsidR="00537138" w:rsidRPr="00A93FC8" w:rsidRDefault="00537138" w:rsidP="00071F9A">
      <w:pPr>
        <w:widowControl w:val="0"/>
        <w:suppressAutoHyphens/>
        <w:ind w:firstLine="567"/>
        <w:jc w:val="both"/>
      </w:pPr>
    </w:p>
    <w:p w14:paraId="4DB3B395" w14:textId="5C6A38E5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7) информация:</w:t>
      </w:r>
    </w:p>
    <w:p w14:paraId="690E4976" w14:textId="1869B255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вероятности возникновения аварий и опасных природных явлений, характерных соответственно для намечаемой деятельности и предполагаемого места е</w:t>
      </w:r>
      <w:r w:rsidR="00537138" w:rsidRPr="00A93FC8">
        <w:rPr>
          <w:u w:val="single"/>
        </w:rPr>
        <w:t>ё</w:t>
      </w:r>
      <w:r w:rsidRPr="00A93FC8">
        <w:rPr>
          <w:u w:val="single"/>
        </w:rPr>
        <w:t xml:space="preserve"> осуществления</w:t>
      </w:r>
    </w:p>
    <w:p w14:paraId="54F38E06" w14:textId="77777777" w:rsidR="00420675" w:rsidRPr="00A93FC8" w:rsidRDefault="00420675" w:rsidP="00420675">
      <w:pPr>
        <w:widowControl w:val="0"/>
        <w:kinsoku w:val="0"/>
        <w:overflowPunct w:val="0"/>
        <w:ind w:firstLine="540"/>
        <w:jc w:val="both"/>
      </w:pPr>
      <w:r w:rsidRPr="00A93FC8">
        <w:t>При соблюдении установленных действующим законодательством правил пожарной и промышленной безопасности, а также правил техники безопасности и правил обслуживания и использования машин и механизмов вероятность возникновения отклонений, аварий и инцидентов в ходе намечаемой деятельности незначительная.</w:t>
      </w:r>
    </w:p>
    <w:p w14:paraId="5133828C" w14:textId="77777777" w:rsidR="00537138" w:rsidRPr="00A93FC8" w:rsidRDefault="00537138" w:rsidP="00071F9A">
      <w:pPr>
        <w:widowControl w:val="0"/>
        <w:suppressAutoHyphens/>
        <w:rPr>
          <w:sz w:val="10"/>
          <w:szCs w:val="10"/>
        </w:rPr>
      </w:pPr>
    </w:p>
    <w:p w14:paraId="028D9C3E" w14:textId="44FB1C2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</w:t>
      </w:r>
    </w:p>
    <w:p w14:paraId="0DAFB4CB" w14:textId="0205823F" w:rsidR="0099205A" w:rsidRPr="00A93FC8" w:rsidRDefault="003F4004" w:rsidP="00071F9A">
      <w:pPr>
        <w:widowControl w:val="0"/>
        <w:suppressAutoHyphens/>
        <w:ind w:firstLine="567"/>
        <w:jc w:val="both"/>
      </w:pPr>
      <w:r w:rsidRPr="00A93FC8"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оценивается как минимальная.</w:t>
      </w:r>
    </w:p>
    <w:p w14:paraId="1B69E311" w14:textId="77777777" w:rsidR="00A9199D" w:rsidRPr="00A93FC8" w:rsidRDefault="00A9199D" w:rsidP="00071F9A">
      <w:pPr>
        <w:widowControl w:val="0"/>
        <w:suppressAutoHyphens/>
        <w:ind w:firstLine="567"/>
        <w:jc w:val="both"/>
        <w:rPr>
          <w:sz w:val="10"/>
          <w:szCs w:val="10"/>
        </w:rPr>
      </w:pPr>
    </w:p>
    <w:p w14:paraId="28B7810E" w14:textId="6FFDE349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о мерах по предотвращению аварий и опасных природных явлений и ликвидации их последствий, включая оповещение населения</w:t>
      </w:r>
    </w:p>
    <w:p w14:paraId="7A054A59" w14:textId="153AD289" w:rsidR="00537138" w:rsidRPr="00576812" w:rsidRDefault="003F4004" w:rsidP="00071F9A">
      <w:pPr>
        <w:widowControl w:val="0"/>
        <w:suppressAutoHyphens/>
        <w:kinsoku w:val="0"/>
        <w:overflowPunct w:val="0"/>
        <w:ind w:firstLine="540"/>
        <w:jc w:val="both"/>
        <w:rPr>
          <w:spacing w:val="-10"/>
        </w:rPr>
      </w:pPr>
      <w:r w:rsidRPr="00576812">
        <w:rPr>
          <w:spacing w:val="-10"/>
        </w:rPr>
        <w:t>Мерами по недопущению возникновения аварийных ситуаций является недопущение нарушений требований техники безопасности, охраны труда, производственной санитарии, пожарной и промышленной безопасности, строгое соблюдение проектных и технологических решений.</w:t>
      </w:r>
    </w:p>
    <w:p w14:paraId="22DEAE22" w14:textId="77777777" w:rsidR="0099205A" w:rsidRPr="00A93FC8" w:rsidRDefault="0099205A" w:rsidP="00071F9A">
      <w:pPr>
        <w:widowControl w:val="0"/>
        <w:suppressAutoHyphens/>
      </w:pPr>
    </w:p>
    <w:p w14:paraId="53CB2318" w14:textId="72158653" w:rsidR="0099205A" w:rsidRPr="00A93FC8" w:rsidRDefault="0099205A" w:rsidP="00071F9A">
      <w:pPr>
        <w:widowControl w:val="0"/>
        <w:suppressAutoHyphens/>
        <w:rPr>
          <w:i/>
          <w:iCs/>
        </w:rPr>
      </w:pPr>
      <w:r w:rsidRPr="00A93FC8">
        <w:rPr>
          <w:i/>
          <w:iCs/>
        </w:rPr>
        <w:t>8) краткое описание:</w:t>
      </w:r>
    </w:p>
    <w:p w14:paraId="43DE27C8" w14:textId="26FB5C75" w:rsidR="0099205A" w:rsidRPr="00A93FC8" w:rsidRDefault="0099205A" w:rsidP="00071F9A">
      <w:pPr>
        <w:widowControl w:val="0"/>
        <w:suppressAutoHyphens/>
        <w:jc w:val="both"/>
        <w:rPr>
          <w:u w:val="single"/>
        </w:rPr>
      </w:pPr>
      <w:r w:rsidRPr="00A93FC8">
        <w:rPr>
          <w:u w:val="single"/>
        </w:rPr>
        <w:t>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2F2B8522" w14:textId="06DDE620" w:rsidR="003F4004" w:rsidRPr="00A93FC8" w:rsidRDefault="003F4004" w:rsidP="00071F9A">
      <w:pPr>
        <w:widowControl w:val="0"/>
        <w:suppressAutoHyphens/>
        <w:ind w:firstLine="567"/>
        <w:jc w:val="both"/>
      </w:pPr>
      <w:bookmarkStart w:id="10" w:name="_Hlk102117949"/>
      <w:r w:rsidRPr="00A93FC8">
        <w:t>В ходе оценки воздействия на окружающую среду намечаемой деятельности при условии полного соблюдения принятых и согласованных в установленном порядке проектных решений существенные воздействия на компоненты окружающей среды не прогнозируются. В связи с чем, в настоящем разделе описание предусматриваемых мер по предотвращению, сокращению, смягчению выявленных существенных воздействий намечаемой деятельности на окружающую среду не приводится ввиду отсутствия такой необходимости.</w:t>
      </w:r>
      <w:bookmarkEnd w:id="10"/>
    </w:p>
    <w:p w14:paraId="6E2627F0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3A42A09C" w14:textId="065C88DE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мер по компенсации потерь биоразнообразия, если намечаемая деятельность может привести к таким потерям</w:t>
      </w:r>
    </w:p>
    <w:p w14:paraId="5D302EE1" w14:textId="6DBB8099" w:rsidR="003F4004" w:rsidRPr="00A93FC8" w:rsidRDefault="003F4004" w:rsidP="00E12C46">
      <w:pPr>
        <w:widowControl w:val="0"/>
        <w:kinsoku w:val="0"/>
        <w:overflowPunct w:val="0"/>
        <w:ind w:firstLine="540"/>
        <w:jc w:val="both"/>
      </w:pPr>
      <w:r w:rsidRPr="00A93FC8">
        <w:rPr>
          <w:spacing w:val="-2"/>
        </w:rPr>
        <w:t xml:space="preserve">Основными мерами по сохранению биоразнообразия района расположения объекта намечаемой деятельности является </w:t>
      </w:r>
      <w:r w:rsidR="00E12C46" w:rsidRPr="00A93FC8">
        <w:rPr>
          <w:spacing w:val="-2"/>
        </w:rPr>
        <w:t>обеспечение мероприятий д</w:t>
      </w:r>
      <w:r w:rsidRPr="00A93FC8">
        <w:t>ля защиты объектов от проникновения посторонних лиц и домашнего скота на территорию хвостохранили</w:t>
      </w:r>
      <w:r w:rsidR="00E12C46" w:rsidRPr="00A93FC8">
        <w:t>ща</w:t>
      </w:r>
      <w:r w:rsidRPr="00A93FC8">
        <w:t>.</w:t>
      </w:r>
    </w:p>
    <w:p w14:paraId="49F06B2D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2743BA88" w14:textId="017526C2" w:rsidR="0099205A" w:rsidRPr="00A93FC8" w:rsidRDefault="0099205A" w:rsidP="00071F9A">
      <w:pPr>
        <w:widowControl w:val="0"/>
        <w:suppressAutoHyphens/>
        <w:rPr>
          <w:u w:val="single"/>
        </w:rPr>
      </w:pPr>
      <w:r w:rsidRPr="00A93FC8">
        <w:rPr>
          <w:u w:val="single"/>
        </w:rP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14:paraId="6C57A9A7" w14:textId="0D182EB1" w:rsidR="0099205A" w:rsidRPr="00A93FC8" w:rsidRDefault="006346C8" w:rsidP="00071F9A">
      <w:pPr>
        <w:widowControl w:val="0"/>
        <w:suppressAutoHyphens/>
        <w:ind w:firstLine="567"/>
        <w:jc w:val="both"/>
      </w:pPr>
      <w:r w:rsidRPr="00A93FC8">
        <w:lastRenderedPageBreak/>
        <w:t>По результатам проведённой оценки воздействия на окружающую среду</w:t>
      </w:r>
      <w:r w:rsidR="009B4773">
        <w:t xml:space="preserve"> </w:t>
      </w:r>
      <w:r w:rsidRPr="00A93FC8">
        <w:t xml:space="preserve">необратимых воздействия на окружающую среду выявлено не было. </w:t>
      </w:r>
      <w:r w:rsidR="00353B48" w:rsidRPr="00A93FC8">
        <w:t>В связи с чем</w:t>
      </w:r>
      <w:r w:rsidRPr="00A93FC8">
        <w:t xml:space="preserve"> оценка возможных необратимых воздействий на окружающую среду не представляется возможным ввиду их отсутствия.</w:t>
      </w:r>
    </w:p>
    <w:p w14:paraId="1CAD5354" w14:textId="77777777" w:rsidR="00AA3D42" w:rsidRPr="00A93FC8" w:rsidRDefault="00AA3D42" w:rsidP="00071F9A">
      <w:pPr>
        <w:widowControl w:val="0"/>
        <w:suppressAutoHyphens/>
        <w:rPr>
          <w:sz w:val="10"/>
          <w:szCs w:val="10"/>
        </w:rPr>
      </w:pPr>
    </w:p>
    <w:p w14:paraId="7A1458FC" w14:textId="5F570594" w:rsidR="0099205A" w:rsidRPr="00A93FC8" w:rsidRDefault="0099205A" w:rsidP="00071F9A">
      <w:pPr>
        <w:widowControl w:val="0"/>
        <w:suppressAutoHyphens/>
        <w:jc w:val="both"/>
        <w:rPr>
          <w:spacing w:val="-8"/>
          <w:u w:val="single"/>
        </w:rPr>
      </w:pPr>
      <w:r w:rsidRPr="00A93FC8">
        <w:rPr>
          <w:spacing w:val="-8"/>
          <w:u w:val="single"/>
        </w:rPr>
        <w:t>способов и мер восстановления окружающей среды в случаях прекращения намечаемой деятельности</w:t>
      </w:r>
    </w:p>
    <w:p w14:paraId="55E8A91C" w14:textId="77777777" w:rsidR="00837A61" w:rsidRDefault="00E12C46" w:rsidP="00E12C46">
      <w:pPr>
        <w:widowControl w:val="0"/>
        <w:kinsoku w:val="0"/>
        <w:overflowPunct w:val="0"/>
        <w:ind w:firstLine="540"/>
        <w:jc w:val="both"/>
        <w:rPr>
          <w:spacing w:val="-2"/>
        </w:rPr>
      </w:pPr>
      <w:bookmarkStart w:id="11" w:name="_Hlk121735398"/>
      <w:r w:rsidRPr="00A93FC8">
        <w:t xml:space="preserve">В случае прекращения намечаемой деятельности на начальной стадии её осуществления могут возникнуть </w:t>
      </w:r>
      <w:r w:rsidRPr="00A93FC8">
        <w:rPr>
          <w:spacing w:val="-2"/>
        </w:rPr>
        <w:t xml:space="preserve">риск </w:t>
      </w:r>
      <w:r w:rsidR="00837A61">
        <w:rPr>
          <w:spacing w:val="-2"/>
        </w:rPr>
        <w:t>неверной оценки имеющихся ресурсов, что повлечёт за собой экономические потери для региона и страны в целом.</w:t>
      </w:r>
    </w:p>
    <w:p w14:paraId="287DE98A" w14:textId="55A05DC3" w:rsidR="00AA3D42" w:rsidRPr="00A93FC8" w:rsidRDefault="00E12C46" w:rsidP="00E12C46">
      <w:pPr>
        <w:widowControl w:val="0"/>
        <w:suppressAutoHyphens/>
        <w:ind w:firstLine="567"/>
        <w:jc w:val="both"/>
      </w:pPr>
      <w:r w:rsidRPr="00A93FC8">
        <w:t xml:space="preserve">Исходя из вышеизложенного, прекращение </w:t>
      </w:r>
      <w:r w:rsidR="00837A61">
        <w:t xml:space="preserve">намечаемой деятельности </w:t>
      </w:r>
      <w:r w:rsidRPr="00A93FC8">
        <w:t>на начальной его стадии в практическом плане не представляется возможным.</w:t>
      </w:r>
      <w:bookmarkEnd w:id="11"/>
    </w:p>
    <w:p w14:paraId="79A6BC58" w14:textId="77777777" w:rsidR="0099205A" w:rsidRPr="00A93FC8" w:rsidRDefault="0099205A" w:rsidP="00071F9A">
      <w:pPr>
        <w:widowControl w:val="0"/>
        <w:suppressAutoHyphens/>
      </w:pPr>
    </w:p>
    <w:p w14:paraId="589D3AA8" w14:textId="1CA1A37E" w:rsidR="0099205A" w:rsidRPr="00A93FC8" w:rsidRDefault="0099205A" w:rsidP="00071F9A">
      <w:pPr>
        <w:widowControl w:val="0"/>
        <w:suppressAutoHyphens/>
        <w:ind w:left="284" w:hanging="284"/>
        <w:jc w:val="both"/>
        <w:rPr>
          <w:i/>
          <w:iCs/>
        </w:rPr>
      </w:pPr>
      <w:r w:rsidRPr="00A93FC8">
        <w:rPr>
          <w:i/>
          <w:iCs/>
        </w:rPr>
        <w:t>9) список источников информации, полученной в ходе выполнения оценки воздействия на окружающую среду</w:t>
      </w:r>
    </w:p>
    <w:p w14:paraId="0009EC06" w14:textId="558593D1" w:rsidR="006C3308" w:rsidRPr="006C3308" w:rsidRDefault="00B660B0" w:rsidP="00071F9A">
      <w:pPr>
        <w:widowControl w:val="0"/>
        <w:suppressAutoHyphens/>
        <w:ind w:firstLine="567"/>
        <w:jc w:val="both"/>
      </w:pPr>
      <w:r w:rsidRPr="00A93FC8">
        <w:t>Основными источниками информации являлись данные из открытых источников, данные государственных органов (в том числе предоставленные на основании официальных запросов), а также нормативно-методическая литература.</w:t>
      </w:r>
    </w:p>
    <w:sectPr w:rsidR="006C3308" w:rsidRPr="006C3308" w:rsidSect="00BC0DBC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96396"/>
    <w:multiLevelType w:val="hybridMultilevel"/>
    <w:tmpl w:val="2FE8405E"/>
    <w:lvl w:ilvl="0" w:tplc="C798A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6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5A"/>
    <w:rsid w:val="00017A7A"/>
    <w:rsid w:val="00021860"/>
    <w:rsid w:val="00071F9A"/>
    <w:rsid w:val="000C35A3"/>
    <w:rsid w:val="000C4BE1"/>
    <w:rsid w:val="00112355"/>
    <w:rsid w:val="00131B63"/>
    <w:rsid w:val="00143DF1"/>
    <w:rsid w:val="00197BED"/>
    <w:rsid w:val="001F1625"/>
    <w:rsid w:val="002640AA"/>
    <w:rsid w:val="0026460E"/>
    <w:rsid w:val="00264CD7"/>
    <w:rsid w:val="002C41A7"/>
    <w:rsid w:val="002C59D5"/>
    <w:rsid w:val="002E61F7"/>
    <w:rsid w:val="0033729D"/>
    <w:rsid w:val="00353B48"/>
    <w:rsid w:val="0038160A"/>
    <w:rsid w:val="003B57BA"/>
    <w:rsid w:val="003F4004"/>
    <w:rsid w:val="00411ABC"/>
    <w:rsid w:val="00420675"/>
    <w:rsid w:val="00454E76"/>
    <w:rsid w:val="00475651"/>
    <w:rsid w:val="004914D1"/>
    <w:rsid w:val="004B7129"/>
    <w:rsid w:val="004D5FD6"/>
    <w:rsid w:val="00500DF5"/>
    <w:rsid w:val="00514CBB"/>
    <w:rsid w:val="00537138"/>
    <w:rsid w:val="00544EC5"/>
    <w:rsid w:val="00574D9D"/>
    <w:rsid w:val="00576812"/>
    <w:rsid w:val="005941D9"/>
    <w:rsid w:val="005A35C6"/>
    <w:rsid w:val="005B4E63"/>
    <w:rsid w:val="005D4616"/>
    <w:rsid w:val="006108D4"/>
    <w:rsid w:val="006346C8"/>
    <w:rsid w:val="006C3308"/>
    <w:rsid w:val="006D2432"/>
    <w:rsid w:val="006F0146"/>
    <w:rsid w:val="00770E39"/>
    <w:rsid w:val="007E292C"/>
    <w:rsid w:val="00815E64"/>
    <w:rsid w:val="00827919"/>
    <w:rsid w:val="00837A61"/>
    <w:rsid w:val="00880466"/>
    <w:rsid w:val="008A6876"/>
    <w:rsid w:val="00913A3C"/>
    <w:rsid w:val="00947B75"/>
    <w:rsid w:val="00962A17"/>
    <w:rsid w:val="00962CD2"/>
    <w:rsid w:val="0099205A"/>
    <w:rsid w:val="009B4773"/>
    <w:rsid w:val="00A324B9"/>
    <w:rsid w:val="00A54729"/>
    <w:rsid w:val="00A61FD8"/>
    <w:rsid w:val="00A9199D"/>
    <w:rsid w:val="00A93FC8"/>
    <w:rsid w:val="00AA3D42"/>
    <w:rsid w:val="00AE1D0A"/>
    <w:rsid w:val="00AF2D29"/>
    <w:rsid w:val="00AF48AA"/>
    <w:rsid w:val="00AF4ED3"/>
    <w:rsid w:val="00B075DC"/>
    <w:rsid w:val="00B14F05"/>
    <w:rsid w:val="00B367A4"/>
    <w:rsid w:val="00B44284"/>
    <w:rsid w:val="00B660B0"/>
    <w:rsid w:val="00B83748"/>
    <w:rsid w:val="00BB53DB"/>
    <w:rsid w:val="00BC0DBC"/>
    <w:rsid w:val="00C75094"/>
    <w:rsid w:val="00C8049B"/>
    <w:rsid w:val="00C83A50"/>
    <w:rsid w:val="00C96A70"/>
    <w:rsid w:val="00CB1FF1"/>
    <w:rsid w:val="00CC1787"/>
    <w:rsid w:val="00D31541"/>
    <w:rsid w:val="00D379B0"/>
    <w:rsid w:val="00DA0CE5"/>
    <w:rsid w:val="00DA7868"/>
    <w:rsid w:val="00DD24B8"/>
    <w:rsid w:val="00DE52C4"/>
    <w:rsid w:val="00DF0DA3"/>
    <w:rsid w:val="00E12C46"/>
    <w:rsid w:val="00E55C96"/>
    <w:rsid w:val="00E9443D"/>
    <w:rsid w:val="00ED0716"/>
    <w:rsid w:val="00F27E1C"/>
    <w:rsid w:val="00F301A6"/>
    <w:rsid w:val="00F31574"/>
    <w:rsid w:val="00F72E3F"/>
    <w:rsid w:val="00F779BF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29DD"/>
  <w15:chartTrackingRefBased/>
  <w15:docId w15:val="{A6F6B73F-47AA-4C6A-87A6-76FC58F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61FD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FD8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customStyle="1" w:styleId="Default">
    <w:name w:val="Default"/>
    <w:rsid w:val="00CB1FF1"/>
    <w:pPr>
      <w:autoSpaceDE w:val="0"/>
      <w:autoSpaceDN w:val="0"/>
      <w:adjustRightInd w:val="0"/>
    </w:pPr>
    <w:rPr>
      <w:rFonts w:eastAsiaTheme="minorEastAsi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1882</Words>
  <Characters>14499</Characters>
  <Application>Microsoft Office Word</Application>
  <DocSecurity>0</DocSecurity>
  <Lines>284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72</cp:revision>
  <cp:lastPrinted>2023-05-29T15:05:00Z</cp:lastPrinted>
  <dcterms:created xsi:type="dcterms:W3CDTF">2022-04-29T03:05:00Z</dcterms:created>
  <dcterms:modified xsi:type="dcterms:W3CDTF">2026-03-23T05:42:00Z</dcterms:modified>
</cp:coreProperties>
</file>