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27" w:rsidRPr="0016546C" w:rsidRDefault="00FA7D27" w:rsidP="00046566">
      <w:pPr>
        <w:jc w:val="center"/>
        <w:rPr>
          <w:b/>
        </w:rPr>
      </w:pPr>
      <w:r w:rsidRPr="0016546C">
        <w:rPr>
          <w:b/>
        </w:rPr>
        <w:t>КРАТКОЕ</w:t>
      </w:r>
      <w:r>
        <w:rPr>
          <w:b/>
        </w:rPr>
        <w:t xml:space="preserve"> НЕТЕХНИЧЕСКОЕ РЕЗЮМЕ НА ПРОЕКТ</w:t>
      </w:r>
      <w:r w:rsidR="001F7DED">
        <w:rPr>
          <w:b/>
        </w:rPr>
        <w:t xml:space="preserve"> НОРМАТИВЫ ДОПУСТИМЫХ ВЫБРОСОВ И  </w:t>
      </w:r>
    </w:p>
    <w:p w:rsidR="002712A4" w:rsidRPr="007C433A" w:rsidRDefault="002712A4" w:rsidP="00A65847">
      <w:pPr>
        <w:rPr>
          <w:color w:val="000000"/>
          <w:highlight w:val="yellow"/>
        </w:rPr>
      </w:pPr>
    </w:p>
    <w:p w:rsidR="001F7DED" w:rsidRDefault="001F7DED" w:rsidP="001F7DED">
      <w:pPr>
        <w:ind w:firstLine="709"/>
      </w:pPr>
      <w:r>
        <w:t>Предприятие АО «Алюминий Казахстана» структурно представлено двумя основными производственными площадками: Павлодарским алюминиевым заводом (ПАЗ) и Электростанцией (ЭС).</w:t>
      </w:r>
    </w:p>
    <w:p w:rsidR="001F7DED" w:rsidRDefault="001F7DED" w:rsidP="001F7DED">
      <w:pPr>
        <w:ind w:firstLine="709"/>
      </w:pPr>
      <w:r>
        <w:t>Объекты размещены в Восточной промышленной зоне г. Павлодара на смежных территориях (</w:t>
      </w:r>
      <w:proofErr w:type="spellStart"/>
      <w:r>
        <w:t>промплощадка</w:t>
      </w:r>
      <w:proofErr w:type="spellEnd"/>
      <w:r>
        <w:t xml:space="preserve"> ПАЗ примыкает к </w:t>
      </w:r>
      <w:proofErr w:type="spellStart"/>
      <w:r>
        <w:t>промплощадке</w:t>
      </w:r>
      <w:proofErr w:type="spellEnd"/>
      <w:r>
        <w:t xml:space="preserve"> ЭС с северо-западной стороны). Система размещения отходов организована следующим образом:</w:t>
      </w:r>
    </w:p>
    <w:p w:rsidR="001F7DED" w:rsidRDefault="001F7DED" w:rsidP="001F7DED">
      <w:pPr>
        <w:numPr>
          <w:ilvl w:val="0"/>
          <w:numId w:val="9"/>
        </w:numPr>
        <w:ind w:left="0" w:firstLine="709"/>
      </w:pPr>
      <w:r>
        <w:t xml:space="preserve">К востоку от </w:t>
      </w:r>
      <w:proofErr w:type="spellStart"/>
      <w:r>
        <w:t>промплощадки</w:t>
      </w:r>
      <w:proofErr w:type="spellEnd"/>
      <w:r>
        <w:t xml:space="preserve"> ЭС расположен единый комплекс накопителей промышленных отходов производства (</w:t>
      </w:r>
      <w:proofErr w:type="spellStart"/>
      <w:r>
        <w:t>шламонакопители</w:t>
      </w:r>
      <w:proofErr w:type="spellEnd"/>
      <w:r>
        <w:t xml:space="preserve">, </w:t>
      </w:r>
      <w:proofErr w:type="spellStart"/>
      <w:r>
        <w:t>золоотвал</w:t>
      </w:r>
      <w:proofErr w:type="spellEnd"/>
      <w:r>
        <w:t>).</w:t>
      </w:r>
    </w:p>
    <w:p w:rsidR="001F7DED" w:rsidRDefault="001F7DED" w:rsidP="001F7DED">
      <w:pPr>
        <w:numPr>
          <w:ilvl w:val="0"/>
          <w:numId w:val="9"/>
        </w:numPr>
        <w:ind w:left="0" w:firstLine="709"/>
      </w:pPr>
      <w:r>
        <w:t xml:space="preserve">Полигон промышленных отходов и ТБО локализован в восточном промышленном районе города, с северной стороны от действующих </w:t>
      </w:r>
      <w:proofErr w:type="spellStart"/>
      <w:r>
        <w:t>шламонакопителей</w:t>
      </w:r>
      <w:proofErr w:type="spellEnd"/>
      <w:r>
        <w:t xml:space="preserve"> №1, 2, 3 и 4.</w:t>
      </w:r>
    </w:p>
    <w:p w:rsidR="001F7DED" w:rsidRDefault="001F7DED" w:rsidP="001F7DED">
      <w:pPr>
        <w:ind w:firstLine="709"/>
      </w:pPr>
      <w:r>
        <w:t>Описание основной технологии производства Производство металлургического глинозема из бокситового сырья реализуется по комбинированной технологии «Байер-спекание» (последовательный вариант).</w:t>
      </w:r>
    </w:p>
    <w:p w:rsidR="001F7DED" w:rsidRDefault="001F7DED" w:rsidP="001F7DED">
      <w:pPr>
        <w:ind w:firstLine="709"/>
      </w:pPr>
      <w:r>
        <w:t>Технологический цикл включает следующие ключевые этапы:</w:t>
      </w:r>
    </w:p>
    <w:p w:rsidR="001F7DED" w:rsidRDefault="001F7DED" w:rsidP="001F7DED">
      <w:pPr>
        <w:numPr>
          <w:ilvl w:val="0"/>
          <w:numId w:val="10"/>
        </w:numPr>
        <w:ind w:left="0" w:firstLine="709"/>
      </w:pPr>
      <w:r>
        <w:t>Ветвь Байера: Первичная переработка исходного боксита методом низкотемпературного выщелачивания.</w:t>
      </w:r>
    </w:p>
    <w:p w:rsidR="001F7DED" w:rsidRDefault="001F7DED" w:rsidP="001F7DED">
      <w:pPr>
        <w:numPr>
          <w:ilvl w:val="0"/>
          <w:numId w:val="10"/>
        </w:numPr>
        <w:ind w:left="0" w:firstLine="709"/>
      </w:pPr>
      <w:r>
        <w:t>Ветвь спекания: Образующийся на первом этапе промежуточный продукт («красный» шлам) подвергается процессу спекания в составе трехкомпонентной шихты (красный шлам, известняк и кальцинированная сода). Это обеспечивает максимальное дополнительное извлечение щелочи и глинозема.</w:t>
      </w:r>
    </w:p>
    <w:p w:rsidR="001F7DED" w:rsidRDefault="001F7DED" w:rsidP="001F7DED">
      <w:pPr>
        <w:ind w:firstLine="709"/>
      </w:pPr>
      <w:r>
        <w:t xml:space="preserve">Процесс спекания осуществляется во вращающихся трубчатых печах по принципу противотока (подача топлива навстречу обжигаемому материалу). Для достижения требуемых физико-химических превращений (в частности, образования </w:t>
      </w:r>
      <w:proofErr w:type="spellStart"/>
      <w:r>
        <w:t>двухкальциевого</w:t>
      </w:r>
      <w:proofErr w:type="spellEnd"/>
      <w:r>
        <w:t xml:space="preserve"> силиката при взаимодействии алюмосиликатов с известняком) поддерживаются высокотемпературные режимы:</w:t>
      </w:r>
    </w:p>
    <w:p w:rsidR="001F7DED" w:rsidRDefault="001F7DED" w:rsidP="001F7DED">
      <w:pPr>
        <w:numPr>
          <w:ilvl w:val="0"/>
          <w:numId w:val="11"/>
        </w:numPr>
        <w:ind w:left="0" w:firstLine="709"/>
      </w:pPr>
      <w:r>
        <w:t>Температура нагрева материала: 1150-1400 °С (в зависимости от шихтовки).</w:t>
      </w:r>
    </w:p>
    <w:p w:rsidR="001F7DED" w:rsidRDefault="001F7DED" w:rsidP="001F7DED">
      <w:pPr>
        <w:numPr>
          <w:ilvl w:val="0"/>
          <w:numId w:val="11"/>
        </w:numPr>
        <w:ind w:left="0" w:firstLine="709"/>
      </w:pPr>
      <w:r>
        <w:t>Температура печных газов: 1400-1800 °С.</w:t>
      </w:r>
    </w:p>
    <w:p w:rsidR="001F7DED" w:rsidRDefault="001F7DED" w:rsidP="001F7DED">
      <w:pPr>
        <w:ind w:firstLine="709"/>
      </w:pPr>
      <w:r>
        <w:t xml:space="preserve">Дальнейшая химико-технологическая цепочка включает этапы декомпозиции алюминатного раствора, </w:t>
      </w:r>
      <w:proofErr w:type="spellStart"/>
      <w:r>
        <w:t>гидросепарации</w:t>
      </w:r>
      <w:proofErr w:type="spellEnd"/>
      <w:r>
        <w:t xml:space="preserve">, фильтрации и выпарки маточного раствора (для удаления влаги и вывода примесей в твердую фазу). Завершающим процессом получения товарного продукта (металлургического глинозема) является прокалка </w:t>
      </w:r>
      <w:proofErr w:type="spellStart"/>
      <w:r>
        <w:t>гидрооксида</w:t>
      </w:r>
      <w:proofErr w:type="spellEnd"/>
      <w:r>
        <w:t xml:space="preserve"> алюминия.</w:t>
      </w:r>
    </w:p>
    <w:p w:rsidR="001F7DED" w:rsidRDefault="001F7DED" w:rsidP="001F7DED">
      <w:pPr>
        <w:ind w:firstLine="709"/>
      </w:pPr>
      <w:r>
        <w:t>Характеристика сырьевой базы и ее влияние на экологические показатели В связи с полной отработкой и истощением запасов бокситов Тургайского месторождения (отличавшихся низким содержанием примесей), АО «Алюминий Казахстана» осуществило полный переход на переработку бокситового сырья Краснооктябрьского бокситового рудоуправления (КБРУ).</w:t>
      </w:r>
    </w:p>
    <w:p w:rsidR="001F7DED" w:rsidRDefault="001F7DED" w:rsidP="001F7DED">
      <w:pPr>
        <w:ind w:firstLine="709"/>
      </w:pPr>
      <w:r>
        <w:t>Данный переход принципиально меняет физико-химические параметры поступающего сырья. Бокситы КБРУ характеризуются:</w:t>
      </w:r>
    </w:p>
    <w:p w:rsidR="001F7DED" w:rsidRDefault="001F7DED" w:rsidP="001F7DED">
      <w:pPr>
        <w:numPr>
          <w:ilvl w:val="0"/>
          <w:numId w:val="12"/>
        </w:numPr>
        <w:ind w:left="0" w:firstLine="709"/>
      </w:pPr>
      <w:r>
        <w:t>низким кремневым модулем;</w:t>
      </w:r>
    </w:p>
    <w:p w:rsidR="001F7DED" w:rsidRDefault="001F7DED" w:rsidP="001F7DED">
      <w:pPr>
        <w:numPr>
          <w:ilvl w:val="0"/>
          <w:numId w:val="12"/>
        </w:numPr>
        <w:ind w:left="0" w:firstLine="709"/>
      </w:pPr>
      <w:r>
        <w:t>повышенным содержанием карбонатов;</w:t>
      </w:r>
    </w:p>
    <w:p w:rsidR="001F7DED" w:rsidRDefault="001F7DED" w:rsidP="001F7DED">
      <w:pPr>
        <w:numPr>
          <w:ilvl w:val="0"/>
          <w:numId w:val="12"/>
        </w:numPr>
        <w:ind w:left="0" w:firstLine="709"/>
      </w:pPr>
      <w:r>
        <w:t>высокой долей пылеватых и глинистых фракций;</w:t>
      </w:r>
    </w:p>
    <w:p w:rsidR="001F7DED" w:rsidRDefault="001F7DED" w:rsidP="001F7DED">
      <w:pPr>
        <w:numPr>
          <w:ilvl w:val="0"/>
          <w:numId w:val="12"/>
        </w:numPr>
        <w:ind w:left="0" w:firstLine="709"/>
      </w:pPr>
      <w:r>
        <w:t>наличием органических веществ;</w:t>
      </w:r>
    </w:p>
    <w:p w:rsidR="001F7DED" w:rsidRDefault="001F7DED" w:rsidP="001F7DED">
      <w:pPr>
        <w:numPr>
          <w:ilvl w:val="0"/>
          <w:numId w:val="12"/>
        </w:numPr>
        <w:ind w:left="0" w:firstLine="709"/>
      </w:pPr>
      <w:r>
        <w:t>повышенным содержанием соединений серы и железа.</w:t>
      </w:r>
    </w:p>
    <w:p w:rsidR="001F7DED" w:rsidRDefault="001F7DED" w:rsidP="001F7DED">
      <w:pPr>
        <w:ind w:firstLine="709"/>
      </w:pPr>
      <w:r>
        <w:rPr>
          <w:i/>
          <w:iCs/>
        </w:rPr>
        <w:t>Экологический аспект:</w:t>
      </w:r>
      <w:r>
        <w:t xml:space="preserve"> Данные характеристики исходного сырья напрямую коррелируют со спецификой выделения загрязняющих веществ на этапах термообработки </w:t>
      </w:r>
      <w:r>
        <w:lastRenderedPageBreak/>
        <w:t>(увеличение выхода пыли неорганической, диоксида серы и оксида углерода), что требует учета при нормировании эмиссий и оценке эффективности газоочистного оборудования.</w:t>
      </w:r>
    </w:p>
    <w:p w:rsidR="001F7DED" w:rsidRDefault="001F7DED" w:rsidP="001F7DED">
      <w:pPr>
        <w:ind w:firstLine="709"/>
      </w:pPr>
      <w:r>
        <w:t>Помимо боксита, в технологическом цикле применяются: известняк, кальцинированная и каустическая сода, а также углеродсодержащий восстановитель (каменный уголь).</w:t>
      </w:r>
    </w:p>
    <w:p w:rsidR="001F7DED" w:rsidRDefault="001F7DED" w:rsidP="001F7DED">
      <w:pPr>
        <w:ind w:firstLine="709"/>
      </w:pPr>
      <w:r>
        <w:t>Образование отходов, энергоресурсы и попутная продукция</w:t>
      </w:r>
    </w:p>
    <w:p w:rsidR="001F7DED" w:rsidRDefault="001F7DED" w:rsidP="001F7DED">
      <w:pPr>
        <w:numPr>
          <w:ilvl w:val="0"/>
          <w:numId w:val="13"/>
        </w:numPr>
        <w:ind w:left="0" w:firstLine="709"/>
      </w:pPr>
      <w:r>
        <w:t xml:space="preserve">Отходы: </w:t>
      </w:r>
      <w:proofErr w:type="gramStart"/>
      <w:r>
        <w:t>В</w:t>
      </w:r>
      <w:proofErr w:type="gramEnd"/>
      <w:r>
        <w:t xml:space="preserve"> результате глубокой переработки сырья образуются промышленные отходы в виде отвального серого шлама и железистой фракции боксита, подлежащие размещению на специализированных картах </w:t>
      </w:r>
      <w:proofErr w:type="spellStart"/>
      <w:r>
        <w:t>шламонакопителя</w:t>
      </w:r>
      <w:proofErr w:type="spellEnd"/>
      <w:r>
        <w:t>.</w:t>
      </w:r>
    </w:p>
    <w:p w:rsidR="001F7DED" w:rsidRDefault="001F7DED" w:rsidP="001F7DED">
      <w:pPr>
        <w:numPr>
          <w:ilvl w:val="0"/>
          <w:numId w:val="13"/>
        </w:numPr>
        <w:ind w:left="0" w:firstLine="709"/>
      </w:pPr>
      <w:r>
        <w:t xml:space="preserve">Энергоресурсы: Технологические процессы (экстракция в </w:t>
      </w:r>
      <w:proofErr w:type="spellStart"/>
      <w:r>
        <w:t>выщелачивателях</w:t>
      </w:r>
      <w:proofErr w:type="spellEnd"/>
      <w:r>
        <w:t>, синтез в печах спекания, обезвоживание и прокалка в печах кальцинации, работа выпарных батарей) являются энергоемкими. В качестве теплоносителей и топлива используются: водяной пар высокого давления, каменноугольная пыль и топочный мазут.</w:t>
      </w:r>
    </w:p>
    <w:p w:rsidR="001F7DED" w:rsidRDefault="001F7DED" w:rsidP="001F7DED">
      <w:pPr>
        <w:numPr>
          <w:ilvl w:val="0"/>
          <w:numId w:val="13"/>
        </w:numPr>
        <w:ind w:left="0" w:firstLine="709"/>
      </w:pPr>
      <w:r>
        <w:t>Попутное производство: Интегрированная технологическая схема глиноземного производства ПАЗ позволяет осуществлять попутное получение металлического галлия.</w:t>
      </w:r>
    </w:p>
    <w:p w:rsidR="001F7DED" w:rsidRDefault="001F7DED" w:rsidP="001F7DED">
      <w:pPr>
        <w:ind w:firstLine="709"/>
      </w:pPr>
      <w:r>
        <w:t>Город Павлодар является административным центром Павлодарской области, расположенной в северо-восточной части Республики Казахстан. Площадь города составляет 0,6 тыс. км</w:t>
      </w:r>
      <w:r>
        <w:rPr>
          <w:vertAlign w:val="superscript"/>
        </w:rPr>
        <w:t>2</w:t>
      </w:r>
      <w:r>
        <w:t xml:space="preserve">. </w:t>
      </w:r>
    </w:p>
    <w:p w:rsidR="001F7DED" w:rsidRDefault="001F7DED" w:rsidP="001F7DED">
      <w:pPr>
        <w:ind w:firstLine="709"/>
      </w:pPr>
      <w:r>
        <w:t xml:space="preserve">В физико-географическом отношении Павлодар находится на </w:t>
      </w:r>
      <w:proofErr w:type="gramStart"/>
      <w:r>
        <w:t>Западно-Сибирской</w:t>
      </w:r>
      <w:proofErr w:type="gramEnd"/>
      <w:r>
        <w:t xml:space="preserve"> равнине, в пределах прерывистой полосы первой надпойменной террасы р. Иртыш, сливающейся в восточном направлении с озерно-аллювиальной Павлодарской равниной, поверхность которой имеет слабый уклон в сторону р. Иртыш и характеризуется абсолютными отметками 135-154 м. </w:t>
      </w:r>
    </w:p>
    <w:p w:rsidR="001F7DED" w:rsidRDefault="001F7DED" w:rsidP="001F7DED">
      <w:pPr>
        <w:ind w:firstLine="709"/>
      </w:pPr>
      <w:r>
        <w:t xml:space="preserve">В 10 км к юго-востоку от </w:t>
      </w:r>
      <w:proofErr w:type="spellStart"/>
      <w:r>
        <w:t>промплощадки</w:t>
      </w:r>
      <w:proofErr w:type="spellEnd"/>
      <w:r>
        <w:t xml:space="preserve"> расположен предприятие по производству первичного алюминия - АО «Казахстанский электролизный завод», к которому от южной границы </w:t>
      </w:r>
      <w:proofErr w:type="spellStart"/>
      <w:r>
        <w:t>промплощадки</w:t>
      </w:r>
      <w:proofErr w:type="spellEnd"/>
      <w:r>
        <w:t xml:space="preserve"> построены автомобильная дорога и железнодорожная ветка. </w:t>
      </w:r>
    </w:p>
    <w:p w:rsidR="001F7DED" w:rsidRDefault="001F7DED" w:rsidP="001F7DED">
      <w:pPr>
        <w:ind w:firstLine="709"/>
      </w:pPr>
      <w:r>
        <w:t xml:space="preserve">Особо охраняемых территорий, лесов и сельскохозяйственных угодий, непосредственно граничащих с </w:t>
      </w:r>
      <w:proofErr w:type="spellStart"/>
      <w:r>
        <w:t>промплощадками</w:t>
      </w:r>
      <w:proofErr w:type="spellEnd"/>
      <w:r>
        <w:t xml:space="preserve"> ПАЗ и ЭС, нет. С юга к </w:t>
      </w:r>
      <w:proofErr w:type="spellStart"/>
      <w:r>
        <w:t>промплощадкам</w:t>
      </w:r>
      <w:proofErr w:type="spellEnd"/>
      <w:r>
        <w:t xml:space="preserve"> ПАЗ и ЭС прилегают земли, занятые коллективными </w:t>
      </w:r>
      <w:proofErr w:type="spellStart"/>
      <w:r>
        <w:t>садовоогородными</w:t>
      </w:r>
      <w:proofErr w:type="spellEnd"/>
      <w:r>
        <w:t xml:space="preserve"> участками. Территория предприятия располагается в восточной промышленной зоне г. Павлодар, севернее располагаются другие предприятия и производственные сооружения. </w:t>
      </w:r>
    </w:p>
    <w:p w:rsidR="001F7DED" w:rsidRDefault="001F7DED" w:rsidP="001F7DED">
      <w:pPr>
        <w:ind w:firstLine="709"/>
      </w:pPr>
      <w:r>
        <w:t xml:space="preserve">Расстояние от </w:t>
      </w:r>
      <w:proofErr w:type="spellStart"/>
      <w:r>
        <w:t>промплощадок</w:t>
      </w:r>
      <w:proofErr w:type="spellEnd"/>
      <w:r>
        <w:t xml:space="preserve"> ПАЗ и ЭС до жилой застройки г. Павлодара составляет с севера - 1,8 км, запада - около 3 км, юго-запада - 2,9 км, в южном и восточном направлении жилые зоны отсутствуют. В западном направлении в 1,7 км от </w:t>
      </w:r>
      <w:proofErr w:type="spellStart"/>
      <w:r>
        <w:t>промплощадки</w:t>
      </w:r>
      <w:proofErr w:type="spellEnd"/>
      <w:r>
        <w:t xml:space="preserve"> ПАЗ располагается </w:t>
      </w:r>
      <w:proofErr w:type="spellStart"/>
      <w:r>
        <w:t>мкр</w:t>
      </w:r>
      <w:proofErr w:type="spellEnd"/>
      <w:r>
        <w:t xml:space="preserve">. </w:t>
      </w:r>
      <w:proofErr w:type="spellStart"/>
      <w:r>
        <w:t>Зеленстрой</w:t>
      </w:r>
      <w:proofErr w:type="spellEnd"/>
      <w:r>
        <w:t xml:space="preserve">. </w:t>
      </w:r>
    </w:p>
    <w:p w:rsidR="001F7DED" w:rsidRDefault="001F7DED" w:rsidP="001F7DED">
      <w:pPr>
        <w:ind w:firstLine="709"/>
      </w:pPr>
      <w:r>
        <w:t xml:space="preserve">ПАЗ и ЭС связаны подъездными железнодорожными путями с железнодорожной станцией «Южная». </w:t>
      </w:r>
    </w:p>
    <w:p w:rsidR="001F7DED" w:rsidRDefault="001F7DED" w:rsidP="001F7DED">
      <w:pPr>
        <w:ind w:firstLine="709"/>
      </w:pPr>
      <w:r>
        <w:t xml:space="preserve">Ближайшая автомобильная дорога, связывающая ПАЗ и ЭС с г. Павлодаром, проходит вдоль западной границы их </w:t>
      </w:r>
      <w:proofErr w:type="spellStart"/>
      <w:r>
        <w:t>промплощадок</w:t>
      </w:r>
      <w:proofErr w:type="spellEnd"/>
      <w:r>
        <w:t xml:space="preserve">. Здесь же проходит трамвайная линия. </w:t>
      </w:r>
    </w:p>
    <w:p w:rsidR="001F7DED" w:rsidRDefault="001F7DED" w:rsidP="001F7DED">
      <w:pPr>
        <w:ind w:firstLine="709"/>
      </w:pPr>
      <w:r>
        <w:t xml:space="preserve">Объектов соцкультбыта, заповедников, музеев, памятников архитектуры в пределах СЗЗ ПАЗ и ЭС нет. </w:t>
      </w:r>
    </w:p>
    <w:p w:rsidR="001F7DED" w:rsidRDefault="001F7DED" w:rsidP="001F7DED">
      <w:pPr>
        <w:ind w:firstLine="709"/>
      </w:pPr>
      <w:r>
        <w:t>Количественные показатели эмиссий</w:t>
      </w:r>
      <w:r>
        <w:t>.</w:t>
      </w:r>
    </w:p>
    <w:p w:rsidR="001F7DED" w:rsidRDefault="001F7DED" w:rsidP="001F7DED">
      <w:pPr>
        <w:ind w:firstLine="709"/>
      </w:pPr>
      <w:r>
        <w:t>В составе предприятия на 2026 год идентифицировано 1039 источников выбросов, из которых 903 – организованные, 136 – неорганизованные. В атмосферу выделяется 72 наименования загрязняющих веществ (1-4 класс опасности), подлежащих нормированию.</w:t>
      </w:r>
    </w:p>
    <w:p w:rsidR="001F7DED" w:rsidRDefault="001F7DED" w:rsidP="001F7DED">
      <w:pPr>
        <w:ind w:firstLine="709"/>
      </w:pPr>
      <w:r>
        <w:t>К нормированию представлены следующие суммарные объемы выбросов (без учета автотранспорта, с учетом динамики снижения за счет внедрения природоохранных мероприятий):</w:t>
      </w:r>
    </w:p>
    <w:p w:rsidR="001F7DED" w:rsidRDefault="001F7DED" w:rsidP="001F7DED">
      <w:pPr>
        <w:ind w:firstLine="709"/>
      </w:pPr>
      <w:r>
        <w:t>В целом по предприятию:</w:t>
      </w:r>
    </w:p>
    <w:p w:rsidR="001F7DED" w:rsidRDefault="001F7DED" w:rsidP="001F7DED">
      <w:pPr>
        <w:pStyle w:val="a7"/>
        <w:numPr>
          <w:ilvl w:val="0"/>
          <w:numId w:val="14"/>
        </w:numPr>
        <w:ind w:left="0" w:firstLine="709"/>
      </w:pPr>
      <w:r>
        <w:lastRenderedPageBreak/>
        <w:t>2026 год – 96 323,68005 т/год (твердые – 37 858,18759; газообразные и жидкие – 58 465,49245);</w:t>
      </w:r>
    </w:p>
    <w:p w:rsidR="001F7DED" w:rsidRDefault="001F7DED" w:rsidP="001F7DED">
      <w:pPr>
        <w:numPr>
          <w:ilvl w:val="0"/>
          <w:numId w:val="15"/>
        </w:numPr>
        <w:tabs>
          <w:tab w:val="clear" w:pos="720"/>
          <w:tab w:val="num" w:pos="1418"/>
        </w:tabs>
        <w:ind w:left="0" w:firstLine="709"/>
      </w:pPr>
      <w:r>
        <w:t>2027 год – 94 589,71906 т/год (твердые – 36 124,22661; газообразные и жидкие – 58 465,49245);</w:t>
      </w:r>
    </w:p>
    <w:p w:rsidR="001F7DED" w:rsidRDefault="001F7DED" w:rsidP="001F7DED">
      <w:pPr>
        <w:numPr>
          <w:ilvl w:val="0"/>
          <w:numId w:val="15"/>
        </w:numPr>
        <w:tabs>
          <w:tab w:val="clear" w:pos="720"/>
          <w:tab w:val="num" w:pos="1418"/>
        </w:tabs>
        <w:ind w:left="0" w:firstLine="698"/>
      </w:pPr>
      <w:r>
        <w:t>2028-2030 года – 92 603,35178 т/год (твердые – 34 137,85932; газообразные и жидкие – 58 465,49245).</w:t>
      </w:r>
    </w:p>
    <w:p w:rsidR="001F7DED" w:rsidRDefault="001F7DED" w:rsidP="001F7DED">
      <w:pPr>
        <w:ind w:firstLine="709"/>
      </w:pPr>
      <w:r>
        <w:t>Детализация по площадкам:</w:t>
      </w:r>
    </w:p>
    <w:p w:rsidR="001F7DED" w:rsidRDefault="001F7DED" w:rsidP="001F7DED">
      <w:pPr>
        <w:numPr>
          <w:ilvl w:val="0"/>
          <w:numId w:val="16"/>
        </w:numPr>
        <w:ind w:left="0" w:firstLine="709"/>
      </w:pPr>
      <w:proofErr w:type="spellStart"/>
      <w:r>
        <w:t>Промплощадка</w:t>
      </w:r>
      <w:proofErr w:type="spellEnd"/>
      <w:r>
        <w:t xml:space="preserve"> ПАЗ (964 источника: 861 орг., 103 </w:t>
      </w:r>
      <w:proofErr w:type="spellStart"/>
      <w:proofErr w:type="gramStart"/>
      <w:r>
        <w:t>неорг</w:t>
      </w:r>
      <w:proofErr w:type="spellEnd"/>
      <w:r>
        <w:t>.;</w:t>
      </w:r>
      <w:proofErr w:type="gramEnd"/>
      <w:r>
        <w:t xml:space="preserve"> 72 вещества):</w:t>
      </w:r>
    </w:p>
    <w:p w:rsidR="001F7DED" w:rsidRDefault="001F7DED" w:rsidP="001F7DED">
      <w:pPr>
        <w:numPr>
          <w:ilvl w:val="1"/>
          <w:numId w:val="16"/>
        </w:numPr>
        <w:ind w:left="0" w:firstLine="709"/>
      </w:pPr>
      <w:r>
        <w:t>2026 год – 45 554,30733 т/год (твердые – 25 809,31707; газообразные и жидкие – 19 744,99026);</w:t>
      </w:r>
    </w:p>
    <w:p w:rsidR="001F7DED" w:rsidRDefault="001F7DED" w:rsidP="001F7DED">
      <w:pPr>
        <w:numPr>
          <w:ilvl w:val="1"/>
          <w:numId w:val="16"/>
        </w:numPr>
        <w:ind w:left="0" w:firstLine="709"/>
      </w:pPr>
      <w:r>
        <w:t>2027 год – 43 820,34634 т/год (твердые – 24 075,35608; газообразные и жидкие – 19 744,99026);</w:t>
      </w:r>
    </w:p>
    <w:p w:rsidR="001F7DED" w:rsidRDefault="001F7DED" w:rsidP="001F7DED">
      <w:pPr>
        <w:numPr>
          <w:ilvl w:val="1"/>
          <w:numId w:val="16"/>
        </w:numPr>
        <w:ind w:left="0" w:firstLine="709"/>
      </w:pPr>
      <w:r>
        <w:t>2028-2030 года – 41 833,97906 т/год (твердые – 22 088,9888; газообразные и жидкие – 19 744,99026).</w:t>
      </w:r>
    </w:p>
    <w:p w:rsidR="001F7DED" w:rsidRDefault="001F7DED" w:rsidP="001F7DED">
      <w:pPr>
        <w:numPr>
          <w:ilvl w:val="0"/>
          <w:numId w:val="16"/>
        </w:numPr>
        <w:ind w:left="0" w:firstLine="709"/>
      </w:pPr>
      <w:proofErr w:type="spellStart"/>
      <w:r>
        <w:t>Промплощадка</w:t>
      </w:r>
      <w:proofErr w:type="spellEnd"/>
      <w:r>
        <w:t xml:space="preserve"> ЭС (76 источников: 43 орг., 33 </w:t>
      </w:r>
      <w:proofErr w:type="spellStart"/>
      <w:proofErr w:type="gramStart"/>
      <w:r>
        <w:t>неорг</w:t>
      </w:r>
      <w:proofErr w:type="spellEnd"/>
      <w:r>
        <w:t>.;</w:t>
      </w:r>
      <w:proofErr w:type="gramEnd"/>
      <w:r>
        <w:t xml:space="preserve"> 31 вещество):</w:t>
      </w:r>
    </w:p>
    <w:p w:rsidR="001F7DED" w:rsidRDefault="001F7DED" w:rsidP="001F7DED">
      <w:pPr>
        <w:ind w:firstLine="709"/>
      </w:pPr>
      <w:r>
        <w:t>2026-2030 года – 50 769,37272 т/год (твердые – 12 048,87052; газообразные и жидкие – 38 720,50220).</w:t>
      </w:r>
    </w:p>
    <w:p w:rsidR="001F7DED" w:rsidRDefault="001F7DED" w:rsidP="001F7DED">
      <w:pPr>
        <w:ind w:firstLine="709"/>
      </w:pPr>
      <w:r>
        <w:rPr>
          <w:sz w:val="23"/>
          <w:szCs w:val="23"/>
        </w:rPr>
        <w:t xml:space="preserve">По ПАЗ в </w:t>
      </w:r>
      <w:r>
        <w:rPr>
          <w:sz w:val="23"/>
          <w:szCs w:val="23"/>
        </w:rPr>
        <w:t>процессе производственной деятельности на промышленной площадке предприятия на проектный период предполагается образование отходов производства и отходов потребления, всего 57 видов, в том числе неопасных - 39, опасных</w:t>
      </w:r>
      <w:r>
        <w:rPr>
          <w:sz w:val="23"/>
          <w:szCs w:val="23"/>
        </w:rPr>
        <w:t xml:space="preserve"> – 18.</w:t>
      </w:r>
    </w:p>
    <w:p w:rsidR="000C5F5E" w:rsidRDefault="001F7DED" w:rsidP="001F7DED">
      <w:pPr>
        <w:ind w:firstLine="709"/>
        <w:rPr>
          <w:color w:val="000000"/>
        </w:rPr>
      </w:pPr>
      <w:r w:rsidRPr="001F7DED">
        <w:rPr>
          <w:color w:val="000000"/>
        </w:rPr>
        <w:t xml:space="preserve">В процессе производственной деятельности предприятия предполагается образование </w:t>
      </w:r>
      <w:r>
        <w:rPr>
          <w:color w:val="000000"/>
        </w:rPr>
        <w:t xml:space="preserve">отходов 3 401 718,183 тонн/год. </w:t>
      </w:r>
      <w:r w:rsidRPr="001F7DED">
        <w:rPr>
          <w:color w:val="000000"/>
        </w:rPr>
        <w:t>Программа управления отходами содержит оценку текущего состояния управления отходами, количественные и качественные показатели текущей ситуации с отходами; анализ управления отходами, основные проблемы, тенденции и предпосыл</w:t>
      </w:r>
      <w:r>
        <w:rPr>
          <w:color w:val="000000"/>
        </w:rPr>
        <w:t>ки на основе предвари</w:t>
      </w:r>
      <w:r w:rsidRPr="001F7DED">
        <w:rPr>
          <w:color w:val="000000"/>
        </w:rPr>
        <w:t xml:space="preserve">тельного анализа сильных и слабых сторон, возможностей </w:t>
      </w:r>
      <w:r>
        <w:rPr>
          <w:color w:val="000000"/>
        </w:rPr>
        <w:t>и угроз в сфере управления отхо</w:t>
      </w:r>
      <w:r w:rsidRPr="001F7DED">
        <w:rPr>
          <w:color w:val="000000"/>
        </w:rPr>
        <w:t>дами, определение приоритетных видов отходов для ра</w:t>
      </w:r>
      <w:r>
        <w:rPr>
          <w:color w:val="000000"/>
        </w:rPr>
        <w:t>зработки мероприятий по сокраще</w:t>
      </w:r>
      <w:r w:rsidRPr="001F7DED">
        <w:rPr>
          <w:color w:val="000000"/>
        </w:rPr>
        <w:t>нию образования отходов.</w:t>
      </w:r>
    </w:p>
    <w:p w:rsidR="00E70221" w:rsidRPr="00E70221" w:rsidRDefault="00E70221" w:rsidP="00E70221">
      <w:pPr>
        <w:autoSpaceDE w:val="0"/>
        <w:autoSpaceDN w:val="0"/>
        <w:adjustRightInd w:val="0"/>
        <w:jc w:val="left"/>
        <w:rPr>
          <w:rFonts w:ascii="TimesNewRomanPSMT" w:eastAsiaTheme="minorHAnsi" w:hAnsi="TimesNewRomanPSMT" w:cs="TimesNewRomanPSMT"/>
          <w:lang w:eastAsia="en-US"/>
        </w:rPr>
      </w:pPr>
      <w:r>
        <w:rPr>
          <w:color w:val="000000"/>
        </w:rPr>
        <w:t xml:space="preserve">По </w:t>
      </w:r>
      <w:r>
        <w:rPr>
          <w:rFonts w:ascii="TimesNewRomanPSMT" w:eastAsiaTheme="minorHAnsi" w:hAnsi="TimesNewRomanPSMT" w:cs="TimesNewRomanPSMT"/>
          <w:lang w:eastAsia="en-US"/>
        </w:rPr>
        <w:t>ЭС ФАО «Алюминий Казахстана»</w:t>
      </w:r>
      <w:r>
        <w:rPr>
          <w:rFonts w:ascii="TimesNewRomanPSMT" w:eastAsiaTheme="minorHAnsi" w:hAnsi="TimesNewRomanPSMT" w:cs="TimesNewRomanPSMT"/>
          <w:lang w:eastAsia="en-US"/>
        </w:rPr>
        <w:t xml:space="preserve"> в</w:t>
      </w:r>
      <w:r w:rsidRPr="00E70221">
        <w:rPr>
          <w:color w:val="000000"/>
        </w:rPr>
        <w:t xml:space="preserve"> процессе производственной деятельности на промышл</w:t>
      </w:r>
      <w:r>
        <w:rPr>
          <w:color w:val="000000"/>
        </w:rPr>
        <w:t xml:space="preserve">енной площадке предприятия </w:t>
      </w:r>
      <w:r w:rsidRPr="00E70221">
        <w:rPr>
          <w:color w:val="000000"/>
        </w:rPr>
        <w:t>на проектный период предполагается образование</w:t>
      </w:r>
      <w:r>
        <w:rPr>
          <w:color w:val="000000"/>
        </w:rPr>
        <w:t xml:space="preserve"> отходов производства и отходов </w:t>
      </w:r>
      <w:r w:rsidRPr="00E70221">
        <w:rPr>
          <w:color w:val="000000"/>
        </w:rPr>
        <w:t>потребления, всего 43 видов, в том числе опасных (13 видов) и неопасных (30 вида) отходов</w:t>
      </w:r>
      <w:r>
        <w:rPr>
          <w:color w:val="000000"/>
        </w:rPr>
        <w:t xml:space="preserve">. </w:t>
      </w:r>
      <w:r>
        <w:rPr>
          <w:rFonts w:ascii="TimesNewRomanPSMT" w:eastAsiaTheme="minorHAnsi" w:hAnsi="TimesNewRomanPSMT" w:cs="TimesNewRomanPSMT"/>
          <w:lang w:eastAsia="en-US"/>
        </w:rPr>
        <w:t>В процессе производственной деятельности предприятия предполагается образование</w:t>
      </w:r>
      <w:r>
        <w:rPr>
          <w:rFonts w:ascii="TimesNewRomanPSMT" w:eastAsiaTheme="minorHAnsi" w:hAnsi="TimesNewRomanPSMT" w:cs="TimesNewRomanPSMT"/>
          <w:lang w:eastAsia="en-US"/>
        </w:rPr>
        <w:t xml:space="preserve"> </w:t>
      </w:r>
      <w:bookmarkStart w:id="0" w:name="_GoBack"/>
      <w:bookmarkEnd w:id="0"/>
      <w:r>
        <w:rPr>
          <w:rFonts w:ascii="TimesNewRomanPSMT" w:eastAsiaTheme="minorHAnsi" w:hAnsi="TimesNewRomanPSMT" w:cs="TimesNewRomanPSMT"/>
          <w:lang w:eastAsia="en-US"/>
        </w:rPr>
        <w:t xml:space="preserve">отходов </w:t>
      </w:r>
      <w:r>
        <w:rPr>
          <w:rFonts w:eastAsiaTheme="minorHAnsi"/>
          <w:lang w:eastAsia="en-US"/>
        </w:rPr>
        <w:t xml:space="preserve">1 702 130,07 </w:t>
      </w:r>
      <w:r>
        <w:rPr>
          <w:rFonts w:ascii="TimesNewRomanPSMT" w:eastAsiaTheme="minorHAnsi" w:hAnsi="TimesNewRomanPSMT" w:cs="TimesNewRomanPSMT"/>
          <w:lang w:eastAsia="en-US"/>
        </w:rPr>
        <w:t>тонн/год</w:t>
      </w:r>
      <w:r>
        <w:rPr>
          <w:rFonts w:eastAsiaTheme="minorHAnsi"/>
          <w:lang w:eastAsia="en-US"/>
        </w:rPr>
        <w:t>.</w:t>
      </w:r>
    </w:p>
    <w:p w:rsidR="00A65847" w:rsidRDefault="00A65847" w:rsidP="00A65847">
      <w:pPr>
        <w:ind w:left="760"/>
        <w:rPr>
          <w:color w:val="000000"/>
        </w:rPr>
      </w:pPr>
    </w:p>
    <w:p w:rsidR="00A65847" w:rsidRDefault="00A65847" w:rsidP="00A65847">
      <w:pPr>
        <w:ind w:left="760"/>
        <w:rPr>
          <w:color w:val="000000"/>
        </w:rPr>
      </w:pPr>
    </w:p>
    <w:p w:rsidR="00A65847" w:rsidRDefault="00A65847" w:rsidP="00A65847">
      <w:pPr>
        <w:ind w:left="760"/>
        <w:rPr>
          <w:color w:val="000000"/>
        </w:rPr>
      </w:pPr>
    </w:p>
    <w:p w:rsidR="00A65847" w:rsidRPr="007C433A" w:rsidRDefault="00A65847" w:rsidP="00A65847">
      <w:pPr>
        <w:ind w:left="760"/>
        <w:rPr>
          <w:i/>
          <w:color w:val="000000"/>
          <w:highlight w:val="yellow"/>
        </w:rPr>
      </w:pPr>
    </w:p>
    <w:sectPr w:rsidR="00A65847" w:rsidRPr="007C433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70A" w:rsidRDefault="00AE51E8">
      <w:r>
        <w:separator/>
      </w:r>
    </w:p>
  </w:endnote>
  <w:endnote w:type="continuationSeparator" w:id="0">
    <w:p w:rsidR="00B4170A" w:rsidRDefault="00AE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203" w:usb1="08070000" w:usb2="00000010" w:usb3="00000000" w:csb0="0002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898" w:rsidRPr="003B4C99" w:rsidRDefault="002712A4" w:rsidP="005205D8">
    <w:pPr>
      <w:pStyle w:val="a5"/>
      <w:tabs>
        <w:tab w:val="clear" w:pos="4677"/>
        <w:tab w:val="clear" w:pos="9355"/>
        <w:tab w:val="left" w:pos="4335"/>
        <w:tab w:val="center" w:pos="4962"/>
        <w:tab w:val="right" w:pos="10065"/>
      </w:tabs>
      <w:ind w:right="-2"/>
    </w:pPr>
    <w:r w:rsidRPr="003B4C99">
      <w:rPr>
        <w:noProof/>
        <w:color w:val="FF0000"/>
      </w:rPr>
      <w:tab/>
    </w:r>
    <w:r>
      <w:rPr>
        <w:noProof/>
        <w:color w:val="FF0000"/>
      </w:rPr>
      <w:tab/>
    </w:r>
    <w:r w:rsidRPr="003B4C99">
      <w:rPr>
        <w:noProof/>
        <w:color w:val="FF0000"/>
      </w:rPr>
      <w:drawing>
        <wp:inline distT="0" distB="0" distL="0" distR="0" wp14:anchorId="0DFFC6C5" wp14:editId="28792505">
          <wp:extent cx="695960" cy="42291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b="-1714"/>
                  <a:stretch>
                    <a:fillRect/>
                  </a:stretch>
                </pic:blipFill>
                <pic:spPr bwMode="auto">
                  <a:xfrm>
                    <a:off x="0" y="0"/>
                    <a:ext cx="695960" cy="422910"/>
                  </a:xfrm>
                  <a:prstGeom prst="rect">
                    <a:avLst/>
                  </a:prstGeom>
                  <a:noFill/>
                  <a:ln>
                    <a:noFill/>
                  </a:ln>
                </pic:spPr>
              </pic:pic>
            </a:graphicData>
          </a:graphic>
        </wp:inline>
      </w:drawing>
    </w:r>
    <w:r w:rsidRPr="003B4C99">
      <w:rPr>
        <w:color w:val="FF0000"/>
      </w:rPr>
      <w:tab/>
    </w:r>
    <w:r w:rsidRPr="003B4C99">
      <w:fldChar w:fldCharType="begin"/>
    </w:r>
    <w:r w:rsidRPr="003B4C99">
      <w:instrText>PAGE   \* MERGEFORMAT</w:instrText>
    </w:r>
    <w:r w:rsidRPr="003B4C99">
      <w:fldChar w:fldCharType="separate"/>
    </w:r>
    <w:r w:rsidR="00E70221">
      <w:rPr>
        <w:noProof/>
      </w:rPr>
      <w:t>3</w:t>
    </w:r>
    <w:r w:rsidRPr="003B4C9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70A" w:rsidRDefault="00AE51E8">
      <w:r>
        <w:separator/>
      </w:r>
    </w:p>
  </w:footnote>
  <w:footnote w:type="continuationSeparator" w:id="0">
    <w:p w:rsidR="00B4170A" w:rsidRDefault="00AE5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0B2"/>
    <w:multiLevelType w:val="multilevel"/>
    <w:tmpl w:val="C284B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31EDF"/>
    <w:multiLevelType w:val="hybridMultilevel"/>
    <w:tmpl w:val="0C78B44C"/>
    <w:lvl w:ilvl="0" w:tplc="7A6C12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966CD3"/>
    <w:multiLevelType w:val="multilevel"/>
    <w:tmpl w:val="63508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4414E2"/>
    <w:multiLevelType w:val="hybridMultilevel"/>
    <w:tmpl w:val="A4502DD0"/>
    <w:lvl w:ilvl="0" w:tplc="B6CC3354">
      <w:start w:val="9"/>
      <w:numFmt w:val="bullet"/>
      <w:lvlText w:val="-"/>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963320A"/>
    <w:multiLevelType w:val="multilevel"/>
    <w:tmpl w:val="B1CC7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94404"/>
    <w:multiLevelType w:val="multilevel"/>
    <w:tmpl w:val="4462B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F6809"/>
    <w:multiLevelType w:val="hybridMultilevel"/>
    <w:tmpl w:val="E80C9E86"/>
    <w:lvl w:ilvl="0" w:tplc="04190001">
      <w:start w:val="1"/>
      <w:numFmt w:val="bullet"/>
      <w:lvlText w:val=""/>
      <w:lvlJc w:val="left"/>
      <w:pPr>
        <w:ind w:left="1637" w:hanging="360"/>
      </w:pPr>
      <w:rPr>
        <w:rFonts w:ascii="Symbol" w:hAnsi="Symbol" w:hint="default"/>
      </w:rPr>
    </w:lvl>
    <w:lvl w:ilvl="1" w:tplc="04190003">
      <w:start w:val="1"/>
      <w:numFmt w:val="bullet"/>
      <w:lvlText w:val="o"/>
      <w:lvlJc w:val="left"/>
      <w:pPr>
        <w:ind w:left="2357" w:hanging="360"/>
      </w:pPr>
      <w:rPr>
        <w:rFonts w:ascii="Courier New" w:hAnsi="Courier New" w:cs="Courier New" w:hint="default"/>
      </w:rPr>
    </w:lvl>
    <w:lvl w:ilvl="2" w:tplc="04190005">
      <w:start w:val="1"/>
      <w:numFmt w:val="bullet"/>
      <w:lvlText w:val=""/>
      <w:lvlJc w:val="left"/>
      <w:pPr>
        <w:ind w:left="3077" w:hanging="360"/>
      </w:pPr>
      <w:rPr>
        <w:rFonts w:ascii="Wingdings" w:hAnsi="Wingdings" w:hint="default"/>
      </w:rPr>
    </w:lvl>
    <w:lvl w:ilvl="3" w:tplc="04190001">
      <w:start w:val="1"/>
      <w:numFmt w:val="bullet"/>
      <w:lvlText w:val=""/>
      <w:lvlJc w:val="left"/>
      <w:pPr>
        <w:ind w:left="3797" w:hanging="360"/>
      </w:pPr>
      <w:rPr>
        <w:rFonts w:ascii="Symbol" w:hAnsi="Symbol" w:hint="default"/>
      </w:rPr>
    </w:lvl>
    <w:lvl w:ilvl="4" w:tplc="04190003">
      <w:start w:val="1"/>
      <w:numFmt w:val="bullet"/>
      <w:lvlText w:val="o"/>
      <w:lvlJc w:val="left"/>
      <w:pPr>
        <w:ind w:left="4517" w:hanging="360"/>
      </w:pPr>
      <w:rPr>
        <w:rFonts w:ascii="Courier New" w:hAnsi="Courier New" w:cs="Courier New" w:hint="default"/>
      </w:rPr>
    </w:lvl>
    <w:lvl w:ilvl="5" w:tplc="04190005">
      <w:start w:val="1"/>
      <w:numFmt w:val="bullet"/>
      <w:lvlText w:val=""/>
      <w:lvlJc w:val="left"/>
      <w:pPr>
        <w:ind w:left="5237" w:hanging="360"/>
      </w:pPr>
      <w:rPr>
        <w:rFonts w:ascii="Wingdings" w:hAnsi="Wingdings" w:hint="default"/>
      </w:rPr>
    </w:lvl>
    <w:lvl w:ilvl="6" w:tplc="04190001">
      <w:start w:val="1"/>
      <w:numFmt w:val="bullet"/>
      <w:lvlText w:val=""/>
      <w:lvlJc w:val="left"/>
      <w:pPr>
        <w:ind w:left="5957" w:hanging="360"/>
      </w:pPr>
      <w:rPr>
        <w:rFonts w:ascii="Symbol" w:hAnsi="Symbol" w:hint="default"/>
      </w:rPr>
    </w:lvl>
    <w:lvl w:ilvl="7" w:tplc="04190003">
      <w:start w:val="1"/>
      <w:numFmt w:val="bullet"/>
      <w:lvlText w:val="o"/>
      <w:lvlJc w:val="left"/>
      <w:pPr>
        <w:ind w:left="6677" w:hanging="360"/>
      </w:pPr>
      <w:rPr>
        <w:rFonts w:ascii="Courier New" w:hAnsi="Courier New" w:cs="Courier New" w:hint="default"/>
      </w:rPr>
    </w:lvl>
    <w:lvl w:ilvl="8" w:tplc="04190005">
      <w:start w:val="1"/>
      <w:numFmt w:val="bullet"/>
      <w:lvlText w:val=""/>
      <w:lvlJc w:val="left"/>
      <w:pPr>
        <w:ind w:left="7397" w:hanging="360"/>
      </w:pPr>
      <w:rPr>
        <w:rFonts w:ascii="Wingdings" w:hAnsi="Wingdings" w:hint="default"/>
      </w:rPr>
    </w:lvl>
  </w:abstractNum>
  <w:abstractNum w:abstractNumId="7" w15:restartNumberingAfterBreak="0">
    <w:nsid w:val="4CEA6544"/>
    <w:multiLevelType w:val="multilevel"/>
    <w:tmpl w:val="3C04D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541FA"/>
    <w:multiLevelType w:val="hybridMultilevel"/>
    <w:tmpl w:val="BF40777C"/>
    <w:lvl w:ilvl="0" w:tplc="FFFFFFFF">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9612928"/>
    <w:multiLevelType w:val="hybridMultilevel"/>
    <w:tmpl w:val="328466A8"/>
    <w:lvl w:ilvl="0" w:tplc="FFFFFFFF">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E108AD"/>
    <w:multiLevelType w:val="multilevel"/>
    <w:tmpl w:val="0382C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F664C"/>
    <w:multiLevelType w:val="hybridMultilevel"/>
    <w:tmpl w:val="97284A9E"/>
    <w:lvl w:ilvl="0" w:tplc="24C86CE6">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64706751"/>
    <w:multiLevelType w:val="hybridMultilevel"/>
    <w:tmpl w:val="D19CEE74"/>
    <w:lvl w:ilvl="0" w:tplc="189EB06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1A64C0"/>
    <w:multiLevelType w:val="multilevel"/>
    <w:tmpl w:val="C9206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55146"/>
    <w:multiLevelType w:val="hybridMultilevel"/>
    <w:tmpl w:val="5BB463B8"/>
    <w:lvl w:ilvl="0" w:tplc="FFFFFFFF">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73B5B43"/>
    <w:multiLevelType w:val="hybridMultilevel"/>
    <w:tmpl w:val="04E4054A"/>
    <w:lvl w:ilvl="0" w:tplc="7C94D4C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15"/>
  </w:num>
  <w:num w:numId="2">
    <w:abstractNumId w:val="1"/>
  </w:num>
  <w:num w:numId="3">
    <w:abstractNumId w:val="9"/>
  </w:num>
  <w:num w:numId="4">
    <w:abstractNumId w:val="8"/>
  </w:num>
  <w:num w:numId="5">
    <w:abstractNumId w:val="14"/>
  </w:num>
  <w:num w:numId="6">
    <w:abstractNumId w:val="3"/>
  </w:num>
  <w:num w:numId="7">
    <w:abstractNumId w:val="11"/>
  </w:num>
  <w:num w:numId="8">
    <w:abstractNumId w:val="12"/>
  </w:num>
  <w:num w:numId="9">
    <w:abstractNumId w:val="13"/>
    <w:lvlOverride w:ilvl="0"/>
    <w:lvlOverride w:ilvl="1"/>
    <w:lvlOverride w:ilvl="2"/>
    <w:lvlOverride w:ilvl="3"/>
    <w:lvlOverride w:ilvl="4"/>
    <w:lvlOverride w:ilvl="5"/>
    <w:lvlOverride w:ilvl="6"/>
    <w:lvlOverride w:ilvl="7"/>
    <w:lvlOverride w:ilv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F6E"/>
    <w:rsid w:val="00046566"/>
    <w:rsid w:val="000C5F5E"/>
    <w:rsid w:val="00102F6E"/>
    <w:rsid w:val="001F7DED"/>
    <w:rsid w:val="002712A4"/>
    <w:rsid w:val="003821C8"/>
    <w:rsid w:val="00395D8B"/>
    <w:rsid w:val="00585826"/>
    <w:rsid w:val="0065006E"/>
    <w:rsid w:val="007C433A"/>
    <w:rsid w:val="008019B8"/>
    <w:rsid w:val="00806D0F"/>
    <w:rsid w:val="00852A5D"/>
    <w:rsid w:val="00972966"/>
    <w:rsid w:val="009A7DBC"/>
    <w:rsid w:val="00A65847"/>
    <w:rsid w:val="00A910DA"/>
    <w:rsid w:val="00AE51E8"/>
    <w:rsid w:val="00B3493D"/>
    <w:rsid w:val="00B4170A"/>
    <w:rsid w:val="00B6087D"/>
    <w:rsid w:val="00B85C43"/>
    <w:rsid w:val="00C062E5"/>
    <w:rsid w:val="00CE0245"/>
    <w:rsid w:val="00D24721"/>
    <w:rsid w:val="00E70221"/>
    <w:rsid w:val="00FA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3BF10-8474-402F-B51F-52863EF0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06E"/>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Title Up,Header Char Char Char,OfferteNr,Штамп - Номер страницы"/>
    <w:basedOn w:val="a"/>
    <w:link w:val="a4"/>
    <w:uiPriority w:val="99"/>
    <w:unhideWhenUsed/>
    <w:rsid w:val="007C433A"/>
    <w:pPr>
      <w:tabs>
        <w:tab w:val="center" w:pos="4677"/>
        <w:tab w:val="right" w:pos="9355"/>
      </w:tabs>
    </w:pPr>
  </w:style>
  <w:style w:type="character" w:customStyle="1" w:styleId="a4">
    <w:name w:val="Верхний колонтитул Знак"/>
    <w:aliases w:val="Title Up Знак,Header Char Char Char Знак,OfferteNr Знак,Штамп - Номер страницы Знак"/>
    <w:basedOn w:val="a0"/>
    <w:link w:val="a3"/>
    <w:uiPriority w:val="99"/>
    <w:rsid w:val="007C433A"/>
    <w:rPr>
      <w:rFonts w:ascii="Times New Roman" w:eastAsia="Times New Roman" w:hAnsi="Times New Roman" w:cs="Times New Roman"/>
      <w:sz w:val="24"/>
      <w:szCs w:val="24"/>
      <w:lang w:eastAsia="ru-RU"/>
    </w:rPr>
  </w:style>
  <w:style w:type="paragraph" w:styleId="a5">
    <w:name w:val="footer"/>
    <w:aliases w:val="Title Down,Footer_ARGOSS,Знак Знак2"/>
    <w:basedOn w:val="a"/>
    <w:link w:val="a6"/>
    <w:uiPriority w:val="99"/>
    <w:unhideWhenUsed/>
    <w:rsid w:val="007C433A"/>
    <w:pPr>
      <w:tabs>
        <w:tab w:val="center" w:pos="4677"/>
        <w:tab w:val="right" w:pos="9355"/>
      </w:tabs>
    </w:pPr>
  </w:style>
  <w:style w:type="character" w:customStyle="1" w:styleId="a6">
    <w:name w:val="Нижний колонтитул Знак"/>
    <w:aliases w:val="Title Down Знак,Footer_ARGOSS Знак,Знак Знак2 Знак"/>
    <w:basedOn w:val="a0"/>
    <w:link w:val="a5"/>
    <w:uiPriority w:val="99"/>
    <w:rsid w:val="007C433A"/>
    <w:rPr>
      <w:rFonts w:ascii="Times New Roman" w:eastAsia="Times New Roman" w:hAnsi="Times New Roman" w:cs="Times New Roman"/>
      <w:sz w:val="24"/>
      <w:szCs w:val="24"/>
      <w:lang w:eastAsia="ru-RU"/>
    </w:rPr>
  </w:style>
  <w:style w:type="paragraph" w:styleId="a7">
    <w:name w:val="List Paragraph"/>
    <w:aliases w:val="Маркировка 1,Таблицы,маркированный,List Paragraph,strich,2nd Tier Header,Citation List,Ненумерованный список,Текст 2-й уровень,UL,1,Numbered List,Заголовок_3,Подпись рисунка,Paragraph,Resume Title,List Paragraph Char Char,Bullet 1,b1,Number_1"/>
    <w:basedOn w:val="a"/>
    <w:link w:val="a8"/>
    <w:uiPriority w:val="34"/>
    <w:qFormat/>
    <w:rsid w:val="002712A4"/>
    <w:pPr>
      <w:ind w:left="720"/>
      <w:contextualSpacing/>
    </w:pPr>
  </w:style>
  <w:style w:type="paragraph" w:styleId="a9">
    <w:name w:val="Normal (Web)"/>
    <w:aliases w:val="Обычный (веб) Знак1,Обычный (веб) Знак Знак1, Знак Знак1 Знак,Обычный (веб) Знак Знак Знак, Знак Знак1 Знак Знак,Обычный (веб) Знак Знак Знак Знак,Обычный (Web)1,Знак Знак3,Знак Знак1 Знак,Знак Знак1 Знак Знак,Знак Знак Знак Знак Знак"/>
    <w:basedOn w:val="a"/>
    <w:link w:val="aa"/>
    <w:uiPriority w:val="99"/>
    <w:unhideWhenUsed/>
    <w:qFormat/>
    <w:rsid w:val="002712A4"/>
    <w:pPr>
      <w:spacing w:before="100" w:beforeAutospacing="1" w:after="100" w:afterAutospacing="1"/>
      <w:jc w:val="left"/>
    </w:pPr>
    <w:rPr>
      <w:rFonts w:eastAsiaTheme="minorEastAsia"/>
    </w:rPr>
  </w:style>
  <w:style w:type="character" w:customStyle="1" w:styleId="a8">
    <w:name w:val="Абзац списка Знак"/>
    <w:aliases w:val="Маркировка 1 Знак,Таблицы Знак,маркированный Знак,List Paragraph Знак,strich Знак,2nd Tier Header Знак,Citation List Знак,Ненумерованный список Знак,Текст 2-й уровень Знак,UL Знак,1 Знак,Numbered List Знак,Заголовок_3 Знак,Paragraph Знак"/>
    <w:basedOn w:val="a0"/>
    <w:link w:val="a7"/>
    <w:uiPriority w:val="34"/>
    <w:qFormat/>
    <w:rsid w:val="002712A4"/>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Обычный (Web)1 Знак,Знак Знак3 Знак"/>
    <w:link w:val="a9"/>
    <w:uiPriority w:val="99"/>
    <w:locked/>
    <w:rsid w:val="002712A4"/>
    <w:rPr>
      <w:rFonts w:ascii="Times New Roman" w:eastAsiaTheme="minorEastAsia" w:hAnsi="Times New Roman" w:cs="Times New Roman"/>
      <w:sz w:val="24"/>
      <w:szCs w:val="24"/>
      <w:lang w:eastAsia="ru-RU"/>
    </w:rPr>
  </w:style>
  <w:style w:type="character" w:styleId="ab">
    <w:name w:val="Hyperlink"/>
    <w:basedOn w:val="a0"/>
    <w:uiPriority w:val="99"/>
    <w:unhideWhenUsed/>
    <w:rsid w:val="00B85C43"/>
    <w:rPr>
      <w:color w:val="0563C1" w:themeColor="hyperlink"/>
      <w:u w:val="single"/>
    </w:rPr>
  </w:style>
  <w:style w:type="table" w:styleId="ac">
    <w:name w:val="Table Grid"/>
    <w:aliases w:val="Tab Border"/>
    <w:basedOn w:val="a1"/>
    <w:rsid w:val="00B85C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aliases w:val="Table/Figure Heading,Caption_ARGOSS,Tab/Fig Caption Знак,Tab/Fig Caption,Caption_ARGOSS Знак Знак Знак,Caption_ARGOSS Знак Знак Знак Знак Знак Знак,Caption_ARGOSS Знак Знак Знак Знак Знак Знак Знак Знак Знак Знак Знак Знак ,CPR Caption"/>
    <w:basedOn w:val="a"/>
    <w:next w:val="a"/>
    <w:link w:val="ae"/>
    <w:unhideWhenUsed/>
    <w:qFormat/>
    <w:rsid w:val="00B85C43"/>
    <w:pPr>
      <w:spacing w:after="200"/>
    </w:pPr>
    <w:rPr>
      <w:b/>
      <w:bCs/>
      <w:color w:val="5B9BD5" w:themeColor="accent1"/>
      <w:sz w:val="18"/>
      <w:szCs w:val="18"/>
    </w:rPr>
  </w:style>
  <w:style w:type="character" w:customStyle="1" w:styleId="ae">
    <w:name w:val="Название объекта Знак"/>
    <w:aliases w:val="Table/Figure Heading Знак,Caption_ARGOSS Знак,Tab/Fig Caption Знак Знак,Tab/Fig Caption Знак1,Caption_ARGOSS Знак Знак Знак Знак,Caption_ARGOSS Знак Знак Знак Знак Знак Знак Знак,CPR Caption Знак"/>
    <w:link w:val="ad"/>
    <w:rsid w:val="00B85C43"/>
    <w:rPr>
      <w:rFonts w:ascii="Times New Roman" w:eastAsia="Times New Roman" w:hAnsi="Times New Roman" w:cs="Times New Roman"/>
      <w:b/>
      <w:bCs/>
      <w:color w:val="5B9BD5" w:themeColor="accent1"/>
      <w:sz w:val="18"/>
      <w:szCs w:val="18"/>
      <w:lang w:eastAsia="ru-RU"/>
    </w:rPr>
  </w:style>
  <w:style w:type="paragraph" w:customStyle="1" w:styleId="pj">
    <w:name w:val="pj"/>
    <w:basedOn w:val="a"/>
    <w:rsid w:val="00C062E5"/>
    <w:pPr>
      <w:ind w:firstLine="400"/>
    </w:pPr>
    <w:rPr>
      <w:rFonts w:eastAsiaTheme="minorEastAsia"/>
      <w:color w:val="000000"/>
    </w:rPr>
  </w:style>
  <w:style w:type="paragraph" w:customStyle="1" w:styleId="Default">
    <w:name w:val="Default"/>
    <w:uiPriority w:val="99"/>
    <w:qFormat/>
    <w:rsid w:val="00C062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09434">
      <w:bodyDiv w:val="1"/>
      <w:marLeft w:val="0"/>
      <w:marRight w:val="0"/>
      <w:marTop w:val="0"/>
      <w:marBottom w:val="0"/>
      <w:divBdr>
        <w:top w:val="none" w:sz="0" w:space="0" w:color="auto"/>
        <w:left w:val="none" w:sz="0" w:space="0" w:color="auto"/>
        <w:bottom w:val="none" w:sz="0" w:space="0" w:color="auto"/>
        <w:right w:val="none" w:sz="0" w:space="0" w:color="auto"/>
      </w:divBdr>
    </w:div>
    <w:div w:id="1121538812">
      <w:bodyDiv w:val="1"/>
      <w:marLeft w:val="0"/>
      <w:marRight w:val="0"/>
      <w:marTop w:val="0"/>
      <w:marBottom w:val="0"/>
      <w:divBdr>
        <w:top w:val="none" w:sz="0" w:space="0" w:color="auto"/>
        <w:left w:val="none" w:sz="0" w:space="0" w:color="auto"/>
        <w:bottom w:val="none" w:sz="0" w:space="0" w:color="auto"/>
        <w:right w:val="none" w:sz="0" w:space="0" w:color="auto"/>
      </w:divBdr>
    </w:div>
    <w:div w:id="1512448875">
      <w:bodyDiv w:val="1"/>
      <w:marLeft w:val="0"/>
      <w:marRight w:val="0"/>
      <w:marTop w:val="0"/>
      <w:marBottom w:val="0"/>
      <w:divBdr>
        <w:top w:val="none" w:sz="0" w:space="0" w:color="auto"/>
        <w:left w:val="none" w:sz="0" w:space="0" w:color="auto"/>
        <w:bottom w:val="none" w:sz="0" w:space="0" w:color="auto"/>
        <w:right w:val="none" w:sz="0" w:space="0" w:color="auto"/>
      </w:divBdr>
    </w:div>
    <w:div w:id="1601911711">
      <w:bodyDiv w:val="1"/>
      <w:marLeft w:val="0"/>
      <w:marRight w:val="0"/>
      <w:marTop w:val="0"/>
      <w:marBottom w:val="0"/>
      <w:divBdr>
        <w:top w:val="none" w:sz="0" w:space="0" w:color="auto"/>
        <w:left w:val="none" w:sz="0" w:space="0" w:color="auto"/>
        <w:bottom w:val="none" w:sz="0" w:space="0" w:color="auto"/>
        <w:right w:val="none" w:sz="0" w:space="0" w:color="auto"/>
      </w:divBdr>
    </w:div>
    <w:div w:id="18637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F8F49-FFD2-4079-91A2-5617A788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975</Words>
  <Characters>7233</Characters>
  <Application>Microsoft Office Word</Application>
  <DocSecurity>0</DocSecurity>
  <Lines>136</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Fakhretdinova</dc:creator>
  <cp:keywords/>
  <dc:description/>
  <cp:lastModifiedBy>Almaz Sakenov</cp:lastModifiedBy>
  <cp:revision>6</cp:revision>
  <cp:lastPrinted>2023-06-08T10:21:00Z</cp:lastPrinted>
  <dcterms:created xsi:type="dcterms:W3CDTF">2025-01-27T06:56:00Z</dcterms:created>
  <dcterms:modified xsi:type="dcterms:W3CDTF">2026-03-20T09:55:00Z</dcterms:modified>
</cp:coreProperties>
</file>