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E961" w14:textId="77777777" w:rsidR="00565429" w:rsidRPr="00565429" w:rsidRDefault="00565429" w:rsidP="00565429">
      <w:pPr>
        <w:jc w:val="center"/>
        <w:rPr>
          <w:b/>
          <w:bCs/>
          <w:lang w:val="ru-KZ"/>
        </w:rPr>
      </w:pPr>
      <w:r w:rsidRPr="00565429">
        <w:rPr>
          <w:b/>
          <w:bCs/>
          <w:lang w:val="ru-KZ"/>
        </w:rPr>
        <w:t>НЕТЕХНИЧЕСКОЕ РЕЗЮМЕ</w:t>
      </w:r>
    </w:p>
    <w:p w14:paraId="3A441DBB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к проекту нормативов допустимых выбросов (НДВ)</w:t>
      </w:r>
      <w:r w:rsidRPr="00565429">
        <w:rPr>
          <w:lang w:val="ru-KZ"/>
        </w:rPr>
        <w:br/>
        <w:t>для карьера Сарга-2 ТОО «Нур»</w:t>
      </w:r>
    </w:p>
    <w:p w14:paraId="6235738F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 xml:space="preserve">Проект разработан для установления нормативов допустимых выбросов загрязняющих веществ в атмосферу при добыче дисперсных грунтов на участке Сарга-2 в Бейнеуском районе Мангистауской области Республики Казахстан. </w:t>
      </w:r>
    </w:p>
    <w:p w14:paraId="379F32FB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Целью проекта является получение экологического разрешения и обоснование допустимого уровня воздействия на атмосферный воздух.</w:t>
      </w:r>
    </w:p>
    <w:p w14:paraId="793214AA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Общая характеристика объекта</w:t>
      </w:r>
    </w:p>
    <w:p w14:paraId="114FA77C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 xml:space="preserve">Недропользователь: ТОО «Нур». </w:t>
      </w:r>
    </w:p>
    <w:p w14:paraId="37D8FEEA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Местоположение:</w:t>
      </w:r>
    </w:p>
    <w:p w14:paraId="1AB819B2" w14:textId="77777777" w:rsidR="00565429" w:rsidRPr="00565429" w:rsidRDefault="00565429" w:rsidP="00565429">
      <w:pPr>
        <w:numPr>
          <w:ilvl w:val="0"/>
          <w:numId w:val="1"/>
        </w:numPr>
        <w:rPr>
          <w:lang w:val="ru-KZ"/>
        </w:rPr>
      </w:pPr>
      <w:r w:rsidRPr="00565429">
        <w:rPr>
          <w:lang w:val="ru-KZ"/>
        </w:rPr>
        <w:t xml:space="preserve">Бейнеуский район, Мангистауская область; </w:t>
      </w:r>
    </w:p>
    <w:p w14:paraId="23BE8E78" w14:textId="77777777" w:rsidR="00565429" w:rsidRPr="00565429" w:rsidRDefault="00565429" w:rsidP="00565429">
      <w:pPr>
        <w:numPr>
          <w:ilvl w:val="0"/>
          <w:numId w:val="1"/>
        </w:numPr>
        <w:rPr>
          <w:lang w:val="ru-KZ"/>
        </w:rPr>
      </w:pPr>
      <w:r w:rsidRPr="00565429">
        <w:rPr>
          <w:lang w:val="ru-KZ"/>
        </w:rPr>
        <w:t xml:space="preserve">расстояние до п. Бейнеу — около 26 км; </w:t>
      </w:r>
    </w:p>
    <w:p w14:paraId="606C4C09" w14:textId="77777777" w:rsidR="00565429" w:rsidRPr="00565429" w:rsidRDefault="00565429" w:rsidP="00565429">
      <w:pPr>
        <w:numPr>
          <w:ilvl w:val="0"/>
          <w:numId w:val="1"/>
        </w:numPr>
        <w:rPr>
          <w:lang w:val="ru-KZ"/>
        </w:rPr>
      </w:pPr>
      <w:r w:rsidRPr="00565429">
        <w:rPr>
          <w:lang w:val="ru-KZ"/>
        </w:rPr>
        <w:t xml:space="preserve">в зоне воздействия отсутствуют жилые территории. </w:t>
      </w:r>
    </w:p>
    <w:p w14:paraId="35ADE92F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 xml:space="preserve">Площадь горного отвода — </w:t>
      </w:r>
      <w:r w:rsidRPr="00565429">
        <w:rPr>
          <w:b/>
          <w:bCs/>
          <w:lang w:val="ru-KZ"/>
        </w:rPr>
        <w:t>10 га</w:t>
      </w:r>
      <w:r w:rsidRPr="00565429">
        <w:rPr>
          <w:lang w:val="ru-KZ"/>
        </w:rPr>
        <w:t xml:space="preserve">, глубина разработки — до </w:t>
      </w:r>
      <w:r w:rsidRPr="00565429">
        <w:rPr>
          <w:b/>
          <w:bCs/>
          <w:lang w:val="ru-KZ"/>
        </w:rPr>
        <w:t>7,5 м</w:t>
      </w:r>
      <w:r w:rsidRPr="00565429">
        <w:rPr>
          <w:lang w:val="ru-KZ"/>
        </w:rPr>
        <w:t xml:space="preserve">. </w:t>
      </w:r>
    </w:p>
    <w:p w14:paraId="6BD789D6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 xml:space="preserve">Срок реализации проекта: </w:t>
      </w:r>
      <w:r w:rsidRPr="00565429">
        <w:rPr>
          <w:b/>
          <w:bCs/>
          <w:lang w:val="ru-KZ"/>
        </w:rPr>
        <w:t>2025–2034 гг.</w:t>
      </w:r>
      <w:r w:rsidRPr="00565429">
        <w:rPr>
          <w:lang w:val="ru-KZ"/>
        </w:rPr>
        <w:t xml:space="preserve"> </w:t>
      </w:r>
    </w:p>
    <w:p w14:paraId="2C312DC9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Характеристика деятельности</w:t>
      </w:r>
    </w:p>
    <w:p w14:paraId="75B64CD6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Проект предусматривает добычу дисперсных грунтов (песчано-гравийная смесь, песок, суглинок), используемых для:</w:t>
      </w:r>
    </w:p>
    <w:p w14:paraId="6DAE9F42" w14:textId="77777777" w:rsidR="00565429" w:rsidRPr="00565429" w:rsidRDefault="00565429" w:rsidP="00565429">
      <w:pPr>
        <w:numPr>
          <w:ilvl w:val="0"/>
          <w:numId w:val="2"/>
        </w:numPr>
        <w:rPr>
          <w:lang w:val="ru-KZ"/>
        </w:rPr>
      </w:pPr>
      <w:r w:rsidRPr="00565429">
        <w:rPr>
          <w:lang w:val="ru-KZ"/>
        </w:rPr>
        <w:t xml:space="preserve">строительства автодорог; </w:t>
      </w:r>
    </w:p>
    <w:p w14:paraId="5F208802" w14:textId="77777777" w:rsidR="00565429" w:rsidRPr="00565429" w:rsidRDefault="00565429" w:rsidP="00565429">
      <w:pPr>
        <w:numPr>
          <w:ilvl w:val="0"/>
          <w:numId w:val="2"/>
        </w:numPr>
        <w:rPr>
          <w:lang w:val="ru-KZ"/>
        </w:rPr>
      </w:pPr>
      <w:r w:rsidRPr="00565429">
        <w:rPr>
          <w:lang w:val="ru-KZ"/>
        </w:rPr>
        <w:t xml:space="preserve">формирования оснований промышленных и жилых площадок. </w:t>
      </w:r>
    </w:p>
    <w:p w14:paraId="7E0E9741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Годовая производительность:</w:t>
      </w:r>
    </w:p>
    <w:p w14:paraId="10CD9359" w14:textId="77777777" w:rsidR="00565429" w:rsidRPr="00565429" w:rsidRDefault="00565429" w:rsidP="00565429">
      <w:pPr>
        <w:numPr>
          <w:ilvl w:val="0"/>
          <w:numId w:val="3"/>
        </w:numPr>
        <w:rPr>
          <w:lang w:val="ru-KZ"/>
        </w:rPr>
      </w:pPr>
      <w:r w:rsidRPr="00565429">
        <w:rPr>
          <w:lang w:val="ru-KZ"/>
        </w:rPr>
        <w:t xml:space="preserve">добыча — около </w:t>
      </w:r>
      <w:r w:rsidRPr="00565429">
        <w:rPr>
          <w:b/>
          <w:bCs/>
          <w:lang w:val="ru-KZ"/>
        </w:rPr>
        <w:t>24,15 тыс. м³/год</w:t>
      </w:r>
      <w:r w:rsidRPr="00565429">
        <w:rPr>
          <w:lang w:val="ru-KZ"/>
        </w:rPr>
        <w:t xml:space="preserve">; </w:t>
      </w:r>
    </w:p>
    <w:p w14:paraId="399A8530" w14:textId="77777777" w:rsidR="00565429" w:rsidRPr="00565429" w:rsidRDefault="00565429" w:rsidP="00565429">
      <w:pPr>
        <w:numPr>
          <w:ilvl w:val="0"/>
          <w:numId w:val="3"/>
        </w:numPr>
        <w:rPr>
          <w:lang w:val="ru-KZ"/>
        </w:rPr>
      </w:pPr>
      <w:r w:rsidRPr="00565429">
        <w:rPr>
          <w:lang w:val="ru-KZ"/>
        </w:rPr>
        <w:t xml:space="preserve">общий объем горной массы — </w:t>
      </w:r>
      <w:r w:rsidRPr="00565429">
        <w:rPr>
          <w:b/>
          <w:bCs/>
          <w:lang w:val="ru-KZ"/>
        </w:rPr>
        <w:t>285,78 тыс. м³ за период</w:t>
      </w:r>
      <w:r w:rsidRPr="00565429">
        <w:rPr>
          <w:lang w:val="ru-KZ"/>
        </w:rPr>
        <w:t xml:space="preserve">. </w:t>
      </w:r>
    </w:p>
    <w:p w14:paraId="77F463B1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Режим работы:</w:t>
      </w:r>
    </w:p>
    <w:p w14:paraId="75A174A9" w14:textId="77777777" w:rsidR="00565429" w:rsidRPr="00565429" w:rsidRDefault="00565429" w:rsidP="00565429">
      <w:pPr>
        <w:numPr>
          <w:ilvl w:val="0"/>
          <w:numId w:val="4"/>
        </w:numPr>
        <w:rPr>
          <w:lang w:val="ru-KZ"/>
        </w:rPr>
      </w:pPr>
      <w:r w:rsidRPr="00565429">
        <w:rPr>
          <w:lang w:val="ru-KZ"/>
        </w:rPr>
        <w:t xml:space="preserve">сезонный (в период строительных работ); </w:t>
      </w:r>
    </w:p>
    <w:p w14:paraId="4E055EDF" w14:textId="77777777" w:rsidR="00565429" w:rsidRPr="00565429" w:rsidRDefault="00565429" w:rsidP="00565429">
      <w:pPr>
        <w:numPr>
          <w:ilvl w:val="0"/>
          <w:numId w:val="4"/>
        </w:numPr>
        <w:rPr>
          <w:lang w:val="ru-KZ"/>
        </w:rPr>
      </w:pPr>
      <w:r w:rsidRPr="00565429">
        <w:rPr>
          <w:lang w:val="ru-KZ"/>
        </w:rPr>
        <w:t xml:space="preserve">1 смена, 8 часов; </w:t>
      </w:r>
    </w:p>
    <w:p w14:paraId="3F156502" w14:textId="77777777" w:rsidR="00565429" w:rsidRPr="00565429" w:rsidRDefault="00565429" w:rsidP="00565429">
      <w:pPr>
        <w:numPr>
          <w:ilvl w:val="0"/>
          <w:numId w:val="4"/>
        </w:numPr>
        <w:rPr>
          <w:lang w:val="ru-KZ"/>
        </w:rPr>
      </w:pPr>
      <w:r w:rsidRPr="00565429">
        <w:rPr>
          <w:lang w:val="ru-KZ"/>
        </w:rPr>
        <w:t xml:space="preserve">около </w:t>
      </w:r>
      <w:r w:rsidRPr="00565429">
        <w:rPr>
          <w:b/>
          <w:bCs/>
          <w:lang w:val="ru-KZ"/>
        </w:rPr>
        <w:t>35 рабочих дней в год</w:t>
      </w:r>
      <w:r w:rsidRPr="00565429">
        <w:rPr>
          <w:lang w:val="ru-KZ"/>
        </w:rPr>
        <w:t xml:space="preserve">. </w:t>
      </w:r>
    </w:p>
    <w:p w14:paraId="0EBA2092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Источники воздействия на атмосферу</w:t>
      </w:r>
    </w:p>
    <w:p w14:paraId="1580320C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На объекте предусмотрено:</w:t>
      </w:r>
    </w:p>
    <w:p w14:paraId="720CA1E4" w14:textId="77777777" w:rsidR="00565429" w:rsidRPr="00565429" w:rsidRDefault="00565429" w:rsidP="00565429">
      <w:pPr>
        <w:numPr>
          <w:ilvl w:val="0"/>
          <w:numId w:val="5"/>
        </w:numPr>
        <w:rPr>
          <w:lang w:val="ru-KZ"/>
        </w:rPr>
      </w:pPr>
      <w:r w:rsidRPr="00565429">
        <w:rPr>
          <w:b/>
          <w:bCs/>
          <w:lang w:val="ru-KZ"/>
        </w:rPr>
        <w:t>6 источников выбросов</w:t>
      </w:r>
      <w:r w:rsidRPr="00565429">
        <w:rPr>
          <w:lang w:val="ru-KZ"/>
        </w:rPr>
        <w:t xml:space="preserve">, из них: </w:t>
      </w:r>
    </w:p>
    <w:p w14:paraId="69AB961F" w14:textId="77777777" w:rsidR="00565429" w:rsidRPr="00565429" w:rsidRDefault="00565429" w:rsidP="00565429">
      <w:pPr>
        <w:numPr>
          <w:ilvl w:val="1"/>
          <w:numId w:val="5"/>
        </w:numPr>
        <w:rPr>
          <w:lang w:val="ru-KZ"/>
        </w:rPr>
      </w:pPr>
      <w:r w:rsidRPr="00565429">
        <w:rPr>
          <w:lang w:val="ru-KZ"/>
        </w:rPr>
        <w:t xml:space="preserve">5 неорганизованных (карьерные работы, транспорт, заправка); </w:t>
      </w:r>
    </w:p>
    <w:p w14:paraId="76AB0B7C" w14:textId="77777777" w:rsidR="00565429" w:rsidRPr="00565429" w:rsidRDefault="00565429" w:rsidP="00565429">
      <w:pPr>
        <w:numPr>
          <w:ilvl w:val="1"/>
          <w:numId w:val="5"/>
        </w:numPr>
        <w:rPr>
          <w:lang w:val="ru-KZ"/>
        </w:rPr>
      </w:pPr>
      <w:r w:rsidRPr="00565429">
        <w:rPr>
          <w:lang w:val="ru-KZ"/>
        </w:rPr>
        <w:t xml:space="preserve">1 организованный (дизель-генератор). </w:t>
      </w:r>
    </w:p>
    <w:p w14:paraId="1AE4874A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Основные источники:</w:t>
      </w:r>
    </w:p>
    <w:p w14:paraId="4C26E372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lastRenderedPageBreak/>
        <w:t xml:space="preserve">бульдозер (вскрышные работы); </w:t>
      </w:r>
    </w:p>
    <w:p w14:paraId="0AF063C9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t xml:space="preserve">экскаватор (погрузка); </w:t>
      </w:r>
    </w:p>
    <w:p w14:paraId="4330C18E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t xml:space="preserve">автосамосвалы (транспортировка); </w:t>
      </w:r>
    </w:p>
    <w:p w14:paraId="407E2C84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t xml:space="preserve">вспомогательная техника; </w:t>
      </w:r>
    </w:p>
    <w:p w14:paraId="437EAC2E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t xml:space="preserve">заправка ГСМ; </w:t>
      </w:r>
    </w:p>
    <w:p w14:paraId="6DA02D96" w14:textId="77777777" w:rsidR="00565429" w:rsidRPr="00565429" w:rsidRDefault="00565429" w:rsidP="00565429">
      <w:pPr>
        <w:numPr>
          <w:ilvl w:val="0"/>
          <w:numId w:val="6"/>
        </w:numPr>
        <w:rPr>
          <w:lang w:val="ru-KZ"/>
        </w:rPr>
      </w:pPr>
      <w:r w:rsidRPr="00565429">
        <w:rPr>
          <w:lang w:val="ru-KZ"/>
        </w:rPr>
        <w:t xml:space="preserve">дизельная электростанция. </w:t>
      </w:r>
    </w:p>
    <w:p w14:paraId="1E7A0F93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Загрязняющие вещества</w:t>
      </w:r>
    </w:p>
    <w:p w14:paraId="4BB43525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 xml:space="preserve">Всего в атмосферу выделяется </w:t>
      </w:r>
      <w:r w:rsidRPr="00565429">
        <w:rPr>
          <w:b/>
          <w:bCs/>
          <w:lang w:val="ru-KZ"/>
        </w:rPr>
        <w:t>10 загрязняющих веществ</w:t>
      </w:r>
      <w:r w:rsidRPr="00565429">
        <w:rPr>
          <w:lang w:val="ru-KZ"/>
        </w:rPr>
        <w:t>, включая:</w:t>
      </w:r>
    </w:p>
    <w:p w14:paraId="5B67B5DD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оксиды азота (NO₂, NO); </w:t>
      </w:r>
    </w:p>
    <w:p w14:paraId="34B8CEEE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диоксид серы (SO₂); </w:t>
      </w:r>
    </w:p>
    <w:p w14:paraId="30E74CAA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оксид углерода (CO); </w:t>
      </w:r>
    </w:p>
    <w:p w14:paraId="3474E52F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сажа; </w:t>
      </w:r>
    </w:p>
    <w:p w14:paraId="0389043C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формальдегид; </w:t>
      </w:r>
    </w:p>
    <w:p w14:paraId="3A742234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proofErr w:type="spellStart"/>
      <w:r w:rsidRPr="00565429">
        <w:rPr>
          <w:lang w:val="ru-KZ"/>
        </w:rPr>
        <w:t>бенз</w:t>
      </w:r>
      <w:proofErr w:type="spellEnd"/>
      <w:r w:rsidRPr="00565429">
        <w:rPr>
          <w:lang w:val="ru-KZ"/>
        </w:rPr>
        <w:t>(а)</w:t>
      </w:r>
      <w:proofErr w:type="spellStart"/>
      <w:r w:rsidRPr="00565429">
        <w:rPr>
          <w:lang w:val="ru-KZ"/>
        </w:rPr>
        <w:t>пирен</w:t>
      </w:r>
      <w:proofErr w:type="spellEnd"/>
      <w:r w:rsidRPr="00565429">
        <w:rPr>
          <w:lang w:val="ru-KZ"/>
        </w:rPr>
        <w:t xml:space="preserve">; </w:t>
      </w:r>
    </w:p>
    <w:p w14:paraId="1450E568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углеводороды (С12–С19); </w:t>
      </w:r>
    </w:p>
    <w:p w14:paraId="7E7D8950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сероводород; </w:t>
      </w:r>
    </w:p>
    <w:p w14:paraId="3109CDA8" w14:textId="77777777" w:rsidR="00565429" w:rsidRPr="00565429" w:rsidRDefault="00565429" w:rsidP="00565429">
      <w:pPr>
        <w:numPr>
          <w:ilvl w:val="0"/>
          <w:numId w:val="7"/>
        </w:numPr>
        <w:rPr>
          <w:lang w:val="ru-KZ"/>
        </w:rPr>
      </w:pPr>
      <w:r w:rsidRPr="00565429">
        <w:rPr>
          <w:lang w:val="ru-KZ"/>
        </w:rPr>
        <w:t xml:space="preserve">неорганическая пыль. </w:t>
      </w:r>
    </w:p>
    <w:p w14:paraId="602368CA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Суммарный выброс:</w:t>
      </w:r>
    </w:p>
    <w:p w14:paraId="49780784" w14:textId="77777777" w:rsidR="00565429" w:rsidRPr="00565429" w:rsidRDefault="00565429" w:rsidP="00565429">
      <w:pPr>
        <w:numPr>
          <w:ilvl w:val="0"/>
          <w:numId w:val="8"/>
        </w:numPr>
        <w:rPr>
          <w:lang w:val="ru-KZ"/>
        </w:rPr>
      </w:pPr>
      <w:r w:rsidRPr="00565429">
        <w:rPr>
          <w:b/>
          <w:bCs/>
          <w:lang w:val="ru-KZ"/>
        </w:rPr>
        <w:t>0,2974 т/год</w:t>
      </w:r>
      <w:r w:rsidRPr="00565429">
        <w:rPr>
          <w:lang w:val="ru-KZ"/>
        </w:rPr>
        <w:t xml:space="preserve">, </w:t>
      </w:r>
    </w:p>
    <w:p w14:paraId="1CC52FA4" w14:textId="77777777" w:rsidR="00565429" w:rsidRPr="00565429" w:rsidRDefault="00565429" w:rsidP="00565429">
      <w:pPr>
        <w:numPr>
          <w:ilvl w:val="1"/>
          <w:numId w:val="8"/>
        </w:numPr>
        <w:rPr>
          <w:lang w:val="ru-KZ"/>
        </w:rPr>
      </w:pPr>
      <w:r w:rsidRPr="00565429">
        <w:rPr>
          <w:lang w:val="ru-KZ"/>
        </w:rPr>
        <w:t xml:space="preserve">газообразные — 0,1534 т/год; </w:t>
      </w:r>
    </w:p>
    <w:p w14:paraId="53C17481" w14:textId="77777777" w:rsidR="00565429" w:rsidRPr="00565429" w:rsidRDefault="00565429" w:rsidP="00565429">
      <w:pPr>
        <w:numPr>
          <w:ilvl w:val="1"/>
          <w:numId w:val="8"/>
        </w:numPr>
        <w:rPr>
          <w:lang w:val="ru-KZ"/>
        </w:rPr>
      </w:pPr>
      <w:r w:rsidRPr="00565429">
        <w:rPr>
          <w:lang w:val="ru-KZ"/>
        </w:rPr>
        <w:t xml:space="preserve">твердые — 0,144 т/год. </w:t>
      </w:r>
    </w:p>
    <w:p w14:paraId="5DAA9B45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Оценка воздействия</w:t>
      </w:r>
    </w:p>
    <w:p w14:paraId="75138572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По результатам расчетов рассеивания:</w:t>
      </w:r>
    </w:p>
    <w:p w14:paraId="08F36F63" w14:textId="77777777" w:rsidR="00565429" w:rsidRPr="00565429" w:rsidRDefault="00565429" w:rsidP="00565429">
      <w:pPr>
        <w:numPr>
          <w:ilvl w:val="0"/>
          <w:numId w:val="9"/>
        </w:numPr>
        <w:rPr>
          <w:lang w:val="ru-KZ"/>
        </w:rPr>
      </w:pPr>
      <w:r w:rsidRPr="00565429">
        <w:rPr>
          <w:lang w:val="ru-KZ"/>
        </w:rPr>
        <w:t xml:space="preserve">превышения ПДК не выявлены; </w:t>
      </w:r>
    </w:p>
    <w:p w14:paraId="7E04DDF0" w14:textId="77777777" w:rsidR="00565429" w:rsidRPr="00565429" w:rsidRDefault="00565429" w:rsidP="00565429">
      <w:pPr>
        <w:numPr>
          <w:ilvl w:val="0"/>
          <w:numId w:val="9"/>
        </w:numPr>
        <w:rPr>
          <w:lang w:val="ru-KZ"/>
        </w:rPr>
      </w:pPr>
      <w:r w:rsidRPr="00565429">
        <w:rPr>
          <w:lang w:val="ru-KZ"/>
        </w:rPr>
        <w:t xml:space="preserve">вклад объекта в загрязнение атмосферы соответствует нормативам; </w:t>
      </w:r>
    </w:p>
    <w:p w14:paraId="1BC32A23" w14:textId="77777777" w:rsidR="00565429" w:rsidRPr="00565429" w:rsidRDefault="00565429" w:rsidP="00565429">
      <w:pPr>
        <w:numPr>
          <w:ilvl w:val="0"/>
          <w:numId w:val="9"/>
        </w:numPr>
        <w:rPr>
          <w:lang w:val="ru-KZ"/>
        </w:rPr>
      </w:pPr>
      <w:r w:rsidRPr="00565429">
        <w:rPr>
          <w:lang w:val="ru-KZ"/>
        </w:rPr>
        <w:t xml:space="preserve">санитарно-защитная зона — </w:t>
      </w:r>
      <w:r w:rsidRPr="00565429">
        <w:rPr>
          <w:b/>
          <w:bCs/>
          <w:lang w:val="ru-KZ"/>
        </w:rPr>
        <w:t>290 м</w:t>
      </w:r>
      <w:r w:rsidRPr="00565429">
        <w:rPr>
          <w:lang w:val="ru-KZ"/>
        </w:rPr>
        <w:t xml:space="preserve">; </w:t>
      </w:r>
    </w:p>
    <w:p w14:paraId="29345490" w14:textId="77777777" w:rsidR="00565429" w:rsidRPr="00565429" w:rsidRDefault="00565429" w:rsidP="00565429">
      <w:pPr>
        <w:numPr>
          <w:ilvl w:val="0"/>
          <w:numId w:val="9"/>
        </w:numPr>
        <w:rPr>
          <w:lang w:val="ru-KZ"/>
        </w:rPr>
      </w:pPr>
      <w:r w:rsidRPr="00565429">
        <w:rPr>
          <w:lang w:val="ru-KZ"/>
        </w:rPr>
        <w:t xml:space="preserve">ближайшие населенные пункты вне зоны воздействия. </w:t>
      </w:r>
    </w:p>
    <w:p w14:paraId="579CD59A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Аварийные и залповые выбросы:</w:t>
      </w:r>
    </w:p>
    <w:p w14:paraId="36BB651D" w14:textId="77777777" w:rsidR="00565429" w:rsidRPr="00565429" w:rsidRDefault="00565429" w:rsidP="00565429">
      <w:pPr>
        <w:numPr>
          <w:ilvl w:val="0"/>
          <w:numId w:val="10"/>
        </w:numPr>
        <w:rPr>
          <w:lang w:val="ru-KZ"/>
        </w:rPr>
      </w:pPr>
      <w:r w:rsidRPr="00565429">
        <w:rPr>
          <w:lang w:val="ru-KZ"/>
        </w:rPr>
        <w:t xml:space="preserve">не прогнозируются. </w:t>
      </w:r>
    </w:p>
    <w:p w14:paraId="2AFE111C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Природоохранные мероприятия</w:t>
      </w:r>
    </w:p>
    <w:p w14:paraId="6FE329F3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Проектом предусмотрены:</w:t>
      </w:r>
    </w:p>
    <w:p w14:paraId="78CD33C1" w14:textId="77777777" w:rsidR="00565429" w:rsidRPr="00565429" w:rsidRDefault="00565429" w:rsidP="00565429">
      <w:pPr>
        <w:numPr>
          <w:ilvl w:val="0"/>
          <w:numId w:val="11"/>
        </w:numPr>
        <w:rPr>
          <w:lang w:val="ru-KZ"/>
        </w:rPr>
      </w:pPr>
      <w:r w:rsidRPr="00565429">
        <w:rPr>
          <w:lang w:val="ru-KZ"/>
        </w:rPr>
        <w:t xml:space="preserve">орошение пылящих поверхностей (пылеподавление); </w:t>
      </w:r>
    </w:p>
    <w:p w14:paraId="73476347" w14:textId="77777777" w:rsidR="00565429" w:rsidRPr="00565429" w:rsidRDefault="00565429" w:rsidP="00565429">
      <w:pPr>
        <w:numPr>
          <w:ilvl w:val="0"/>
          <w:numId w:val="11"/>
        </w:numPr>
        <w:rPr>
          <w:lang w:val="ru-KZ"/>
        </w:rPr>
      </w:pPr>
      <w:r w:rsidRPr="00565429">
        <w:rPr>
          <w:lang w:val="ru-KZ"/>
        </w:rPr>
        <w:lastRenderedPageBreak/>
        <w:t xml:space="preserve">контроль технического состояния техники; </w:t>
      </w:r>
    </w:p>
    <w:p w14:paraId="14B897DA" w14:textId="77777777" w:rsidR="00565429" w:rsidRPr="00565429" w:rsidRDefault="00565429" w:rsidP="00565429">
      <w:pPr>
        <w:numPr>
          <w:ilvl w:val="0"/>
          <w:numId w:val="11"/>
        </w:numPr>
        <w:rPr>
          <w:lang w:val="ru-KZ"/>
        </w:rPr>
      </w:pPr>
      <w:r w:rsidRPr="00565429">
        <w:rPr>
          <w:lang w:val="ru-KZ"/>
        </w:rPr>
        <w:t xml:space="preserve">регулирование выбросов при неблагоприятных метеоусловиях (НМУ); </w:t>
      </w:r>
    </w:p>
    <w:p w14:paraId="08A63FD2" w14:textId="77777777" w:rsidR="00565429" w:rsidRPr="00565429" w:rsidRDefault="00565429" w:rsidP="00565429">
      <w:pPr>
        <w:numPr>
          <w:ilvl w:val="0"/>
          <w:numId w:val="11"/>
        </w:numPr>
        <w:rPr>
          <w:lang w:val="ru-KZ"/>
        </w:rPr>
      </w:pPr>
      <w:r w:rsidRPr="00565429">
        <w:rPr>
          <w:lang w:val="ru-KZ"/>
        </w:rPr>
        <w:t xml:space="preserve">снижение интенсивности работ при ухудшении условий рассеивания. </w:t>
      </w:r>
    </w:p>
    <w:p w14:paraId="6CEB028D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При НМУ:</w:t>
      </w:r>
    </w:p>
    <w:p w14:paraId="0ECDBBF5" w14:textId="77777777" w:rsidR="00565429" w:rsidRPr="00565429" w:rsidRDefault="00565429" w:rsidP="00565429">
      <w:pPr>
        <w:numPr>
          <w:ilvl w:val="0"/>
          <w:numId w:val="12"/>
        </w:numPr>
        <w:rPr>
          <w:lang w:val="ru-KZ"/>
        </w:rPr>
      </w:pPr>
      <w:r w:rsidRPr="00565429">
        <w:rPr>
          <w:lang w:val="ru-KZ"/>
        </w:rPr>
        <w:t xml:space="preserve">сокращение выбросов на 20–40%; </w:t>
      </w:r>
    </w:p>
    <w:p w14:paraId="05B06CAA" w14:textId="77777777" w:rsidR="00565429" w:rsidRPr="00565429" w:rsidRDefault="00565429" w:rsidP="00565429">
      <w:pPr>
        <w:numPr>
          <w:ilvl w:val="0"/>
          <w:numId w:val="12"/>
        </w:numPr>
        <w:rPr>
          <w:lang w:val="ru-KZ"/>
        </w:rPr>
      </w:pPr>
      <w:r w:rsidRPr="00565429">
        <w:rPr>
          <w:lang w:val="ru-KZ"/>
        </w:rPr>
        <w:t xml:space="preserve">временное ограничение или остановка отдельных операций. </w:t>
      </w:r>
    </w:p>
    <w:p w14:paraId="6F898175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Контроль и мониторинг</w:t>
      </w:r>
    </w:p>
    <w:p w14:paraId="093846EA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Контроль выбросов осуществляется:</w:t>
      </w:r>
    </w:p>
    <w:p w14:paraId="4F053794" w14:textId="77777777" w:rsidR="00565429" w:rsidRPr="00565429" w:rsidRDefault="00565429" w:rsidP="00565429">
      <w:pPr>
        <w:numPr>
          <w:ilvl w:val="0"/>
          <w:numId w:val="13"/>
        </w:numPr>
        <w:rPr>
          <w:lang w:val="ru-KZ"/>
        </w:rPr>
      </w:pPr>
      <w:r w:rsidRPr="00565429">
        <w:rPr>
          <w:lang w:val="ru-KZ"/>
        </w:rPr>
        <w:t xml:space="preserve">расчетным методом — на источниках; </w:t>
      </w:r>
    </w:p>
    <w:p w14:paraId="163207ED" w14:textId="77777777" w:rsidR="00565429" w:rsidRPr="00565429" w:rsidRDefault="00565429" w:rsidP="00565429">
      <w:pPr>
        <w:numPr>
          <w:ilvl w:val="0"/>
          <w:numId w:val="13"/>
        </w:numPr>
        <w:rPr>
          <w:lang w:val="ru-KZ"/>
        </w:rPr>
      </w:pPr>
      <w:r w:rsidRPr="00565429">
        <w:rPr>
          <w:lang w:val="ru-KZ"/>
        </w:rPr>
        <w:t xml:space="preserve">инструментальным — на границе СЗЗ. </w:t>
      </w:r>
    </w:p>
    <w:p w14:paraId="1866DCCD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Периодичность:</w:t>
      </w:r>
    </w:p>
    <w:p w14:paraId="3D3165D0" w14:textId="77777777" w:rsidR="00565429" w:rsidRPr="00565429" w:rsidRDefault="00565429" w:rsidP="00565429">
      <w:pPr>
        <w:numPr>
          <w:ilvl w:val="0"/>
          <w:numId w:val="14"/>
        </w:numPr>
        <w:rPr>
          <w:lang w:val="ru-KZ"/>
        </w:rPr>
      </w:pPr>
      <w:r w:rsidRPr="00565429">
        <w:rPr>
          <w:lang w:val="ru-KZ"/>
        </w:rPr>
        <w:t xml:space="preserve">источники — не реже 1 раза в квартал; </w:t>
      </w:r>
    </w:p>
    <w:p w14:paraId="2B1B9F07" w14:textId="77777777" w:rsidR="00565429" w:rsidRPr="00565429" w:rsidRDefault="00565429" w:rsidP="00565429">
      <w:pPr>
        <w:numPr>
          <w:ilvl w:val="0"/>
          <w:numId w:val="14"/>
        </w:numPr>
        <w:rPr>
          <w:lang w:val="ru-KZ"/>
        </w:rPr>
      </w:pPr>
      <w:r w:rsidRPr="00565429">
        <w:rPr>
          <w:lang w:val="ru-KZ"/>
        </w:rPr>
        <w:t xml:space="preserve">контрольные точки — 1 раз в год. </w:t>
      </w:r>
    </w:p>
    <w:p w14:paraId="5848C0DB" w14:textId="77777777" w:rsidR="00565429" w:rsidRPr="00565429" w:rsidRDefault="00565429" w:rsidP="00565429">
      <w:pPr>
        <w:rPr>
          <w:b/>
          <w:bCs/>
          <w:lang w:val="ru-KZ"/>
        </w:rPr>
      </w:pPr>
      <w:r w:rsidRPr="00565429">
        <w:rPr>
          <w:b/>
          <w:bCs/>
          <w:lang w:val="ru-KZ"/>
        </w:rPr>
        <w:t>Вывод</w:t>
      </w:r>
    </w:p>
    <w:p w14:paraId="7A1B8458" w14:textId="77777777" w:rsidR="00565429" w:rsidRPr="00565429" w:rsidRDefault="00565429" w:rsidP="00565429">
      <w:pPr>
        <w:rPr>
          <w:lang w:val="ru-KZ"/>
        </w:rPr>
      </w:pPr>
      <w:r w:rsidRPr="00565429">
        <w:rPr>
          <w:lang w:val="ru-KZ"/>
        </w:rPr>
        <w:t>Проект нормативов допустимых выбросов показывает, что:</w:t>
      </w:r>
    </w:p>
    <w:p w14:paraId="0CB12EAA" w14:textId="77777777" w:rsidR="00565429" w:rsidRPr="00565429" w:rsidRDefault="00565429" w:rsidP="00565429">
      <w:pPr>
        <w:numPr>
          <w:ilvl w:val="0"/>
          <w:numId w:val="15"/>
        </w:numPr>
        <w:rPr>
          <w:lang w:val="ru-KZ"/>
        </w:rPr>
      </w:pPr>
      <w:r w:rsidRPr="00565429">
        <w:rPr>
          <w:lang w:val="ru-KZ"/>
        </w:rPr>
        <w:t xml:space="preserve">деятельность карьера Сарга-2 соответствует экологическим требованиям; </w:t>
      </w:r>
    </w:p>
    <w:p w14:paraId="0457EBA1" w14:textId="77777777" w:rsidR="00565429" w:rsidRPr="00565429" w:rsidRDefault="00565429" w:rsidP="00565429">
      <w:pPr>
        <w:numPr>
          <w:ilvl w:val="0"/>
          <w:numId w:val="15"/>
        </w:numPr>
        <w:rPr>
          <w:lang w:val="ru-KZ"/>
        </w:rPr>
      </w:pPr>
      <w:r w:rsidRPr="00565429">
        <w:rPr>
          <w:lang w:val="ru-KZ"/>
        </w:rPr>
        <w:t xml:space="preserve">превышения нормативов качества атмосферного воздуха отсутствуют; </w:t>
      </w:r>
    </w:p>
    <w:p w14:paraId="3BF737FC" w14:textId="77777777" w:rsidR="00565429" w:rsidRPr="00565429" w:rsidRDefault="00565429" w:rsidP="00565429">
      <w:pPr>
        <w:numPr>
          <w:ilvl w:val="0"/>
          <w:numId w:val="15"/>
        </w:numPr>
        <w:rPr>
          <w:lang w:val="ru-KZ"/>
        </w:rPr>
      </w:pPr>
      <w:r w:rsidRPr="00565429">
        <w:rPr>
          <w:lang w:val="ru-KZ"/>
        </w:rPr>
        <w:t xml:space="preserve">воздействие на окружающую среду является </w:t>
      </w:r>
      <w:r w:rsidRPr="00565429">
        <w:rPr>
          <w:b/>
          <w:bCs/>
          <w:lang w:val="ru-KZ"/>
        </w:rPr>
        <w:t>допустимым и локальным</w:t>
      </w:r>
      <w:r w:rsidRPr="00565429">
        <w:rPr>
          <w:lang w:val="ru-KZ"/>
        </w:rPr>
        <w:t xml:space="preserve">; </w:t>
      </w:r>
    </w:p>
    <w:p w14:paraId="162B96BE" w14:textId="77777777" w:rsidR="00565429" w:rsidRPr="00565429" w:rsidRDefault="00565429" w:rsidP="00565429">
      <w:pPr>
        <w:numPr>
          <w:ilvl w:val="0"/>
          <w:numId w:val="15"/>
        </w:numPr>
        <w:rPr>
          <w:lang w:val="ru-KZ"/>
        </w:rPr>
      </w:pPr>
      <w:r w:rsidRPr="00565429">
        <w:rPr>
          <w:lang w:val="ru-KZ"/>
        </w:rPr>
        <w:t>предлагаемые нормативы выбросов могут быть установлены на расчетном уровне.</w:t>
      </w:r>
    </w:p>
    <w:p w14:paraId="6D93EE45" w14:textId="77777777" w:rsidR="001461D8" w:rsidRPr="00565429" w:rsidRDefault="001461D8">
      <w:pPr>
        <w:rPr>
          <w:lang w:val="ru-KZ"/>
        </w:rPr>
      </w:pPr>
    </w:p>
    <w:sectPr w:rsidR="001461D8" w:rsidRPr="0056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F79"/>
    <w:multiLevelType w:val="multilevel"/>
    <w:tmpl w:val="3D5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70917"/>
    <w:multiLevelType w:val="multilevel"/>
    <w:tmpl w:val="ED5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5688E"/>
    <w:multiLevelType w:val="multilevel"/>
    <w:tmpl w:val="C0D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17450"/>
    <w:multiLevelType w:val="multilevel"/>
    <w:tmpl w:val="F7B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A28DF"/>
    <w:multiLevelType w:val="multilevel"/>
    <w:tmpl w:val="586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05C89"/>
    <w:multiLevelType w:val="multilevel"/>
    <w:tmpl w:val="971A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90842"/>
    <w:multiLevelType w:val="multilevel"/>
    <w:tmpl w:val="D48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F5550"/>
    <w:multiLevelType w:val="multilevel"/>
    <w:tmpl w:val="49C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B4323"/>
    <w:multiLevelType w:val="multilevel"/>
    <w:tmpl w:val="AC5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D50E0"/>
    <w:multiLevelType w:val="multilevel"/>
    <w:tmpl w:val="CFD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42464"/>
    <w:multiLevelType w:val="multilevel"/>
    <w:tmpl w:val="B2E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855C8"/>
    <w:multiLevelType w:val="multilevel"/>
    <w:tmpl w:val="50D6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94539"/>
    <w:multiLevelType w:val="multilevel"/>
    <w:tmpl w:val="DC5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735B"/>
    <w:multiLevelType w:val="multilevel"/>
    <w:tmpl w:val="67F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33D69"/>
    <w:multiLevelType w:val="multilevel"/>
    <w:tmpl w:val="51A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389124">
    <w:abstractNumId w:val="6"/>
  </w:num>
  <w:num w:numId="2" w16cid:durableId="638340358">
    <w:abstractNumId w:val="9"/>
  </w:num>
  <w:num w:numId="3" w16cid:durableId="1970161881">
    <w:abstractNumId w:val="0"/>
  </w:num>
  <w:num w:numId="4" w16cid:durableId="1144155787">
    <w:abstractNumId w:val="12"/>
  </w:num>
  <w:num w:numId="5" w16cid:durableId="270628613">
    <w:abstractNumId w:val="1"/>
  </w:num>
  <w:num w:numId="6" w16cid:durableId="1955212895">
    <w:abstractNumId w:val="3"/>
  </w:num>
  <w:num w:numId="7" w16cid:durableId="1658224050">
    <w:abstractNumId w:val="2"/>
  </w:num>
  <w:num w:numId="8" w16cid:durableId="541526541">
    <w:abstractNumId w:val="11"/>
  </w:num>
  <w:num w:numId="9" w16cid:durableId="1760563749">
    <w:abstractNumId w:val="7"/>
  </w:num>
  <w:num w:numId="10" w16cid:durableId="440760127">
    <w:abstractNumId w:val="4"/>
  </w:num>
  <w:num w:numId="11" w16cid:durableId="1694452626">
    <w:abstractNumId w:val="14"/>
  </w:num>
  <w:num w:numId="12" w16cid:durableId="1640039599">
    <w:abstractNumId w:val="13"/>
  </w:num>
  <w:num w:numId="13" w16cid:durableId="392700044">
    <w:abstractNumId w:val="10"/>
  </w:num>
  <w:num w:numId="14" w16cid:durableId="1441267716">
    <w:abstractNumId w:val="5"/>
  </w:num>
  <w:num w:numId="15" w16cid:durableId="439688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71"/>
    <w:rsid w:val="001461D8"/>
    <w:rsid w:val="00273771"/>
    <w:rsid w:val="00551C73"/>
    <w:rsid w:val="005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5DDF"/>
  <w15:chartTrackingRefBased/>
  <w15:docId w15:val="{838E3DA8-7A2E-4E27-92ED-43106A57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7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7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7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7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Кылышбаев</dc:creator>
  <cp:keywords/>
  <dc:description/>
  <cp:lastModifiedBy>Салауат Кылышбаев</cp:lastModifiedBy>
  <cp:revision>2</cp:revision>
  <dcterms:created xsi:type="dcterms:W3CDTF">2026-04-04T12:54:00Z</dcterms:created>
  <dcterms:modified xsi:type="dcterms:W3CDTF">2026-04-04T12:55:00Z</dcterms:modified>
</cp:coreProperties>
</file>