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В данном проекте рассмотрены решения по расширению инфраструктуры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геотехнологического полигона добычи урана методом ПСВ. В рамках расширения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предусмотрены строительство трубопроводов ПР, ВР,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кислотопроводов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, воздушной линий </w:t>
      </w:r>
    </w:p>
    <w:p w:rsidR="00983688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электропередачи и автомобильных дорог. 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>В административном отношении площадь рудника «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Куланды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» относится к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Сузакскому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району Южно-Казахстанской области Республики Казахстан и располагается в центральной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>части Чу-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Сарысуйской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депрессии, в пределах листа L-42-ХХI.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>Рудник «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Куланды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» месторождения «Буденовское» открытого в 1978 году при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>производстве поисково-рекогносцировочных работ ОАО «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Волковгеология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». В 1979-1991гг.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поисково-разведочными работами произведена оценка масштаба месторождения,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геологические и геотехнологические условия локализации руд и рудообразования, что дало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возможность провести районирование месторождения и наметить очередность его освоения.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Месторождение «Буденовское» входит в состав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Мынкудукского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рудного района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Кенце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>-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Буденовской металлогенической зоны и является продолжением месторождения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Инкай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южном направлении. Месторождение относится к крупным урановым объектом гидрогенного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>типа в Шу-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Сарысуйской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урановой провинции. С севера на юг оно протягивается на 75 км при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ширине 3-15 км. На севере оно отделяется по профилю с небольшим перерывом от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Инкайского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месторождения, а на юге ограничивается Главным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Каратауским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разломом. По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ландшафтным условиям месторождение условно разделяется по профилю XV на два участка: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>северный (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Саумалкольский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>) и южный (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Кабанбулакский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Северная часть месторождения приурочена к дельте р. Шу и характеризуется довольно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сложными условиями по проходимости и организации работ.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Южная часть приурочена к предгорному слабохолмистому рельефу и пригодна для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промышленного освоения. Ширина рудных урановых залежей варьирует от десятков метров до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1 километра и зависит от мощности вмещающего горизонта и количества внутренних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lastRenderedPageBreak/>
        <w:t xml:space="preserve">водоупорных слоев.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Урановое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оруденение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в большинстве случаев представлено линзами и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роллообразными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рудными телами. Глубина залегания рудных залежей составляет 640-720 м.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Население в районе проектируемого объекта распределено крайне неравномерно и сконцентрировано оно, в основном, вблизи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гop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и вдоль реки Шу. Ближайшими населенными пунктами являются совхоз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Каратауский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и его отделение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Аксумбе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, расположенные в 40 км южнее месторождения, у подножий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хр.Б.Каратау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. В 120 км к северо-востоку от месторождения «Будёновское» расположен базовый посёлок Степного рудоуправления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Кызымшек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, к юго-востоку в 100 км базовый посёлок Центрального РУ –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Таукент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, в 120 км – поселок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Шоллакорган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>. Крупные населенные пункты в районе месторождения отсутствуют. Города и промышленные поселки, выросшие вокруг горнорудных предприятий, располагаются в обрамлении Чу-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Сарысуйской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депрессии: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Жезказган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(280 км от месторождения «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Мынкудук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Кызылорда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, Шымкент,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Тараз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</w:t>
      </w:r>
      <w:r w:rsidRPr="004327E9">
        <w:rPr>
          <w:rFonts w:ascii="Times New Roman" w:hAnsi="Times New Roman" w:cs="Times New Roman"/>
          <w:sz w:val="28"/>
          <w:szCs w:val="28"/>
        </w:rPr>
        <w:t xml:space="preserve">(соответственно 230, 460, 525 км), где, в основном, сосредоточено занятое в промышленности население. Там же находятся электростанции и линии высоковольтных электропередач.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>Основные промышленные предприятия района связаны с уранодобывающей отраслью. Способом ПСВ отрабатываются месторождения: «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Уванас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Мынкудук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Акдала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7E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Канжуган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Моинкум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». Продолжает строиться базовый поселок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Таукент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. Все рудники, совхозы, в том числе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Каратауский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, соединены с райцентром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Шоллакорган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и областным центром Туркестан асфальтированными дорогами. Расстояние от совхоза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Каратауский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до п.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Шолаккорган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 130 км, до Шымкента - 330 км, до железнодорожной станции Жанатас - 200 км.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Проектируемая дорога проложена в равнинной местности, со спокойным рельефом с небольшими перепадами высотных отметок. Основным условием проектирования продольного профиля является соблюдение возвышения бровки земляного полотна над расчетным уровнем снегового покрова и поверхности покрытия </w:t>
      </w:r>
      <w:proofErr w:type="gramStart"/>
      <w:r w:rsidRPr="004327E9">
        <w:rPr>
          <w:rFonts w:ascii="Times New Roman" w:hAnsi="Times New Roman" w:cs="Times New Roman"/>
          <w:sz w:val="28"/>
          <w:szCs w:val="28"/>
        </w:rPr>
        <w:t>над расчетным горизонтам</w:t>
      </w:r>
      <w:proofErr w:type="gramEnd"/>
      <w:r w:rsidRPr="004327E9">
        <w:rPr>
          <w:rFonts w:ascii="Times New Roman" w:hAnsi="Times New Roman" w:cs="Times New Roman"/>
          <w:sz w:val="28"/>
          <w:szCs w:val="28"/>
        </w:rPr>
        <w:t xml:space="preserve"> поверхностных вод.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Земляное полотно запроектировано с учетом категории дороги, типа дорожной одежды, высоты насыпи, свойств грунтов, используемых в земляном полотне, условия производства работ по возведению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земполотна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, природных условий района строительства и особенностей инженерно-геологических условий участка строительства, опыта эксплуатации дорог в данном районе, исходя из обеспечения требований прочности, устойчивости и стабильности как самого земляного полотна, так и дорожной одежды при наименьшем ущербе окружающей природной среде. </w:t>
      </w:r>
    </w:p>
    <w:p w:rsidR="004327E9" w:rsidRP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Параметры земляного полотна по дороге IV-в категории - 4,5 м. </w:t>
      </w:r>
    </w:p>
    <w:p w:rsidR="004327E9" w:rsidRDefault="004327E9" w:rsidP="00432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7E9">
        <w:rPr>
          <w:rFonts w:ascii="Times New Roman" w:hAnsi="Times New Roman" w:cs="Times New Roman"/>
          <w:sz w:val="28"/>
          <w:szCs w:val="28"/>
        </w:rPr>
        <w:t xml:space="preserve">Коэффициент уплотнения земляного полотна </w:t>
      </w:r>
      <w:proofErr w:type="spellStart"/>
      <w:r w:rsidRPr="004327E9">
        <w:rPr>
          <w:rFonts w:ascii="Times New Roman" w:hAnsi="Times New Roman" w:cs="Times New Roman"/>
          <w:sz w:val="28"/>
          <w:szCs w:val="28"/>
        </w:rPr>
        <w:t>купл</w:t>
      </w:r>
      <w:proofErr w:type="spellEnd"/>
      <w:r w:rsidRPr="004327E9">
        <w:rPr>
          <w:rFonts w:ascii="Times New Roman" w:hAnsi="Times New Roman" w:cs="Times New Roman"/>
          <w:sz w:val="28"/>
          <w:szCs w:val="28"/>
        </w:rPr>
        <w:t xml:space="preserve">=1,05.  </w:t>
      </w:r>
    </w:p>
    <w:p w:rsidR="00EE044F" w:rsidRPr="00EE044F" w:rsidRDefault="00EE044F" w:rsidP="00EE0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44F">
        <w:rPr>
          <w:rFonts w:ascii="Times New Roman" w:hAnsi="Times New Roman" w:cs="Times New Roman"/>
          <w:sz w:val="28"/>
          <w:szCs w:val="28"/>
        </w:rPr>
        <w:t>Устройство дорожной одежды предусмотрено из песчано-гравийной смеси грунтового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44F">
        <w:rPr>
          <w:rFonts w:ascii="Times New Roman" w:hAnsi="Times New Roman" w:cs="Times New Roman"/>
          <w:sz w:val="28"/>
          <w:szCs w:val="28"/>
        </w:rPr>
        <w:t xml:space="preserve">карьера ПГС. Объемный вес ПГС - 1,6 г/см3, коэффициент уплотнения </w:t>
      </w:r>
      <w:proofErr w:type="spellStart"/>
      <w:r w:rsidRPr="00EE044F">
        <w:rPr>
          <w:rFonts w:ascii="Times New Roman" w:hAnsi="Times New Roman" w:cs="Times New Roman"/>
          <w:sz w:val="28"/>
          <w:szCs w:val="28"/>
        </w:rPr>
        <w:t>купл</w:t>
      </w:r>
      <w:proofErr w:type="spellEnd"/>
      <w:r w:rsidRPr="00EE044F">
        <w:rPr>
          <w:rFonts w:ascii="Times New Roman" w:hAnsi="Times New Roman" w:cs="Times New Roman"/>
          <w:sz w:val="28"/>
          <w:szCs w:val="28"/>
        </w:rPr>
        <w:t xml:space="preserve">=1,3. </w:t>
      </w:r>
    </w:p>
    <w:p w:rsidR="00EE044F" w:rsidRPr="00EE044F" w:rsidRDefault="00EE044F" w:rsidP="00EE0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44F">
        <w:rPr>
          <w:rFonts w:ascii="Times New Roman" w:hAnsi="Times New Roman" w:cs="Times New Roman"/>
          <w:sz w:val="28"/>
          <w:szCs w:val="28"/>
        </w:rPr>
        <w:lastRenderedPageBreak/>
        <w:t xml:space="preserve"> Толщина покрытия по оси - 25 см. Тип поперечного профиля дорожной одежды - </w:t>
      </w:r>
    </w:p>
    <w:p w:rsidR="00EE044F" w:rsidRPr="00EE044F" w:rsidRDefault="00EE044F" w:rsidP="00EE0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044F">
        <w:rPr>
          <w:rFonts w:ascii="Times New Roman" w:hAnsi="Times New Roman" w:cs="Times New Roman"/>
          <w:sz w:val="28"/>
          <w:szCs w:val="28"/>
        </w:rPr>
        <w:t>полукорытный</w:t>
      </w:r>
      <w:proofErr w:type="spellEnd"/>
      <w:r w:rsidRPr="00EE044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E044F" w:rsidRPr="00EE044F" w:rsidRDefault="00EE044F" w:rsidP="00EE0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44F">
        <w:rPr>
          <w:rFonts w:ascii="Times New Roman" w:hAnsi="Times New Roman" w:cs="Times New Roman"/>
          <w:sz w:val="28"/>
          <w:szCs w:val="28"/>
        </w:rPr>
        <w:t xml:space="preserve"> Основные параметры дорожной одежды приняты для дороги категории IV-в: </w:t>
      </w:r>
    </w:p>
    <w:p w:rsidR="00EE044F" w:rsidRPr="00EE044F" w:rsidRDefault="00EE044F" w:rsidP="00EE0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44F">
        <w:rPr>
          <w:rFonts w:ascii="Times New Roman" w:hAnsi="Times New Roman" w:cs="Times New Roman"/>
          <w:sz w:val="28"/>
          <w:szCs w:val="28"/>
        </w:rPr>
        <w:t xml:space="preserve">- ширина проезжей части - 4,5 м </w:t>
      </w:r>
    </w:p>
    <w:p w:rsidR="00EE044F" w:rsidRPr="00EE044F" w:rsidRDefault="00EE044F" w:rsidP="00EE0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44F">
        <w:rPr>
          <w:rFonts w:ascii="Times New Roman" w:hAnsi="Times New Roman" w:cs="Times New Roman"/>
          <w:sz w:val="28"/>
          <w:szCs w:val="28"/>
        </w:rPr>
        <w:t xml:space="preserve">- ширина обочин - 2 х 1,0 м </w:t>
      </w:r>
    </w:p>
    <w:p w:rsidR="00EE044F" w:rsidRPr="00EE044F" w:rsidRDefault="00EE044F" w:rsidP="00EE0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44F">
        <w:rPr>
          <w:rFonts w:ascii="Times New Roman" w:hAnsi="Times New Roman" w:cs="Times New Roman"/>
          <w:sz w:val="28"/>
          <w:szCs w:val="28"/>
        </w:rPr>
        <w:t xml:space="preserve">- поперечный уклон проезжей части - 30 %о </w:t>
      </w:r>
    </w:p>
    <w:p w:rsidR="00EE044F" w:rsidRPr="00EE044F" w:rsidRDefault="00EE044F" w:rsidP="00EE0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44F">
        <w:rPr>
          <w:rFonts w:ascii="Times New Roman" w:hAnsi="Times New Roman" w:cs="Times New Roman"/>
          <w:sz w:val="28"/>
          <w:szCs w:val="28"/>
        </w:rPr>
        <w:t xml:space="preserve">- поперечный уклон обочин - 50 %о. </w:t>
      </w:r>
    </w:p>
    <w:p w:rsidR="00EE044F" w:rsidRPr="00EE044F" w:rsidRDefault="00EE044F" w:rsidP="00EE0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044F" w:rsidRPr="00EE044F" w:rsidRDefault="00EE044F" w:rsidP="00EE0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044F" w:rsidRPr="00EE0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32"/>
    <w:rsid w:val="000E18C1"/>
    <w:rsid w:val="00246732"/>
    <w:rsid w:val="004327E9"/>
    <w:rsid w:val="00983688"/>
    <w:rsid w:val="00EE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08DD"/>
  <w15:chartTrackingRefBased/>
  <w15:docId w15:val="{B8541A83-42A4-42CA-ACD5-D239628D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2025-11-17T06:07:00Z</dcterms:created>
  <dcterms:modified xsi:type="dcterms:W3CDTF">2025-11-17T06:09:00Z</dcterms:modified>
</cp:coreProperties>
</file>