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61694" w14:textId="7FEFB966" w:rsidR="00037743" w:rsidRPr="00037743" w:rsidRDefault="00037743" w:rsidP="00037743">
      <w:pPr>
        <w:pStyle w:val="1"/>
        <w:spacing w:before="0" w:after="0"/>
        <w:jc w:val="center"/>
        <w:rPr>
          <w:rFonts w:ascii="Times New Roman" w:hAnsi="Times New Roman"/>
          <w:bCs w:val="0"/>
          <w:color w:val="000000"/>
          <w:sz w:val="24"/>
          <w:szCs w:val="24"/>
        </w:rPr>
      </w:pPr>
      <w:bookmarkStart w:id="0" w:name="_Toc223521130"/>
      <w:bookmarkStart w:id="1" w:name="_Hlk209605649"/>
      <w:r w:rsidRPr="00037743">
        <w:rPr>
          <w:rFonts w:ascii="Times New Roman" w:hAnsi="Times New Roman"/>
          <w:bCs w:val="0"/>
          <w:color w:val="000000"/>
          <w:sz w:val="24"/>
          <w:szCs w:val="24"/>
        </w:rPr>
        <w:t>КРАТКОЕ НЕТЕХНИЧЕСКОЕ РЕЗЮМЕ</w:t>
      </w:r>
      <w:bookmarkEnd w:id="0"/>
    </w:p>
    <w:p w14:paraId="45372DAC" w14:textId="77777777" w:rsidR="003B0C66" w:rsidRDefault="003B0C66" w:rsidP="003B0C66">
      <w:pPr>
        <w:pStyle w:val="2"/>
        <w:ind w:left="707" w:right="285"/>
        <w:jc w:val="center"/>
      </w:pPr>
      <w:r>
        <w:t>РАЗДЕЛ</w:t>
      </w:r>
      <w:r>
        <w:rPr>
          <w:spacing w:val="-13"/>
        </w:rPr>
        <w:t xml:space="preserve"> </w:t>
      </w:r>
      <w:r>
        <w:t>ОХРАНА</w:t>
      </w:r>
      <w:r>
        <w:rPr>
          <w:spacing w:val="-11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rPr>
          <w:spacing w:val="-2"/>
        </w:rPr>
        <w:t>СРЕДЫ</w:t>
      </w:r>
    </w:p>
    <w:p w14:paraId="70DFFB6B" w14:textId="77777777" w:rsidR="003B0C66" w:rsidRDefault="003B0C66" w:rsidP="003B0C66">
      <w:pPr>
        <w:pStyle w:val="a6"/>
        <w:spacing w:before="3"/>
        <w:rPr>
          <w:b/>
        </w:rPr>
      </w:pPr>
    </w:p>
    <w:p w14:paraId="5BBD3334" w14:textId="77777777" w:rsidR="003B0C66" w:rsidRDefault="003B0C66" w:rsidP="003B0C66">
      <w:pPr>
        <w:ind w:left="590" w:firstLine="1235"/>
        <w:rPr>
          <w:b/>
          <w:sz w:val="26"/>
        </w:rPr>
      </w:pPr>
      <w:r>
        <w:rPr>
          <w:b/>
          <w:sz w:val="26"/>
        </w:rPr>
        <w:t>к рабочему проекту «Строительство (удлинение) не менее 2-х приемоотправочных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путей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полезной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длиной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1650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метров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станции</w:t>
      </w:r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Айса</w:t>
      </w:r>
      <w:proofErr w:type="spellEnd"/>
      <w:r>
        <w:rPr>
          <w:b/>
          <w:sz w:val="26"/>
        </w:rPr>
        <w:t>».</w:t>
      </w:r>
    </w:p>
    <w:p w14:paraId="04622B22" w14:textId="77777777" w:rsidR="003B0C66" w:rsidRDefault="003B0C66" w:rsidP="003B0C66">
      <w:pPr>
        <w:spacing w:before="297"/>
        <w:ind w:left="711" w:right="285"/>
        <w:jc w:val="center"/>
        <w:rPr>
          <w:b/>
          <w:sz w:val="26"/>
        </w:rPr>
      </w:pPr>
      <w:r>
        <w:rPr>
          <w:b/>
          <w:sz w:val="26"/>
        </w:rPr>
        <w:t>Заказчик: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Акционерное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общество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"Национальная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компания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"</w:t>
      </w:r>
      <w:proofErr w:type="spellStart"/>
      <w:r>
        <w:rPr>
          <w:b/>
          <w:spacing w:val="-2"/>
          <w:sz w:val="26"/>
        </w:rPr>
        <w:t>Казакстан</w:t>
      </w:r>
      <w:proofErr w:type="spellEnd"/>
    </w:p>
    <w:p w14:paraId="451D77A4" w14:textId="77777777" w:rsidR="003B0C66" w:rsidRDefault="003B0C66" w:rsidP="003B0C66">
      <w:pPr>
        <w:spacing w:before="1"/>
        <w:ind w:left="4346"/>
        <w:rPr>
          <w:b/>
          <w:sz w:val="26"/>
        </w:rPr>
      </w:pPr>
      <w:proofErr w:type="spellStart"/>
      <w:r>
        <w:rPr>
          <w:b/>
          <w:sz w:val="26"/>
        </w:rPr>
        <w:t>темі</w:t>
      </w:r>
      <w:proofErr w:type="gramStart"/>
      <w:r>
        <w:rPr>
          <w:b/>
          <w:sz w:val="26"/>
        </w:rPr>
        <w:t>р</w:t>
      </w:r>
      <w:proofErr w:type="spellEnd"/>
      <w:proofErr w:type="gramEnd"/>
      <w:r>
        <w:rPr>
          <w:b/>
          <w:spacing w:val="-10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жолы</w:t>
      </w:r>
      <w:proofErr w:type="spellEnd"/>
      <w:r>
        <w:rPr>
          <w:b/>
          <w:spacing w:val="-2"/>
          <w:sz w:val="26"/>
        </w:rPr>
        <w:t>"</w:t>
      </w:r>
    </w:p>
    <w:p w14:paraId="2AA87D36" w14:textId="77777777" w:rsidR="00037743" w:rsidRPr="003B0C66" w:rsidRDefault="00037743" w:rsidP="00037743">
      <w:pPr>
        <w:rPr>
          <w:sz w:val="24"/>
          <w:szCs w:val="24"/>
        </w:rPr>
      </w:pPr>
    </w:p>
    <w:p w14:paraId="67B2407F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bookmarkStart w:id="2" w:name="_GoBack"/>
      <w:r w:rsidRPr="003B0C66">
        <w:rPr>
          <w:color w:val="000000"/>
          <w:sz w:val="24"/>
          <w:szCs w:val="24"/>
        </w:rPr>
        <w:t>На период строительства происходит временное загрязнение окружающей среды выбросами машин и механизмов, работающих на стройплощадке.</w:t>
      </w:r>
    </w:p>
    <w:p w14:paraId="3C6133A9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Источники выделения загрязняющих веществ носят неорганизованный временный характер негативного воздействия на окружающую среду.</w:t>
      </w:r>
    </w:p>
    <w:p w14:paraId="7807A6F8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Рассматриваемый объект на период строительства представлен одним неорганизованным источником выбросов загрязняющих веществ.</w:t>
      </w:r>
    </w:p>
    <w:p w14:paraId="589D6A5C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 xml:space="preserve">В выбросах временных источников содержится 27 индивидуальных компонента загрязняющих веществ: Железо (II, III) оксиды, марганец и его соединения, олово оксид (в пересчете на олово), свинец и его </w:t>
      </w:r>
      <w:proofErr w:type="spellStart"/>
      <w:r w:rsidRPr="003B0C66">
        <w:rPr>
          <w:color w:val="000000"/>
          <w:sz w:val="24"/>
          <w:szCs w:val="24"/>
        </w:rPr>
        <w:t>неорг</w:t>
      </w:r>
      <w:proofErr w:type="spellEnd"/>
      <w:r w:rsidRPr="003B0C66">
        <w:rPr>
          <w:color w:val="000000"/>
          <w:sz w:val="24"/>
          <w:szCs w:val="24"/>
        </w:rPr>
        <w:t xml:space="preserve">. соединения, азота (IV) диоксид, азот (II) оксид, углерод (сажа), сера диоксид, углерод оксид, фтористые газообразные соединения, фториды неорганические плохо растворимые, </w:t>
      </w:r>
      <w:proofErr w:type="spellStart"/>
      <w:r w:rsidRPr="003B0C66">
        <w:rPr>
          <w:color w:val="000000"/>
          <w:sz w:val="24"/>
          <w:szCs w:val="24"/>
        </w:rPr>
        <w:t>диметилбензол</w:t>
      </w:r>
      <w:proofErr w:type="spellEnd"/>
      <w:r w:rsidRPr="003B0C66">
        <w:rPr>
          <w:color w:val="000000"/>
          <w:sz w:val="24"/>
          <w:szCs w:val="24"/>
        </w:rPr>
        <w:t xml:space="preserve"> (смесь – о, </w:t>
      </w:r>
      <w:proofErr w:type="gramStart"/>
      <w:r w:rsidRPr="003B0C66">
        <w:rPr>
          <w:color w:val="000000"/>
          <w:sz w:val="24"/>
          <w:szCs w:val="24"/>
        </w:rPr>
        <w:t>-м</w:t>
      </w:r>
      <w:proofErr w:type="gramEnd"/>
      <w:r w:rsidRPr="003B0C66">
        <w:rPr>
          <w:color w:val="000000"/>
          <w:sz w:val="24"/>
          <w:szCs w:val="24"/>
        </w:rPr>
        <w:t xml:space="preserve">, -п изомеров), метилбензол (Толуол), </w:t>
      </w:r>
      <w:proofErr w:type="spellStart"/>
      <w:r w:rsidRPr="003B0C66">
        <w:rPr>
          <w:color w:val="000000"/>
          <w:sz w:val="24"/>
          <w:szCs w:val="24"/>
        </w:rPr>
        <w:t>бенз</w:t>
      </w:r>
      <w:proofErr w:type="spellEnd"/>
      <w:r w:rsidRPr="003B0C66">
        <w:rPr>
          <w:color w:val="000000"/>
          <w:sz w:val="24"/>
          <w:szCs w:val="24"/>
        </w:rPr>
        <w:t>(а)</w:t>
      </w:r>
      <w:proofErr w:type="spellStart"/>
      <w:r w:rsidRPr="003B0C66">
        <w:rPr>
          <w:color w:val="000000"/>
          <w:sz w:val="24"/>
          <w:szCs w:val="24"/>
        </w:rPr>
        <w:t>пирен</w:t>
      </w:r>
      <w:proofErr w:type="spellEnd"/>
      <w:r w:rsidRPr="003B0C66">
        <w:rPr>
          <w:color w:val="000000"/>
          <w:sz w:val="24"/>
          <w:szCs w:val="24"/>
        </w:rPr>
        <w:t xml:space="preserve">, Бутан-1-ол (Спирт н-бутиловый), этанол (Спирт этиловый), 2- </w:t>
      </w:r>
      <w:proofErr w:type="spellStart"/>
      <w:r w:rsidRPr="003B0C66">
        <w:rPr>
          <w:color w:val="000000"/>
          <w:sz w:val="24"/>
          <w:szCs w:val="24"/>
        </w:rPr>
        <w:t>Этоксиэтанол</w:t>
      </w:r>
      <w:proofErr w:type="spellEnd"/>
      <w:r w:rsidRPr="003B0C66">
        <w:rPr>
          <w:color w:val="000000"/>
          <w:sz w:val="24"/>
          <w:szCs w:val="24"/>
        </w:rPr>
        <w:t xml:space="preserve">, </w:t>
      </w:r>
      <w:proofErr w:type="spellStart"/>
      <w:r w:rsidRPr="003B0C66">
        <w:rPr>
          <w:color w:val="000000"/>
          <w:sz w:val="24"/>
          <w:szCs w:val="24"/>
        </w:rPr>
        <w:t>бутилацетат</w:t>
      </w:r>
      <w:proofErr w:type="spellEnd"/>
      <w:r w:rsidRPr="003B0C66">
        <w:rPr>
          <w:color w:val="000000"/>
          <w:sz w:val="24"/>
          <w:szCs w:val="24"/>
        </w:rPr>
        <w:t xml:space="preserve">, формальдегид, пропан-2-он (ацетон), </w:t>
      </w:r>
      <w:proofErr w:type="spellStart"/>
      <w:r w:rsidRPr="003B0C66">
        <w:rPr>
          <w:color w:val="000000"/>
          <w:sz w:val="24"/>
          <w:szCs w:val="24"/>
        </w:rPr>
        <w:t>уайт</w:t>
      </w:r>
      <w:proofErr w:type="spellEnd"/>
      <w:r w:rsidRPr="003B0C66">
        <w:rPr>
          <w:color w:val="000000"/>
          <w:sz w:val="24"/>
          <w:szCs w:val="24"/>
        </w:rPr>
        <w:t>-спирит, углеводороды предельные С12-С19, взвешенные частицы, пыль неорганическая SiO2 70-20%, пыль абразивная.</w:t>
      </w:r>
    </w:p>
    <w:p w14:paraId="2A06256A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Валовый выброс ЗВ – 0,19963301 т/год.</w:t>
      </w:r>
    </w:p>
    <w:p w14:paraId="48D60CC1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Валовый выброс от автотранспорта не учитывается, выбросы оплачиваются по фактическому объёму сожженного топлива, максимально-разовый выброс же включён в расчёт рассевания, чтобы оценить воздействие объекта в целом на ОС.</w:t>
      </w:r>
    </w:p>
    <w:p w14:paraId="56B41942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Сумма платежей на период строительно-монтажных работ составит 12 762</w:t>
      </w:r>
    </w:p>
    <w:p w14:paraId="5639EE50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тенге.</w:t>
      </w:r>
    </w:p>
    <w:p w14:paraId="07785E24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В</w:t>
      </w:r>
      <w:r w:rsidRPr="003B0C66">
        <w:rPr>
          <w:color w:val="000000"/>
          <w:sz w:val="24"/>
          <w:szCs w:val="24"/>
        </w:rPr>
        <w:tab/>
        <w:t>период</w:t>
      </w:r>
      <w:r w:rsidRPr="003B0C66">
        <w:rPr>
          <w:color w:val="000000"/>
          <w:sz w:val="24"/>
          <w:szCs w:val="24"/>
        </w:rPr>
        <w:tab/>
        <w:t>проведения</w:t>
      </w:r>
      <w:r w:rsidRPr="003B0C66">
        <w:rPr>
          <w:color w:val="000000"/>
          <w:sz w:val="24"/>
          <w:szCs w:val="24"/>
        </w:rPr>
        <w:tab/>
        <w:t>строительно-монтажных</w:t>
      </w:r>
      <w:r w:rsidRPr="003B0C66">
        <w:rPr>
          <w:color w:val="000000"/>
          <w:sz w:val="24"/>
          <w:szCs w:val="24"/>
        </w:rPr>
        <w:tab/>
        <w:t>работ</w:t>
      </w:r>
      <w:r w:rsidRPr="003B0C66">
        <w:rPr>
          <w:color w:val="000000"/>
          <w:sz w:val="24"/>
          <w:szCs w:val="24"/>
        </w:rPr>
        <w:tab/>
        <w:t>проектируемого</w:t>
      </w:r>
    </w:p>
    <w:p w14:paraId="2FC02DD9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объекта образуются:</w:t>
      </w:r>
    </w:p>
    <w:p w14:paraId="7AAB9C18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строительные отходы бетона – 0,45 т;</w:t>
      </w:r>
    </w:p>
    <w:p w14:paraId="249042C0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загрязненная упаковочная тара из-под ЛКМ – 0,026 т;</w:t>
      </w:r>
    </w:p>
    <w:p w14:paraId="4D5D874E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отходы от сварки – 0,003 т;</w:t>
      </w:r>
    </w:p>
    <w:p w14:paraId="181CA716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твердые бытовые (коммунальные) отходы – 0,69 т.</w:t>
      </w:r>
    </w:p>
    <w:p w14:paraId="1E42B21D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Общее количество отходов производства и потребления на период СМР составит 1,169 тонн, из них опасных 0,026 т/год, не опасных 1,143 т/год.</w:t>
      </w:r>
    </w:p>
    <w:p w14:paraId="7FB7C212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 xml:space="preserve">Проектируемые работы не попадают в </w:t>
      </w:r>
      <w:proofErr w:type="spellStart"/>
      <w:r w:rsidRPr="003B0C66">
        <w:rPr>
          <w:color w:val="000000"/>
          <w:sz w:val="24"/>
          <w:szCs w:val="24"/>
        </w:rPr>
        <w:t>водоохранную</w:t>
      </w:r>
      <w:proofErr w:type="spellEnd"/>
      <w:r w:rsidRPr="003B0C66">
        <w:rPr>
          <w:color w:val="000000"/>
          <w:sz w:val="24"/>
          <w:szCs w:val="24"/>
        </w:rPr>
        <w:t xml:space="preserve"> зону, ближайший водный объект находится на расстоянии 1140 м.</w:t>
      </w:r>
    </w:p>
    <w:p w14:paraId="479D2DF1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Ближайшая жилая зона от площадки СМР располагается на расстоянии 105</w:t>
      </w:r>
    </w:p>
    <w:p w14:paraId="73F844B3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м.</w:t>
      </w:r>
    </w:p>
    <w:p w14:paraId="1670722D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Начало строительства – июнь 2026 года. Продолжительность строительства: 8 месяцев.</w:t>
      </w:r>
    </w:p>
    <w:p w14:paraId="72D8F898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Численность работающих на период строительства – 14 человек. Вырубка и пересадка зеленых насаждений проектом не предусмотрена.</w:t>
      </w:r>
    </w:p>
    <w:p w14:paraId="08C5CDAB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Согласно пп.5.4 п. 5 раздел. 2 Приложение 2 Экологического Кодекса РК</w:t>
      </w:r>
    </w:p>
    <w:p w14:paraId="276FC2B5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 xml:space="preserve">(далее – Кодекс) от 2 января 2021 года №400-VI ЗРК, «Строительство (удлинение) не менее 2-х приемоотправочных путей полезной длиной 1650 метров на станции </w:t>
      </w:r>
      <w:proofErr w:type="spellStart"/>
      <w:r w:rsidRPr="003B0C66">
        <w:rPr>
          <w:color w:val="000000"/>
          <w:sz w:val="24"/>
          <w:szCs w:val="24"/>
        </w:rPr>
        <w:t>Айса</w:t>
      </w:r>
      <w:proofErr w:type="spellEnd"/>
      <w:r w:rsidRPr="003B0C66">
        <w:rPr>
          <w:color w:val="000000"/>
          <w:sz w:val="24"/>
          <w:szCs w:val="24"/>
        </w:rPr>
        <w:t>» относится к объектам II категории (объекты инфраструктуры железнодорожного транспорта).</w:t>
      </w:r>
    </w:p>
    <w:p w14:paraId="058D6C54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Объекты   II   категорий   подлежат   обязательной   государственной</w:t>
      </w:r>
    </w:p>
    <w:p w14:paraId="1D818C70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  <w:sectPr w:rsidR="003B0C66" w:rsidRPr="003B0C66">
          <w:pgSz w:w="11910" w:h="16840"/>
          <w:pgMar w:top="540" w:right="425" w:bottom="640" w:left="992" w:header="293" w:footer="447" w:gutter="0"/>
          <w:cols w:space="720"/>
        </w:sectPr>
      </w:pPr>
    </w:p>
    <w:p w14:paraId="0DF567D4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lastRenderedPageBreak/>
        <w:t>экологической экспертизе согласно п. 1) ст. 87 Кодекса и получения экологических разрешений на воздействия согласно ст.122 Кодекса.</w:t>
      </w:r>
    </w:p>
    <w:p w14:paraId="1A9CD9E7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Согласно п.1) п.2 ст. 88 Кодекса - Государственная экологическая экспертиза организуется и проводится местными исполнительными органами областей, городов республиканского значения, столицы в отношении: проектной документации по строительству и (или) эксплуатации объектов II категории в рамках процедуры выдачи экологических разрешений на воздействие.</w:t>
      </w:r>
    </w:p>
    <w:p w14:paraId="0E603B01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 xml:space="preserve">Согласно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</w:t>
      </w:r>
      <w:proofErr w:type="spellStart"/>
      <w:r w:rsidRPr="003B0C66">
        <w:rPr>
          <w:color w:val="000000"/>
          <w:sz w:val="24"/>
          <w:szCs w:val="24"/>
        </w:rPr>
        <w:t>человека»</w:t>
      </w:r>
      <w:proofErr w:type="gramStart"/>
      <w:r w:rsidRPr="003B0C66">
        <w:rPr>
          <w:color w:val="000000"/>
          <w:sz w:val="24"/>
          <w:szCs w:val="24"/>
        </w:rPr>
        <w:t>,у</w:t>
      </w:r>
      <w:proofErr w:type="gramEnd"/>
      <w:r w:rsidRPr="003B0C66">
        <w:rPr>
          <w:color w:val="000000"/>
          <w:sz w:val="24"/>
          <w:szCs w:val="24"/>
        </w:rPr>
        <w:t>тверждённых</w:t>
      </w:r>
      <w:proofErr w:type="spellEnd"/>
      <w:r w:rsidRPr="003B0C66">
        <w:rPr>
          <w:color w:val="000000"/>
          <w:sz w:val="24"/>
          <w:szCs w:val="24"/>
        </w:rPr>
        <w:t xml:space="preserve"> приказом </w:t>
      </w:r>
      <w:proofErr w:type="spellStart"/>
      <w:r w:rsidRPr="003B0C66">
        <w:rPr>
          <w:color w:val="000000"/>
          <w:sz w:val="24"/>
          <w:szCs w:val="24"/>
        </w:rPr>
        <w:t>и.о</w:t>
      </w:r>
      <w:proofErr w:type="spellEnd"/>
      <w:r w:rsidRPr="003B0C66">
        <w:rPr>
          <w:color w:val="000000"/>
          <w:sz w:val="24"/>
          <w:szCs w:val="24"/>
        </w:rPr>
        <w:t>. Министра здравоохранения Республики Казахстан от 11 января 2022 года № ҚР ДСМ-2,  СЗЗ на строительно-монтажные работы не устанавливается, так как вид деятельности не относится к классам опасности.</w:t>
      </w:r>
    </w:p>
    <w:p w14:paraId="1CC43ECD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 xml:space="preserve">Санитарно-защитная зона вдоль железнодорожной линии согласно пункту 9, приложения 2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человека», утвержденных приказом </w:t>
      </w:r>
      <w:proofErr w:type="spellStart"/>
      <w:r w:rsidRPr="003B0C66">
        <w:rPr>
          <w:color w:val="000000"/>
          <w:sz w:val="24"/>
          <w:szCs w:val="24"/>
        </w:rPr>
        <w:t>и.о</w:t>
      </w:r>
      <w:proofErr w:type="spellEnd"/>
      <w:r w:rsidRPr="003B0C66">
        <w:rPr>
          <w:color w:val="000000"/>
          <w:sz w:val="24"/>
          <w:szCs w:val="24"/>
        </w:rPr>
        <w:t>. Министра здравоохранения Республики Казахстан от 11 января 2022 года № Қ</w:t>
      </w:r>
      <w:proofErr w:type="gramStart"/>
      <w:r w:rsidRPr="003B0C66">
        <w:rPr>
          <w:color w:val="000000"/>
          <w:sz w:val="24"/>
          <w:szCs w:val="24"/>
        </w:rPr>
        <w:t>Р</w:t>
      </w:r>
      <w:proofErr w:type="gramEnd"/>
      <w:r w:rsidRPr="003B0C66">
        <w:rPr>
          <w:color w:val="000000"/>
          <w:sz w:val="24"/>
          <w:szCs w:val="24"/>
        </w:rPr>
        <w:t xml:space="preserve"> ДСМ-2 составляет – 100 м.</w:t>
      </w:r>
    </w:p>
    <w:p w14:paraId="1BE2A9EB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Принятые проектные решения</w:t>
      </w:r>
    </w:p>
    <w:p w14:paraId="619D59A9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</w:p>
    <w:p w14:paraId="6C85988F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Исходя из существующих условий эксплуатации и имеющихся сооружений с учетом уклона продольного профиля, проектом предусмотрено строительство 2-х путей с полезной длиной 1650 метров.</w:t>
      </w:r>
    </w:p>
    <w:p w14:paraId="5C3AA2EE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Основные технические параметры при проектировании даны в таблице 1.3.1.</w:t>
      </w:r>
    </w:p>
    <w:bookmarkEnd w:id="2"/>
    <w:p w14:paraId="50895D66" w14:textId="77777777" w:rsidR="003B0C66" w:rsidRDefault="003B0C66" w:rsidP="003B0C66">
      <w:pPr>
        <w:spacing w:line="275" w:lineRule="exact"/>
        <w:ind w:left="8317"/>
        <w:jc w:val="both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1.3.1</w:t>
      </w:r>
    </w:p>
    <w:tbl>
      <w:tblPr>
        <w:tblStyle w:val="TableNormal"/>
        <w:tblW w:w="0" w:type="auto"/>
        <w:tblInd w:w="5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011"/>
        <w:gridCol w:w="943"/>
        <w:gridCol w:w="1738"/>
        <w:gridCol w:w="2424"/>
      </w:tblGrid>
      <w:tr w:rsidR="003B0C66" w14:paraId="3AE3CC10" w14:textId="77777777" w:rsidTr="00211F85">
        <w:trPr>
          <w:trHeight w:val="270"/>
        </w:trPr>
        <w:tc>
          <w:tcPr>
            <w:tcW w:w="710" w:type="dxa"/>
          </w:tcPr>
          <w:p w14:paraId="40D10332" w14:textId="77777777" w:rsidR="003B0C66" w:rsidRDefault="003B0C66" w:rsidP="00211F85">
            <w:pPr>
              <w:pStyle w:val="TableParagraph"/>
              <w:spacing w:line="251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11" w:type="dxa"/>
          </w:tcPr>
          <w:p w14:paraId="2D7479A5" w14:textId="77777777" w:rsidR="003B0C66" w:rsidRDefault="003B0C66" w:rsidP="00211F85">
            <w:pPr>
              <w:pStyle w:val="TableParagraph"/>
              <w:spacing w:line="251" w:lineRule="exact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параметров</w:t>
            </w:r>
            <w:proofErr w:type="spellEnd"/>
          </w:p>
        </w:tc>
        <w:tc>
          <w:tcPr>
            <w:tcW w:w="943" w:type="dxa"/>
          </w:tcPr>
          <w:p w14:paraId="686B78AB" w14:textId="77777777" w:rsidR="003B0C66" w:rsidRDefault="003B0C66" w:rsidP="00211F85">
            <w:pPr>
              <w:pStyle w:val="TableParagraph"/>
              <w:spacing w:line="251" w:lineRule="exact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Ед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738" w:type="dxa"/>
          </w:tcPr>
          <w:p w14:paraId="7E012E21" w14:textId="77777777" w:rsidR="003B0C66" w:rsidRDefault="003B0C66" w:rsidP="00211F85">
            <w:pPr>
              <w:pStyle w:val="TableParagraph"/>
              <w:spacing w:line="251" w:lineRule="exact"/>
              <w:ind w:left="11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</w:tc>
        <w:tc>
          <w:tcPr>
            <w:tcW w:w="2424" w:type="dxa"/>
          </w:tcPr>
          <w:p w14:paraId="0E53AB6A" w14:textId="77777777" w:rsidR="003B0C66" w:rsidRDefault="003B0C66" w:rsidP="00211F85">
            <w:pPr>
              <w:pStyle w:val="TableParagraph"/>
              <w:spacing w:line="251" w:lineRule="exact"/>
              <w:ind w:left="11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Обоснование</w:t>
            </w:r>
            <w:proofErr w:type="spellEnd"/>
          </w:p>
        </w:tc>
      </w:tr>
      <w:tr w:rsidR="003B0C66" w14:paraId="1C53D665" w14:textId="77777777" w:rsidTr="00211F85">
        <w:trPr>
          <w:trHeight w:val="1101"/>
        </w:trPr>
        <w:tc>
          <w:tcPr>
            <w:tcW w:w="710" w:type="dxa"/>
          </w:tcPr>
          <w:p w14:paraId="50185163" w14:textId="77777777" w:rsidR="003B0C66" w:rsidRDefault="003B0C66" w:rsidP="00211F85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1" w:type="dxa"/>
          </w:tcPr>
          <w:p w14:paraId="4FF7190F" w14:textId="77777777" w:rsidR="003B0C66" w:rsidRPr="003B0C66" w:rsidRDefault="003B0C66" w:rsidP="00211F85">
            <w:pPr>
              <w:pStyle w:val="TableParagraph"/>
              <w:spacing w:before="3" w:line="237" w:lineRule="auto"/>
              <w:ind w:left="110" w:right="206"/>
              <w:jc w:val="left"/>
              <w:rPr>
                <w:sz w:val="24"/>
                <w:lang w:val="ru-RU"/>
              </w:rPr>
            </w:pPr>
            <w:r w:rsidRPr="003B0C66">
              <w:rPr>
                <w:sz w:val="24"/>
                <w:lang w:val="ru-RU"/>
              </w:rPr>
              <w:t>Протяженность ж/д пути (граница проектирования</w:t>
            </w:r>
            <w:r w:rsidRPr="003B0C66">
              <w:rPr>
                <w:spacing w:val="-9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ПК</w:t>
            </w:r>
            <w:proofErr w:type="gramStart"/>
            <w:r w:rsidRPr="003B0C66">
              <w:rPr>
                <w:sz w:val="24"/>
                <w:lang w:val="ru-RU"/>
              </w:rPr>
              <w:t>0</w:t>
            </w:r>
            <w:proofErr w:type="gramEnd"/>
            <w:r w:rsidRPr="003B0C66">
              <w:rPr>
                <w:sz w:val="24"/>
                <w:lang w:val="ru-RU"/>
              </w:rPr>
              <w:t>+00,00</w:t>
            </w:r>
            <w:r w:rsidRPr="003B0C66">
              <w:rPr>
                <w:spacing w:val="-8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(от</w:t>
            </w:r>
            <w:r w:rsidRPr="003B0C66">
              <w:rPr>
                <w:spacing w:val="32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оси ПЗ</w:t>
            </w:r>
            <w:r w:rsidRPr="003B0C66">
              <w:rPr>
                <w:spacing w:val="-3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1452,00)</w:t>
            </w:r>
            <w:r w:rsidRPr="003B0C66">
              <w:rPr>
                <w:spacing w:val="-2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ПК17+85,10</w:t>
            </w:r>
            <w:r w:rsidRPr="003B0C66">
              <w:rPr>
                <w:spacing w:val="-3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(от</w:t>
            </w:r>
            <w:r w:rsidRPr="003B0C66">
              <w:rPr>
                <w:spacing w:val="22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 xml:space="preserve">оси </w:t>
            </w:r>
            <w:r w:rsidRPr="003B0C66">
              <w:rPr>
                <w:spacing w:val="-5"/>
                <w:sz w:val="24"/>
                <w:lang w:val="ru-RU"/>
              </w:rPr>
              <w:t>ПЗ</w:t>
            </w:r>
          </w:p>
          <w:p w14:paraId="558922F9" w14:textId="77777777" w:rsidR="003B0C66" w:rsidRDefault="003B0C66" w:rsidP="00211F85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358,00)</w:t>
            </w:r>
          </w:p>
        </w:tc>
        <w:tc>
          <w:tcPr>
            <w:tcW w:w="943" w:type="dxa"/>
          </w:tcPr>
          <w:p w14:paraId="090F9216" w14:textId="77777777" w:rsidR="003B0C66" w:rsidRDefault="003B0C66" w:rsidP="00211F85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738" w:type="dxa"/>
          </w:tcPr>
          <w:p w14:paraId="3564117C" w14:textId="77777777" w:rsidR="003B0C66" w:rsidRDefault="003B0C66" w:rsidP="00211F85">
            <w:pPr>
              <w:pStyle w:val="TableParagraph"/>
              <w:spacing w:before="1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1785,0</w:t>
            </w:r>
          </w:p>
        </w:tc>
        <w:tc>
          <w:tcPr>
            <w:tcW w:w="2424" w:type="dxa"/>
          </w:tcPr>
          <w:p w14:paraId="5AFFA46D" w14:textId="77777777" w:rsidR="003B0C66" w:rsidRDefault="003B0C66" w:rsidP="00211F85">
            <w:pPr>
              <w:pStyle w:val="TableParagraph"/>
              <w:jc w:val="left"/>
              <w:rPr>
                <w:sz w:val="24"/>
              </w:rPr>
            </w:pPr>
          </w:p>
        </w:tc>
      </w:tr>
      <w:tr w:rsidR="003B0C66" w14:paraId="6B7E0542" w14:textId="77777777" w:rsidTr="00211F85">
        <w:trPr>
          <w:trHeight w:val="272"/>
        </w:trPr>
        <w:tc>
          <w:tcPr>
            <w:tcW w:w="710" w:type="dxa"/>
          </w:tcPr>
          <w:p w14:paraId="5754B0A4" w14:textId="77777777" w:rsidR="003B0C66" w:rsidRDefault="003B0C66" w:rsidP="00211F85"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1" w:type="dxa"/>
          </w:tcPr>
          <w:p w14:paraId="67095626" w14:textId="77777777" w:rsidR="003B0C66" w:rsidRPr="003B0C66" w:rsidRDefault="003B0C66" w:rsidP="00211F85">
            <w:pPr>
              <w:pStyle w:val="TableParagraph"/>
              <w:spacing w:line="253" w:lineRule="exact"/>
              <w:ind w:left="110"/>
              <w:jc w:val="left"/>
              <w:rPr>
                <w:sz w:val="24"/>
                <w:lang w:val="ru-RU"/>
              </w:rPr>
            </w:pPr>
            <w:r w:rsidRPr="003B0C66">
              <w:rPr>
                <w:sz w:val="24"/>
                <w:lang w:val="ru-RU"/>
              </w:rPr>
              <w:t>Категория</w:t>
            </w:r>
            <w:r w:rsidRPr="003B0C6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B0C66">
              <w:rPr>
                <w:sz w:val="24"/>
                <w:lang w:val="ru-RU"/>
              </w:rPr>
              <w:t>сущ.</w:t>
            </w:r>
            <w:r w:rsidRPr="003B0C66">
              <w:rPr>
                <w:spacing w:val="-9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ж</w:t>
            </w:r>
            <w:proofErr w:type="gramEnd"/>
            <w:r w:rsidRPr="003B0C66">
              <w:rPr>
                <w:sz w:val="24"/>
                <w:lang w:val="ru-RU"/>
              </w:rPr>
              <w:t>/д</w:t>
            </w:r>
            <w:r w:rsidRPr="003B0C66">
              <w:rPr>
                <w:spacing w:val="-8"/>
                <w:sz w:val="24"/>
                <w:lang w:val="ru-RU"/>
              </w:rPr>
              <w:t xml:space="preserve"> </w:t>
            </w:r>
            <w:r w:rsidRPr="003B0C66">
              <w:rPr>
                <w:spacing w:val="-4"/>
                <w:sz w:val="24"/>
                <w:lang w:val="ru-RU"/>
              </w:rPr>
              <w:t>путей</w:t>
            </w:r>
          </w:p>
        </w:tc>
        <w:tc>
          <w:tcPr>
            <w:tcW w:w="943" w:type="dxa"/>
          </w:tcPr>
          <w:p w14:paraId="6C3AD016" w14:textId="77777777" w:rsidR="003B0C66" w:rsidRDefault="003B0C66" w:rsidP="00211F85"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кат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738" w:type="dxa"/>
          </w:tcPr>
          <w:p w14:paraId="274DC57E" w14:textId="77777777" w:rsidR="003B0C66" w:rsidRDefault="003B0C66" w:rsidP="00211F85">
            <w:pPr>
              <w:pStyle w:val="TableParagraph"/>
              <w:spacing w:line="253" w:lineRule="exact"/>
              <w:ind w:left="11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2424" w:type="dxa"/>
          </w:tcPr>
          <w:p w14:paraId="6D9E4305" w14:textId="77777777" w:rsidR="003B0C66" w:rsidRDefault="003B0C66" w:rsidP="00211F85">
            <w:pPr>
              <w:pStyle w:val="TableParagraph"/>
              <w:spacing w:line="253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3.03-114-</w:t>
            </w:r>
            <w:r>
              <w:rPr>
                <w:spacing w:val="-4"/>
                <w:sz w:val="24"/>
              </w:rPr>
              <w:t>2014</w:t>
            </w:r>
          </w:p>
        </w:tc>
      </w:tr>
      <w:tr w:rsidR="003B0C66" w14:paraId="36655C44" w14:textId="77777777" w:rsidTr="00211F85">
        <w:trPr>
          <w:trHeight w:val="270"/>
        </w:trPr>
        <w:tc>
          <w:tcPr>
            <w:tcW w:w="710" w:type="dxa"/>
          </w:tcPr>
          <w:p w14:paraId="5C9CAB49" w14:textId="77777777" w:rsidR="003B0C66" w:rsidRDefault="003B0C66" w:rsidP="00211F85">
            <w:pPr>
              <w:pStyle w:val="TableParagraph"/>
              <w:spacing w:line="251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1" w:type="dxa"/>
          </w:tcPr>
          <w:p w14:paraId="01640888" w14:textId="77777777" w:rsidR="003B0C66" w:rsidRDefault="003B0C66" w:rsidP="00211F85">
            <w:pPr>
              <w:pStyle w:val="TableParagraph"/>
              <w:spacing w:line="251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Максимальный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продольный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уклон</w:t>
            </w:r>
            <w:proofErr w:type="spellEnd"/>
          </w:p>
        </w:tc>
        <w:tc>
          <w:tcPr>
            <w:tcW w:w="943" w:type="dxa"/>
          </w:tcPr>
          <w:p w14:paraId="75A80A4B" w14:textId="77777777" w:rsidR="003B0C66" w:rsidRDefault="003B0C66" w:rsidP="00211F85">
            <w:pPr>
              <w:pStyle w:val="TableParagraph"/>
              <w:spacing w:line="251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738" w:type="dxa"/>
          </w:tcPr>
          <w:p w14:paraId="4A9FC4A0" w14:textId="77777777" w:rsidR="003B0C66" w:rsidRDefault="003B0C66" w:rsidP="00211F85">
            <w:pPr>
              <w:pStyle w:val="TableParagraph"/>
              <w:spacing w:line="251" w:lineRule="exact"/>
              <w:ind w:left="11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24" w:type="dxa"/>
          </w:tcPr>
          <w:p w14:paraId="6E470A5C" w14:textId="77777777" w:rsidR="003B0C66" w:rsidRDefault="003B0C66" w:rsidP="00211F85">
            <w:pPr>
              <w:pStyle w:val="TableParagraph"/>
              <w:spacing w:line="251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3.03-114-</w:t>
            </w:r>
            <w:r>
              <w:rPr>
                <w:spacing w:val="-4"/>
                <w:sz w:val="24"/>
              </w:rPr>
              <w:t>2014</w:t>
            </w:r>
          </w:p>
        </w:tc>
      </w:tr>
      <w:tr w:rsidR="003B0C66" w14:paraId="4E7B3105" w14:textId="77777777" w:rsidTr="00211F85">
        <w:trPr>
          <w:trHeight w:val="270"/>
        </w:trPr>
        <w:tc>
          <w:tcPr>
            <w:tcW w:w="710" w:type="dxa"/>
          </w:tcPr>
          <w:p w14:paraId="69916575" w14:textId="77777777" w:rsidR="003B0C66" w:rsidRDefault="003B0C66" w:rsidP="00211F85">
            <w:pPr>
              <w:pStyle w:val="TableParagraph"/>
              <w:spacing w:line="251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11" w:type="dxa"/>
          </w:tcPr>
          <w:p w14:paraId="09EE21A8" w14:textId="77777777" w:rsidR="003B0C66" w:rsidRDefault="003B0C66" w:rsidP="00211F85">
            <w:pPr>
              <w:pStyle w:val="TableParagraph"/>
              <w:spacing w:line="251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рельсов</w:t>
            </w:r>
            <w:proofErr w:type="spellEnd"/>
          </w:p>
        </w:tc>
        <w:tc>
          <w:tcPr>
            <w:tcW w:w="943" w:type="dxa"/>
          </w:tcPr>
          <w:p w14:paraId="0F8DEFF1" w14:textId="77777777" w:rsidR="003B0C66" w:rsidRDefault="003B0C66" w:rsidP="00211F8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38" w:type="dxa"/>
          </w:tcPr>
          <w:p w14:paraId="533AB615" w14:textId="77777777" w:rsidR="003B0C66" w:rsidRDefault="003B0C66" w:rsidP="00211F85">
            <w:pPr>
              <w:pStyle w:val="TableParagraph"/>
              <w:spacing w:line="251" w:lineRule="exact"/>
              <w:ind w:left="11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Р65</w:t>
            </w:r>
          </w:p>
        </w:tc>
        <w:tc>
          <w:tcPr>
            <w:tcW w:w="2424" w:type="dxa"/>
          </w:tcPr>
          <w:p w14:paraId="0E68330D" w14:textId="77777777" w:rsidR="003B0C66" w:rsidRDefault="003B0C66" w:rsidP="00211F85">
            <w:pPr>
              <w:pStyle w:val="TableParagraph"/>
              <w:jc w:val="left"/>
              <w:rPr>
                <w:sz w:val="20"/>
              </w:rPr>
            </w:pPr>
          </w:p>
        </w:tc>
      </w:tr>
      <w:tr w:rsidR="003B0C66" w14:paraId="0F352A1B" w14:textId="77777777" w:rsidTr="00211F85">
        <w:trPr>
          <w:trHeight w:val="271"/>
        </w:trPr>
        <w:tc>
          <w:tcPr>
            <w:tcW w:w="710" w:type="dxa"/>
          </w:tcPr>
          <w:p w14:paraId="6714689A" w14:textId="77777777" w:rsidR="003B0C66" w:rsidRDefault="003B0C66" w:rsidP="00211F85">
            <w:pPr>
              <w:pStyle w:val="TableParagraph"/>
              <w:spacing w:line="251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11" w:type="dxa"/>
          </w:tcPr>
          <w:p w14:paraId="14FDC958" w14:textId="77777777" w:rsidR="003B0C66" w:rsidRDefault="003B0C66" w:rsidP="00211F85">
            <w:pPr>
              <w:pStyle w:val="TableParagraph"/>
              <w:spacing w:line="251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Эпюра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шпал</w:t>
            </w:r>
            <w:proofErr w:type="spellEnd"/>
          </w:p>
        </w:tc>
        <w:tc>
          <w:tcPr>
            <w:tcW w:w="943" w:type="dxa"/>
          </w:tcPr>
          <w:p w14:paraId="6721EFEF" w14:textId="77777777" w:rsidR="003B0C66" w:rsidRDefault="003B0C66" w:rsidP="00211F85">
            <w:pPr>
              <w:pStyle w:val="TableParagraph"/>
              <w:spacing w:line="251" w:lineRule="exact"/>
              <w:ind w:left="110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км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шт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38" w:type="dxa"/>
          </w:tcPr>
          <w:p w14:paraId="1BFEA228" w14:textId="77777777" w:rsidR="003B0C66" w:rsidRDefault="003B0C66" w:rsidP="00211F85">
            <w:pPr>
              <w:pStyle w:val="TableParagraph"/>
              <w:spacing w:line="251" w:lineRule="exact"/>
              <w:ind w:left="11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1840</w:t>
            </w:r>
          </w:p>
        </w:tc>
        <w:tc>
          <w:tcPr>
            <w:tcW w:w="2424" w:type="dxa"/>
          </w:tcPr>
          <w:p w14:paraId="129F9573" w14:textId="77777777" w:rsidR="003B0C66" w:rsidRDefault="003B0C66" w:rsidP="00211F85">
            <w:pPr>
              <w:pStyle w:val="TableParagraph"/>
              <w:spacing w:line="251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3.03-114-</w:t>
            </w:r>
            <w:r>
              <w:rPr>
                <w:spacing w:val="-4"/>
                <w:sz w:val="24"/>
              </w:rPr>
              <w:t>2014</w:t>
            </w:r>
          </w:p>
        </w:tc>
      </w:tr>
      <w:tr w:rsidR="003B0C66" w14:paraId="503BADA4" w14:textId="77777777" w:rsidTr="00211F85">
        <w:trPr>
          <w:trHeight w:val="546"/>
        </w:trPr>
        <w:tc>
          <w:tcPr>
            <w:tcW w:w="710" w:type="dxa"/>
          </w:tcPr>
          <w:p w14:paraId="059D12AC" w14:textId="77777777" w:rsidR="003B0C66" w:rsidRDefault="003B0C66" w:rsidP="00211F85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11" w:type="dxa"/>
          </w:tcPr>
          <w:p w14:paraId="75E2012F" w14:textId="77777777" w:rsidR="003B0C66" w:rsidRDefault="003B0C66" w:rsidP="00211F85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балласта</w:t>
            </w:r>
            <w:proofErr w:type="spellEnd"/>
          </w:p>
        </w:tc>
        <w:tc>
          <w:tcPr>
            <w:tcW w:w="943" w:type="dxa"/>
          </w:tcPr>
          <w:p w14:paraId="7A546AD2" w14:textId="77777777" w:rsidR="003B0C66" w:rsidRDefault="003B0C66" w:rsidP="00211F8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38" w:type="dxa"/>
          </w:tcPr>
          <w:p w14:paraId="1392F925" w14:textId="77777777" w:rsidR="003B0C66" w:rsidRDefault="003B0C66" w:rsidP="00211F85">
            <w:pPr>
              <w:pStyle w:val="TableParagraph"/>
              <w:spacing w:line="276" w:lineRule="exact"/>
              <w:ind w:left="111" w:right="23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щебеночный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однослойный</w:t>
            </w:r>
            <w:proofErr w:type="spellEnd"/>
          </w:p>
        </w:tc>
        <w:tc>
          <w:tcPr>
            <w:tcW w:w="2424" w:type="dxa"/>
          </w:tcPr>
          <w:p w14:paraId="086CC7DA" w14:textId="77777777" w:rsidR="003B0C66" w:rsidRDefault="003B0C66" w:rsidP="00211F85">
            <w:pPr>
              <w:pStyle w:val="TableParagraph"/>
              <w:spacing w:line="270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7392-</w:t>
            </w:r>
            <w:r>
              <w:rPr>
                <w:spacing w:val="-4"/>
                <w:sz w:val="24"/>
              </w:rPr>
              <w:t>2014</w:t>
            </w:r>
          </w:p>
        </w:tc>
      </w:tr>
      <w:tr w:rsidR="003B0C66" w14:paraId="446FF997" w14:textId="77777777" w:rsidTr="00211F85">
        <w:trPr>
          <w:trHeight w:val="541"/>
        </w:trPr>
        <w:tc>
          <w:tcPr>
            <w:tcW w:w="710" w:type="dxa"/>
          </w:tcPr>
          <w:p w14:paraId="1C81564E" w14:textId="77777777" w:rsidR="003B0C66" w:rsidRDefault="003B0C66" w:rsidP="00211F85"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11" w:type="dxa"/>
          </w:tcPr>
          <w:p w14:paraId="28D8AD21" w14:textId="77777777" w:rsidR="003B0C66" w:rsidRDefault="003B0C66" w:rsidP="00211F85"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Толщина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балласта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шпалой</w:t>
            </w:r>
            <w:proofErr w:type="spellEnd"/>
          </w:p>
        </w:tc>
        <w:tc>
          <w:tcPr>
            <w:tcW w:w="943" w:type="dxa"/>
          </w:tcPr>
          <w:p w14:paraId="1B7686B5" w14:textId="77777777" w:rsidR="003B0C66" w:rsidRDefault="003B0C66" w:rsidP="00211F85"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см</w:t>
            </w:r>
            <w:proofErr w:type="spellEnd"/>
          </w:p>
        </w:tc>
        <w:tc>
          <w:tcPr>
            <w:tcW w:w="1738" w:type="dxa"/>
          </w:tcPr>
          <w:p w14:paraId="2D1A9EAE" w14:textId="77777777" w:rsidR="003B0C66" w:rsidRDefault="003B0C66" w:rsidP="00211F85">
            <w:pPr>
              <w:pStyle w:val="TableParagraph"/>
              <w:spacing w:line="267" w:lineRule="exact"/>
              <w:ind w:left="11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24" w:type="dxa"/>
          </w:tcPr>
          <w:p w14:paraId="71463347" w14:textId="77777777" w:rsidR="003B0C66" w:rsidRDefault="003B0C66" w:rsidP="00211F85">
            <w:pPr>
              <w:pStyle w:val="TableParagraph"/>
              <w:spacing w:line="267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3.03-114-</w:t>
            </w:r>
            <w:r>
              <w:rPr>
                <w:spacing w:val="-4"/>
                <w:sz w:val="24"/>
              </w:rPr>
              <w:t>2014</w:t>
            </w:r>
          </w:p>
          <w:p w14:paraId="2D2A223B" w14:textId="77777777" w:rsidR="003B0C66" w:rsidRDefault="003B0C66" w:rsidP="00211F85">
            <w:pPr>
              <w:pStyle w:val="TableParagraph"/>
              <w:spacing w:before="2" w:line="252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ВСН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56-</w:t>
            </w:r>
            <w:r>
              <w:rPr>
                <w:spacing w:val="-5"/>
                <w:sz w:val="24"/>
              </w:rPr>
              <w:t>78</w:t>
            </w:r>
          </w:p>
        </w:tc>
      </w:tr>
      <w:tr w:rsidR="003B0C66" w14:paraId="31284A4C" w14:textId="77777777" w:rsidTr="00211F85">
        <w:trPr>
          <w:trHeight w:val="824"/>
        </w:trPr>
        <w:tc>
          <w:tcPr>
            <w:tcW w:w="710" w:type="dxa"/>
          </w:tcPr>
          <w:p w14:paraId="16C6ECA0" w14:textId="77777777" w:rsidR="003B0C66" w:rsidRDefault="003B0C66" w:rsidP="00211F85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11" w:type="dxa"/>
          </w:tcPr>
          <w:p w14:paraId="687076A3" w14:textId="77777777" w:rsidR="003B0C66" w:rsidRPr="003B0C66" w:rsidRDefault="003B0C66" w:rsidP="00211F85">
            <w:pPr>
              <w:pStyle w:val="TableParagraph"/>
              <w:spacing w:line="270" w:lineRule="atLeast"/>
              <w:ind w:left="110" w:right="206"/>
              <w:jc w:val="left"/>
              <w:rPr>
                <w:sz w:val="24"/>
                <w:lang w:val="ru-RU"/>
              </w:rPr>
            </w:pPr>
            <w:r w:rsidRPr="003B0C66">
              <w:rPr>
                <w:sz w:val="24"/>
                <w:lang w:val="ru-RU"/>
              </w:rPr>
              <w:t>Расстояние</w:t>
            </w:r>
            <w:r w:rsidRPr="003B0C66">
              <w:rPr>
                <w:spacing w:val="-13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от</w:t>
            </w:r>
            <w:r w:rsidRPr="003B0C66">
              <w:rPr>
                <w:spacing w:val="-11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оси</w:t>
            </w:r>
            <w:r w:rsidRPr="003B0C66">
              <w:rPr>
                <w:spacing w:val="-13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пути</w:t>
            </w:r>
            <w:r w:rsidRPr="003B0C66">
              <w:rPr>
                <w:spacing w:val="-14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до</w:t>
            </w:r>
            <w:r w:rsidRPr="003B0C66">
              <w:rPr>
                <w:spacing w:val="-11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 xml:space="preserve">бровки балласта крайнего станционного </w:t>
            </w:r>
            <w:r w:rsidRPr="003B0C66">
              <w:rPr>
                <w:spacing w:val="-4"/>
                <w:sz w:val="24"/>
                <w:lang w:val="ru-RU"/>
              </w:rPr>
              <w:t>пути</w:t>
            </w:r>
          </w:p>
        </w:tc>
        <w:tc>
          <w:tcPr>
            <w:tcW w:w="943" w:type="dxa"/>
          </w:tcPr>
          <w:p w14:paraId="3D84341D" w14:textId="77777777" w:rsidR="003B0C66" w:rsidRDefault="003B0C66" w:rsidP="00211F85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738" w:type="dxa"/>
          </w:tcPr>
          <w:p w14:paraId="13D021C4" w14:textId="77777777" w:rsidR="003B0C66" w:rsidRDefault="003B0C66" w:rsidP="00211F85">
            <w:pPr>
              <w:pStyle w:val="TableParagraph"/>
              <w:spacing w:before="1"/>
              <w:ind w:left="11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1,55</w:t>
            </w:r>
          </w:p>
        </w:tc>
        <w:tc>
          <w:tcPr>
            <w:tcW w:w="2424" w:type="dxa"/>
          </w:tcPr>
          <w:p w14:paraId="32AC1EE4" w14:textId="77777777" w:rsidR="003B0C66" w:rsidRDefault="003B0C66" w:rsidP="00211F85">
            <w:pPr>
              <w:pStyle w:val="TableParagraph"/>
              <w:spacing w:before="1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3.03-114-</w:t>
            </w:r>
            <w:r>
              <w:rPr>
                <w:spacing w:val="-4"/>
                <w:sz w:val="24"/>
              </w:rPr>
              <w:t>2014</w:t>
            </w:r>
          </w:p>
          <w:p w14:paraId="1029DDA2" w14:textId="77777777" w:rsidR="003B0C66" w:rsidRDefault="003B0C66" w:rsidP="00211F85">
            <w:pPr>
              <w:pStyle w:val="TableParagraph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ВСН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56-</w:t>
            </w:r>
            <w:r>
              <w:rPr>
                <w:spacing w:val="-5"/>
                <w:sz w:val="24"/>
              </w:rPr>
              <w:t>78</w:t>
            </w:r>
          </w:p>
        </w:tc>
      </w:tr>
      <w:tr w:rsidR="003B0C66" w14:paraId="573C4A38" w14:textId="77777777" w:rsidTr="00211F85">
        <w:trPr>
          <w:trHeight w:val="546"/>
        </w:trPr>
        <w:tc>
          <w:tcPr>
            <w:tcW w:w="710" w:type="dxa"/>
          </w:tcPr>
          <w:p w14:paraId="71B71328" w14:textId="77777777" w:rsidR="003B0C66" w:rsidRDefault="003B0C66" w:rsidP="00211F85">
            <w:pPr>
              <w:pStyle w:val="TableParagraph"/>
              <w:spacing w:line="269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11" w:type="dxa"/>
          </w:tcPr>
          <w:p w14:paraId="1766E5A9" w14:textId="77777777" w:rsidR="003B0C66" w:rsidRDefault="003B0C66" w:rsidP="00211F85">
            <w:pPr>
              <w:pStyle w:val="TableParagraph"/>
              <w:spacing w:line="276" w:lineRule="exact"/>
              <w:ind w:left="110" w:right="20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Укладка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стрелочного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перевода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1/9 </w:t>
            </w:r>
            <w:r>
              <w:rPr>
                <w:spacing w:val="-4"/>
                <w:sz w:val="24"/>
              </w:rPr>
              <w:t>Р65</w:t>
            </w:r>
          </w:p>
        </w:tc>
        <w:tc>
          <w:tcPr>
            <w:tcW w:w="943" w:type="dxa"/>
          </w:tcPr>
          <w:p w14:paraId="61854F3F" w14:textId="77777777" w:rsidR="003B0C66" w:rsidRDefault="003B0C66" w:rsidP="00211F85">
            <w:pPr>
              <w:pStyle w:val="TableParagraph"/>
              <w:spacing w:line="269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компл</w:t>
            </w:r>
            <w:proofErr w:type="spellEnd"/>
          </w:p>
        </w:tc>
        <w:tc>
          <w:tcPr>
            <w:tcW w:w="1738" w:type="dxa"/>
          </w:tcPr>
          <w:p w14:paraId="523E0F55" w14:textId="77777777" w:rsidR="003B0C66" w:rsidRDefault="003B0C66" w:rsidP="00211F85">
            <w:pPr>
              <w:pStyle w:val="TableParagraph"/>
              <w:spacing w:line="269" w:lineRule="exact"/>
              <w:ind w:left="11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4" w:type="dxa"/>
          </w:tcPr>
          <w:p w14:paraId="31DF1BDA" w14:textId="77777777" w:rsidR="003B0C66" w:rsidRDefault="003B0C66" w:rsidP="00211F85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3EF81FE2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План, продольный профиль</w:t>
      </w:r>
    </w:p>
    <w:p w14:paraId="4FEBFD43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Пикетаж разбит по существующему II главному пути, таким образом:</w:t>
      </w:r>
    </w:p>
    <w:p w14:paraId="2B5FDD37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начало трассы ПК</w:t>
      </w:r>
      <w:proofErr w:type="gramStart"/>
      <w:r w:rsidRPr="003B0C66">
        <w:rPr>
          <w:color w:val="000000"/>
          <w:sz w:val="24"/>
          <w:szCs w:val="24"/>
        </w:rPr>
        <w:t>0</w:t>
      </w:r>
      <w:proofErr w:type="gramEnd"/>
      <w:r w:rsidRPr="003B0C66">
        <w:rPr>
          <w:color w:val="000000"/>
          <w:sz w:val="24"/>
          <w:szCs w:val="24"/>
        </w:rPr>
        <w:t>+00,0;</w:t>
      </w:r>
    </w:p>
    <w:p w14:paraId="17B653B6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конец трассы ПК17+85,10.</w:t>
      </w:r>
    </w:p>
    <w:p w14:paraId="48B62098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Продольный профиль запроектирован по главному пути, с максимальным сохранением уклонов и отметок. Продольный профиль имеет горизонтальный участок в пределах полезной длины путей, 0%.</w:t>
      </w:r>
    </w:p>
    <w:p w14:paraId="0E0D38E5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Приемоотправочные пути в плане и продольном профиле запроектированы относительно главного пути.</w:t>
      </w:r>
    </w:p>
    <w:p w14:paraId="2C4C5C38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</w:p>
    <w:p w14:paraId="087A9E93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Земляное полотно</w:t>
      </w:r>
    </w:p>
    <w:p w14:paraId="632212CA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Проектируемые пути укладываются между путями 6П и 11П на существующем земляном полотне. Имеет хорошие уплотненные характеристики.</w:t>
      </w:r>
    </w:p>
    <w:p w14:paraId="2D37C1BA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  <w:sectPr w:rsidR="003B0C66" w:rsidRPr="003B0C66">
          <w:pgSz w:w="11910" w:h="16840"/>
          <w:pgMar w:top="540" w:right="425" w:bottom="640" w:left="992" w:header="293" w:footer="447" w:gutter="0"/>
          <w:cols w:space="720"/>
        </w:sectPr>
      </w:pPr>
    </w:p>
    <w:p w14:paraId="4F0FB717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lastRenderedPageBreak/>
        <w:t>Согласно инженерно-геологическим изысканиям первый слой представлен из насыпного грунта, второй слой – из песка средней крупности.</w:t>
      </w:r>
    </w:p>
    <w:p w14:paraId="28EFC1E0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Для предотвращения образования «пазух» и отвода поверхностной воды существующее земляное полотно имеет поперечный уклон 0,02 в сторону поле к кюветам.</w:t>
      </w:r>
    </w:p>
    <w:p w14:paraId="10ED8405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Принятый тип поперечного профиля</w:t>
      </w:r>
    </w:p>
    <w:p w14:paraId="02EE7EE6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drawing>
          <wp:anchor distT="0" distB="0" distL="0" distR="0" simplePos="0" relativeHeight="251659264" behindDoc="1" locked="0" layoutInCell="1" allowOverlap="1" wp14:anchorId="76B44A11" wp14:editId="7D8A695B">
            <wp:simplePos x="0" y="0"/>
            <wp:positionH relativeFrom="page">
              <wp:posOffset>900430</wp:posOffset>
            </wp:positionH>
            <wp:positionV relativeFrom="paragraph">
              <wp:posOffset>82878</wp:posOffset>
            </wp:positionV>
            <wp:extent cx="5975253" cy="2199131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253" cy="219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6F12F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</w:p>
    <w:p w14:paraId="5DDF5152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Крутизна откосов сохранена существующего земляного полотна. Основные объёмы земляных работ приведены в таблице 1.3.2</w:t>
      </w:r>
    </w:p>
    <w:tbl>
      <w:tblPr>
        <w:tblStyle w:val="TableNormal"/>
        <w:tblW w:w="0" w:type="auto"/>
        <w:tblInd w:w="8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470"/>
        <w:gridCol w:w="1129"/>
        <w:gridCol w:w="1052"/>
      </w:tblGrid>
      <w:tr w:rsidR="003B0C66" w14:paraId="210AD89F" w14:textId="77777777" w:rsidTr="00211F85">
        <w:trPr>
          <w:trHeight w:val="272"/>
        </w:trPr>
        <w:tc>
          <w:tcPr>
            <w:tcW w:w="624" w:type="dxa"/>
          </w:tcPr>
          <w:p w14:paraId="5B3F9EF0" w14:textId="77777777" w:rsidR="003B0C66" w:rsidRDefault="003B0C66" w:rsidP="00211F85">
            <w:pPr>
              <w:pStyle w:val="TableParagraph"/>
              <w:spacing w:line="25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470" w:type="dxa"/>
          </w:tcPr>
          <w:p w14:paraId="32C14976" w14:textId="77777777" w:rsidR="003B0C66" w:rsidRDefault="003B0C66" w:rsidP="00211F85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работ</w:t>
            </w:r>
            <w:proofErr w:type="spellEnd"/>
          </w:p>
        </w:tc>
        <w:tc>
          <w:tcPr>
            <w:tcW w:w="1129" w:type="dxa"/>
          </w:tcPr>
          <w:p w14:paraId="3C2BF967" w14:textId="77777777" w:rsidR="003B0C66" w:rsidRDefault="003B0C66" w:rsidP="00211F85">
            <w:pPr>
              <w:pStyle w:val="TableParagraph"/>
              <w:spacing w:line="25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pacing w:val="-4"/>
                <w:sz w:val="24"/>
              </w:rPr>
              <w:t>изм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1052" w:type="dxa"/>
          </w:tcPr>
          <w:p w14:paraId="7E0BAD78" w14:textId="77777777" w:rsidR="003B0C66" w:rsidRDefault="003B0C66" w:rsidP="00211F85">
            <w:pPr>
              <w:pStyle w:val="TableParagraph"/>
              <w:spacing w:line="253" w:lineRule="exact"/>
              <w:ind w:left="10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</w:tc>
      </w:tr>
      <w:tr w:rsidR="003B0C66" w14:paraId="50F4A8B3" w14:textId="77777777" w:rsidTr="00211F85">
        <w:trPr>
          <w:trHeight w:val="457"/>
        </w:trPr>
        <w:tc>
          <w:tcPr>
            <w:tcW w:w="624" w:type="dxa"/>
          </w:tcPr>
          <w:p w14:paraId="38250156" w14:textId="77777777" w:rsidR="003B0C66" w:rsidRDefault="003B0C66" w:rsidP="00211F85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70" w:type="dxa"/>
          </w:tcPr>
          <w:p w14:paraId="7EB11535" w14:textId="77777777" w:rsidR="003B0C66" w:rsidRPr="003B0C66" w:rsidRDefault="003B0C66" w:rsidP="00211F85">
            <w:pPr>
              <w:pStyle w:val="TableParagraph"/>
              <w:spacing w:line="270" w:lineRule="exact"/>
              <w:ind w:left="110"/>
              <w:jc w:val="left"/>
              <w:rPr>
                <w:sz w:val="24"/>
                <w:lang w:val="ru-RU"/>
              </w:rPr>
            </w:pPr>
            <w:r w:rsidRPr="003B0C66">
              <w:rPr>
                <w:sz w:val="24"/>
                <w:lang w:val="ru-RU"/>
              </w:rPr>
              <w:t>Планировка</w:t>
            </w:r>
            <w:r w:rsidRPr="003B0C66">
              <w:rPr>
                <w:spacing w:val="-11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основной</w:t>
            </w:r>
            <w:r w:rsidRPr="003B0C66">
              <w:rPr>
                <w:spacing w:val="-10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площадки</w:t>
            </w:r>
            <w:r w:rsidRPr="003B0C66">
              <w:rPr>
                <w:spacing w:val="-7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сущ.</w:t>
            </w:r>
            <w:r w:rsidRPr="003B0C66">
              <w:rPr>
                <w:spacing w:val="-11"/>
                <w:sz w:val="24"/>
                <w:lang w:val="ru-RU"/>
              </w:rPr>
              <w:t xml:space="preserve"> </w:t>
            </w:r>
            <w:r w:rsidRPr="003B0C66">
              <w:rPr>
                <w:sz w:val="24"/>
                <w:lang w:val="ru-RU"/>
              </w:rPr>
              <w:t>земляного</w:t>
            </w:r>
            <w:r w:rsidRPr="003B0C66">
              <w:rPr>
                <w:spacing w:val="-8"/>
                <w:sz w:val="24"/>
                <w:lang w:val="ru-RU"/>
              </w:rPr>
              <w:t xml:space="preserve"> </w:t>
            </w:r>
            <w:r w:rsidRPr="003B0C66">
              <w:rPr>
                <w:spacing w:val="-2"/>
                <w:sz w:val="24"/>
                <w:lang w:val="ru-RU"/>
              </w:rPr>
              <w:t>полотна</w:t>
            </w:r>
          </w:p>
        </w:tc>
        <w:tc>
          <w:tcPr>
            <w:tcW w:w="1129" w:type="dxa"/>
          </w:tcPr>
          <w:p w14:paraId="6A8791B4" w14:textId="77777777" w:rsidR="003B0C66" w:rsidRDefault="003B0C66" w:rsidP="00211F85">
            <w:pPr>
              <w:pStyle w:val="TableParagraph"/>
              <w:spacing w:before="68"/>
              <w:ind w:left="107"/>
              <w:jc w:val="lef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м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1052" w:type="dxa"/>
          </w:tcPr>
          <w:p w14:paraId="6DEDA58B" w14:textId="77777777" w:rsidR="003B0C66" w:rsidRDefault="003B0C66" w:rsidP="00211F85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14226</w:t>
            </w:r>
          </w:p>
        </w:tc>
      </w:tr>
    </w:tbl>
    <w:p w14:paraId="54F8C7BF" w14:textId="77777777" w:rsidR="003B0C66" w:rsidRDefault="003B0C66" w:rsidP="003B0C66">
      <w:pPr>
        <w:pStyle w:val="a6"/>
        <w:spacing w:before="69"/>
      </w:pPr>
    </w:p>
    <w:p w14:paraId="6713D9BA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Верхнее строение пути</w:t>
      </w:r>
    </w:p>
    <w:p w14:paraId="7F94B19F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 xml:space="preserve">Мощность верхнего строения пути принята в соответствии с п. 4.4.9 СП РК 3.03-114-2014. Пути укладываются рельсошпальными решетками </w:t>
      </w:r>
      <w:proofErr w:type="gramStart"/>
      <w:r w:rsidRPr="003B0C66">
        <w:rPr>
          <w:color w:val="000000"/>
          <w:sz w:val="24"/>
          <w:szCs w:val="24"/>
        </w:rPr>
        <w:t>по элементно</w:t>
      </w:r>
      <w:proofErr w:type="gramEnd"/>
      <w:r w:rsidRPr="003B0C66">
        <w:rPr>
          <w:color w:val="000000"/>
          <w:sz w:val="24"/>
          <w:szCs w:val="24"/>
        </w:rPr>
        <w:t>:</w:t>
      </w:r>
    </w:p>
    <w:p w14:paraId="066F2709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 xml:space="preserve">рельсы типа Р65 </w:t>
      </w:r>
      <w:proofErr w:type="gramStart"/>
      <w:r w:rsidRPr="003B0C66">
        <w:rPr>
          <w:color w:val="000000"/>
          <w:sz w:val="24"/>
          <w:szCs w:val="24"/>
        </w:rPr>
        <w:t>СТ</w:t>
      </w:r>
      <w:proofErr w:type="gramEnd"/>
      <w:r w:rsidRPr="003B0C66">
        <w:rPr>
          <w:color w:val="000000"/>
          <w:sz w:val="24"/>
          <w:szCs w:val="24"/>
        </w:rPr>
        <w:t xml:space="preserve"> РК 2432-2013, звеньевые L=25м;</w:t>
      </w:r>
    </w:p>
    <w:p w14:paraId="71394AED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шпалы железобетонные ГОСТ 33320-2015 (</w:t>
      </w:r>
      <w:proofErr w:type="spellStart"/>
      <w:r w:rsidRPr="003B0C66">
        <w:rPr>
          <w:color w:val="000000"/>
          <w:sz w:val="24"/>
          <w:szCs w:val="24"/>
        </w:rPr>
        <w:t>упрюгие</w:t>
      </w:r>
      <w:proofErr w:type="spellEnd"/>
      <w:r w:rsidRPr="003B0C66">
        <w:rPr>
          <w:color w:val="000000"/>
          <w:sz w:val="24"/>
          <w:szCs w:val="24"/>
        </w:rPr>
        <w:t xml:space="preserve"> скрепление);</w:t>
      </w:r>
    </w:p>
    <w:p w14:paraId="3DFC4AF4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балласт щебеночный по ГОСТ 7392-2014 с минимальной толщиной слоя под шпалой 30см;</w:t>
      </w:r>
    </w:p>
    <w:p w14:paraId="12D43900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 xml:space="preserve">эпюра шпал принята 1840 </w:t>
      </w:r>
      <w:proofErr w:type="spellStart"/>
      <w:proofErr w:type="gramStart"/>
      <w:r w:rsidRPr="003B0C66">
        <w:rPr>
          <w:color w:val="000000"/>
          <w:sz w:val="24"/>
          <w:szCs w:val="24"/>
        </w:rPr>
        <w:t>шт</w:t>
      </w:r>
      <w:proofErr w:type="spellEnd"/>
      <w:proofErr w:type="gramEnd"/>
      <w:r w:rsidRPr="003B0C66">
        <w:rPr>
          <w:color w:val="000000"/>
          <w:sz w:val="24"/>
          <w:szCs w:val="24"/>
        </w:rPr>
        <w:t>/км.</w:t>
      </w:r>
    </w:p>
    <w:p w14:paraId="729B7DFA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drawing>
          <wp:anchor distT="0" distB="0" distL="0" distR="0" simplePos="0" relativeHeight="251660288" behindDoc="1" locked="0" layoutInCell="1" allowOverlap="1" wp14:anchorId="41F8B993" wp14:editId="7DF41D6E">
            <wp:simplePos x="0" y="0"/>
            <wp:positionH relativeFrom="page">
              <wp:posOffset>1023861</wp:posOffset>
            </wp:positionH>
            <wp:positionV relativeFrom="paragraph">
              <wp:posOffset>100665</wp:posOffset>
            </wp:positionV>
            <wp:extent cx="5558265" cy="2452306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8265" cy="2452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3CDCE0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 xml:space="preserve">Таким </w:t>
      </w:r>
      <w:proofErr w:type="gramStart"/>
      <w:r w:rsidRPr="003B0C66">
        <w:rPr>
          <w:color w:val="000000"/>
          <w:sz w:val="24"/>
          <w:szCs w:val="24"/>
        </w:rPr>
        <w:t>образом</w:t>
      </w:r>
      <w:proofErr w:type="gramEnd"/>
      <w:r w:rsidRPr="003B0C66">
        <w:rPr>
          <w:color w:val="000000"/>
          <w:sz w:val="24"/>
          <w:szCs w:val="24"/>
        </w:rPr>
        <w:t xml:space="preserve"> путевое развитие приемоотправочных путей составит:</w:t>
      </w:r>
    </w:p>
    <w:p w14:paraId="03F25D5D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 xml:space="preserve">путь №8П – </w:t>
      </w:r>
      <w:proofErr w:type="spellStart"/>
      <w:r w:rsidRPr="003B0C66">
        <w:rPr>
          <w:color w:val="000000"/>
          <w:sz w:val="24"/>
          <w:szCs w:val="24"/>
        </w:rPr>
        <w:t>приемо</w:t>
      </w:r>
      <w:proofErr w:type="spellEnd"/>
      <w:r w:rsidRPr="003B0C66">
        <w:rPr>
          <w:color w:val="000000"/>
          <w:sz w:val="24"/>
          <w:szCs w:val="24"/>
        </w:rPr>
        <w:t xml:space="preserve">-отправочный, начало пути ЦСП №32 – (-1977,04) </w:t>
      </w:r>
      <w:proofErr w:type="gramStart"/>
      <w:r w:rsidRPr="003B0C66">
        <w:rPr>
          <w:color w:val="000000"/>
          <w:sz w:val="24"/>
          <w:szCs w:val="24"/>
        </w:rPr>
        <w:t>от</w:t>
      </w:r>
      <w:proofErr w:type="gramEnd"/>
    </w:p>
    <w:p w14:paraId="03F4600D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  <w:sectPr w:rsidR="003B0C66" w:rsidRPr="003B0C66">
          <w:pgSz w:w="11910" w:h="16840"/>
          <w:pgMar w:top="540" w:right="425" w:bottom="640" w:left="992" w:header="293" w:footer="447" w:gutter="0"/>
          <w:cols w:space="720"/>
        </w:sectPr>
      </w:pPr>
    </w:p>
    <w:p w14:paraId="51158D17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lastRenderedPageBreak/>
        <w:t>оси поста ЭЦ – конец пути ЦСП №229 – (-743,22) от оси поста ЭЦ. Полная дл</w:t>
      </w:r>
      <w:proofErr w:type="gramStart"/>
      <w:r w:rsidRPr="003B0C66">
        <w:rPr>
          <w:color w:val="000000"/>
          <w:sz w:val="24"/>
          <w:szCs w:val="24"/>
        </w:rPr>
        <w:t>и-</w:t>
      </w:r>
      <w:proofErr w:type="gramEnd"/>
      <w:r w:rsidRPr="003B0C66">
        <w:rPr>
          <w:color w:val="000000"/>
          <w:sz w:val="24"/>
          <w:szCs w:val="24"/>
        </w:rPr>
        <w:t xml:space="preserve"> на – 1268 м, полезная длина – 1100 м, укладываемая длина – 1206 м.</w:t>
      </w:r>
    </w:p>
    <w:p w14:paraId="42D2984D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Уклон – 0%, кривой – 400 м.</w:t>
      </w:r>
    </w:p>
    <w:p w14:paraId="24299FDC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 xml:space="preserve">путь №10П – </w:t>
      </w:r>
      <w:proofErr w:type="spellStart"/>
      <w:proofErr w:type="gramStart"/>
      <w:r w:rsidRPr="003B0C66">
        <w:rPr>
          <w:color w:val="000000"/>
          <w:sz w:val="24"/>
          <w:szCs w:val="24"/>
        </w:rPr>
        <w:t>приемо</w:t>
      </w:r>
      <w:proofErr w:type="spellEnd"/>
      <w:r w:rsidRPr="003B0C66">
        <w:rPr>
          <w:color w:val="000000"/>
          <w:sz w:val="24"/>
          <w:szCs w:val="24"/>
        </w:rPr>
        <w:t>-отправочный</w:t>
      </w:r>
      <w:proofErr w:type="gramEnd"/>
      <w:r w:rsidRPr="003B0C66">
        <w:rPr>
          <w:color w:val="000000"/>
          <w:sz w:val="24"/>
          <w:szCs w:val="24"/>
        </w:rPr>
        <w:t>, начало пути ЦСП №34 – (-1939,77) от оси поста ЭЦ – конец пути ЦСП №227 – (-731,97) от оси поста ЭЦ. Полная дл</w:t>
      </w:r>
      <w:proofErr w:type="gramStart"/>
      <w:r w:rsidRPr="003B0C66">
        <w:rPr>
          <w:color w:val="000000"/>
          <w:sz w:val="24"/>
          <w:szCs w:val="24"/>
        </w:rPr>
        <w:t>и-</w:t>
      </w:r>
      <w:proofErr w:type="gramEnd"/>
      <w:r w:rsidRPr="003B0C66">
        <w:rPr>
          <w:color w:val="000000"/>
          <w:sz w:val="24"/>
          <w:szCs w:val="24"/>
        </w:rPr>
        <w:t xml:space="preserve"> на – 1280 м, полезная длина – 1100 м, укладываемая длина – 1187 м.</w:t>
      </w:r>
    </w:p>
    <w:p w14:paraId="6BE68540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Уклон – 0%, кривой – 300-400 м.</w:t>
      </w:r>
    </w:p>
    <w:p w14:paraId="0592C949" w14:textId="77777777" w:rsidR="003B0C66" w:rsidRDefault="003B0C66" w:rsidP="003B0C66">
      <w:pPr>
        <w:pStyle w:val="a6"/>
        <w:spacing w:before="66" w:after="1"/>
      </w:pPr>
    </w:p>
    <w:tbl>
      <w:tblPr>
        <w:tblStyle w:val="TableNormal"/>
        <w:tblW w:w="0" w:type="auto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183"/>
        <w:gridCol w:w="1129"/>
        <w:gridCol w:w="1902"/>
      </w:tblGrid>
      <w:tr w:rsidR="003B0C66" w14:paraId="18EB4A78" w14:textId="77777777" w:rsidTr="00211F85">
        <w:trPr>
          <w:trHeight w:val="272"/>
        </w:trPr>
        <w:tc>
          <w:tcPr>
            <w:tcW w:w="624" w:type="dxa"/>
          </w:tcPr>
          <w:p w14:paraId="6B40B1AF" w14:textId="77777777" w:rsidR="003B0C66" w:rsidRDefault="003B0C66" w:rsidP="00211F85">
            <w:pPr>
              <w:pStyle w:val="TableParagraph"/>
              <w:spacing w:line="25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183" w:type="dxa"/>
          </w:tcPr>
          <w:p w14:paraId="2BED814F" w14:textId="77777777" w:rsidR="003B0C66" w:rsidRDefault="003B0C66" w:rsidP="00211F85">
            <w:pPr>
              <w:pStyle w:val="TableParagraph"/>
              <w:spacing w:line="25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работ</w:t>
            </w:r>
            <w:proofErr w:type="spellEnd"/>
          </w:p>
        </w:tc>
        <w:tc>
          <w:tcPr>
            <w:tcW w:w="1129" w:type="dxa"/>
          </w:tcPr>
          <w:p w14:paraId="51867B8E" w14:textId="77777777" w:rsidR="003B0C66" w:rsidRDefault="003B0C66" w:rsidP="00211F85">
            <w:pPr>
              <w:pStyle w:val="TableParagraph"/>
              <w:spacing w:line="253" w:lineRule="exact"/>
              <w:ind w:left="10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изм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1902" w:type="dxa"/>
          </w:tcPr>
          <w:p w14:paraId="2F3ED7D8" w14:textId="77777777" w:rsidR="003B0C66" w:rsidRDefault="003B0C66" w:rsidP="00211F85">
            <w:pPr>
              <w:pStyle w:val="TableParagraph"/>
              <w:spacing w:line="253" w:lineRule="exact"/>
              <w:ind w:left="10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</w:tc>
      </w:tr>
      <w:tr w:rsidR="003B0C66" w14:paraId="0FF54DAE" w14:textId="77777777" w:rsidTr="00211F85">
        <w:trPr>
          <w:trHeight w:val="272"/>
        </w:trPr>
        <w:tc>
          <w:tcPr>
            <w:tcW w:w="624" w:type="dxa"/>
          </w:tcPr>
          <w:p w14:paraId="15949EA2" w14:textId="77777777" w:rsidR="003B0C66" w:rsidRDefault="003B0C66" w:rsidP="00211F85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83" w:type="dxa"/>
          </w:tcPr>
          <w:p w14:paraId="019679CF" w14:textId="77777777" w:rsidR="003B0C66" w:rsidRDefault="003B0C66" w:rsidP="00211F85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Укладка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пути</w:t>
            </w:r>
            <w:proofErr w:type="spellEnd"/>
          </w:p>
        </w:tc>
        <w:tc>
          <w:tcPr>
            <w:tcW w:w="1129" w:type="dxa"/>
          </w:tcPr>
          <w:p w14:paraId="04CB9C38" w14:textId="77777777" w:rsidR="003B0C66" w:rsidRDefault="003B0C66" w:rsidP="00211F85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км</w:t>
            </w:r>
            <w:proofErr w:type="spellEnd"/>
          </w:p>
        </w:tc>
        <w:tc>
          <w:tcPr>
            <w:tcW w:w="1902" w:type="dxa"/>
          </w:tcPr>
          <w:p w14:paraId="1234D5A8" w14:textId="77777777" w:rsidR="003B0C66" w:rsidRDefault="003B0C66" w:rsidP="00211F85">
            <w:pPr>
              <w:pStyle w:val="TableParagraph"/>
              <w:spacing w:line="253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2,393</w:t>
            </w:r>
          </w:p>
        </w:tc>
      </w:tr>
      <w:tr w:rsidR="003B0C66" w14:paraId="343FCE68" w14:textId="77777777" w:rsidTr="00211F85">
        <w:trPr>
          <w:trHeight w:val="270"/>
        </w:trPr>
        <w:tc>
          <w:tcPr>
            <w:tcW w:w="624" w:type="dxa"/>
          </w:tcPr>
          <w:p w14:paraId="50B1D6E5" w14:textId="77777777" w:rsidR="003B0C66" w:rsidRDefault="003B0C66" w:rsidP="00211F85">
            <w:pPr>
              <w:pStyle w:val="TableParagraph"/>
              <w:spacing w:line="251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83" w:type="dxa"/>
          </w:tcPr>
          <w:p w14:paraId="518DF48D" w14:textId="77777777" w:rsidR="003B0C66" w:rsidRDefault="003B0C66" w:rsidP="00211F85">
            <w:pPr>
              <w:pStyle w:val="TableParagraph"/>
              <w:spacing w:line="251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Укладка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стрелочного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перевода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1/9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Р65</w:t>
            </w:r>
          </w:p>
        </w:tc>
        <w:tc>
          <w:tcPr>
            <w:tcW w:w="1129" w:type="dxa"/>
          </w:tcPr>
          <w:p w14:paraId="4DEB9DB6" w14:textId="77777777" w:rsidR="003B0C66" w:rsidRDefault="003B0C66" w:rsidP="00211F85">
            <w:pPr>
              <w:pStyle w:val="TableParagraph"/>
              <w:spacing w:line="251" w:lineRule="exact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компл</w:t>
            </w:r>
            <w:proofErr w:type="spellEnd"/>
          </w:p>
        </w:tc>
        <w:tc>
          <w:tcPr>
            <w:tcW w:w="1902" w:type="dxa"/>
          </w:tcPr>
          <w:p w14:paraId="630E3CCF" w14:textId="77777777" w:rsidR="003B0C66" w:rsidRDefault="003B0C66" w:rsidP="00211F85">
            <w:pPr>
              <w:pStyle w:val="TableParagraph"/>
              <w:spacing w:line="251" w:lineRule="exact"/>
              <w:ind w:left="1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0C66" w14:paraId="4540011A" w14:textId="77777777" w:rsidTr="00211F85">
        <w:trPr>
          <w:trHeight w:val="270"/>
        </w:trPr>
        <w:tc>
          <w:tcPr>
            <w:tcW w:w="624" w:type="dxa"/>
          </w:tcPr>
          <w:p w14:paraId="0EDE3344" w14:textId="77777777" w:rsidR="003B0C66" w:rsidRDefault="003B0C66" w:rsidP="00211F85">
            <w:pPr>
              <w:pStyle w:val="TableParagraph"/>
              <w:spacing w:line="251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83" w:type="dxa"/>
          </w:tcPr>
          <w:p w14:paraId="7D61761D" w14:textId="77777777" w:rsidR="003B0C66" w:rsidRDefault="003B0C66" w:rsidP="00211F85">
            <w:pPr>
              <w:pStyle w:val="TableParagraph"/>
              <w:spacing w:line="251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Балластировка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пути</w:t>
            </w:r>
            <w:proofErr w:type="spellEnd"/>
          </w:p>
        </w:tc>
        <w:tc>
          <w:tcPr>
            <w:tcW w:w="1129" w:type="dxa"/>
          </w:tcPr>
          <w:p w14:paraId="1EFD4281" w14:textId="77777777" w:rsidR="003B0C66" w:rsidRDefault="003B0C66" w:rsidP="00211F85">
            <w:pPr>
              <w:pStyle w:val="TableParagraph"/>
              <w:spacing w:before="68" w:line="182" w:lineRule="exact"/>
              <w:ind w:left="109"/>
              <w:jc w:val="lef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м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1902" w:type="dxa"/>
          </w:tcPr>
          <w:p w14:paraId="74ED0E06" w14:textId="77777777" w:rsidR="003B0C66" w:rsidRDefault="003B0C66" w:rsidP="00211F85">
            <w:pPr>
              <w:pStyle w:val="TableParagraph"/>
              <w:spacing w:line="251" w:lineRule="exact"/>
              <w:ind w:left="1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7260</w:t>
            </w:r>
          </w:p>
        </w:tc>
      </w:tr>
    </w:tbl>
    <w:p w14:paraId="43772547" w14:textId="77777777" w:rsidR="003B0C66" w:rsidRDefault="003B0C66" w:rsidP="003B0C66">
      <w:pPr>
        <w:pStyle w:val="a6"/>
        <w:spacing w:before="3"/>
      </w:pPr>
    </w:p>
    <w:p w14:paraId="4CDDDEAC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 xml:space="preserve">Строительство приемоотправочных путей на ст. </w:t>
      </w:r>
      <w:proofErr w:type="spellStart"/>
      <w:r w:rsidRPr="003B0C66">
        <w:rPr>
          <w:color w:val="000000"/>
          <w:sz w:val="24"/>
          <w:szCs w:val="24"/>
        </w:rPr>
        <w:t>Айса</w:t>
      </w:r>
      <w:proofErr w:type="spellEnd"/>
      <w:r w:rsidRPr="003B0C66">
        <w:rPr>
          <w:color w:val="000000"/>
          <w:sz w:val="24"/>
          <w:szCs w:val="24"/>
        </w:rPr>
        <w:t xml:space="preserve"> осуществляется в пределах существующего полосе отвода согласно акту земельного участка 09-107- 075-346. Дополнительные земельные участки не требуется.</w:t>
      </w:r>
    </w:p>
    <w:p w14:paraId="438A828D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Водопотребление и водоотведение объекта на период строительства</w:t>
      </w:r>
    </w:p>
    <w:p w14:paraId="33BF3450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</w:p>
    <w:p w14:paraId="4946B9C7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  <w:sectPr w:rsidR="003B0C66" w:rsidRPr="003B0C66">
          <w:pgSz w:w="11910" w:h="16840"/>
          <w:pgMar w:top="720" w:right="992" w:bottom="900" w:left="1417" w:header="293" w:footer="714" w:gutter="0"/>
          <w:cols w:space="720"/>
        </w:sectPr>
      </w:pPr>
    </w:p>
    <w:p w14:paraId="3951E388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</w:p>
    <w:p w14:paraId="1592A2E3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базу.</w:t>
      </w:r>
    </w:p>
    <w:p w14:paraId="357FA712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br w:type="column"/>
      </w:r>
      <w:r w:rsidRPr="003B0C66">
        <w:rPr>
          <w:color w:val="000000"/>
          <w:sz w:val="24"/>
          <w:szCs w:val="24"/>
        </w:rPr>
        <w:lastRenderedPageBreak/>
        <w:t xml:space="preserve">Для нужд рабочих-строителей предусматривается использовать </w:t>
      </w:r>
      <w:proofErr w:type="gramStart"/>
      <w:r w:rsidRPr="003B0C66">
        <w:rPr>
          <w:color w:val="000000"/>
          <w:sz w:val="24"/>
          <w:szCs w:val="24"/>
        </w:rPr>
        <w:t>временную</w:t>
      </w:r>
      <w:proofErr w:type="gramEnd"/>
    </w:p>
    <w:p w14:paraId="7D3937C0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Хозяйственно-питьевые нужды</w:t>
      </w:r>
    </w:p>
    <w:p w14:paraId="171CB544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Водоснабжение на период строительно-монтажных работ осуществляется</w:t>
      </w:r>
    </w:p>
    <w:p w14:paraId="4362B690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  <w:sectPr w:rsidR="003B0C66" w:rsidRPr="003B0C66">
          <w:type w:val="continuous"/>
          <w:pgSz w:w="11910" w:h="16840"/>
          <w:pgMar w:top="220" w:right="992" w:bottom="0" w:left="1417" w:header="293" w:footer="714" w:gutter="0"/>
          <w:cols w:num="2" w:space="720" w:equalWidth="0">
            <w:col w:w="547" w:space="161"/>
            <w:col w:w="8793"/>
          </w:cols>
        </w:sectPr>
      </w:pPr>
    </w:p>
    <w:p w14:paraId="3D028961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lastRenderedPageBreak/>
        <w:t>привозной водой по договору с подрядной организацией.</w:t>
      </w:r>
    </w:p>
    <w:p w14:paraId="255D2AA0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Потребление хозяйственно-питьевой воды, исходя из требований СП РК 4.01-101-2012, рассчитывалось по норме 25 л в смену на одного работника.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60"/>
        <w:gridCol w:w="2127"/>
        <w:gridCol w:w="1985"/>
      </w:tblGrid>
      <w:tr w:rsidR="003B0C66" w:rsidRPr="003B0C66" w14:paraId="5C12B3E2" w14:textId="77777777" w:rsidTr="00211F85">
        <w:trPr>
          <w:trHeight w:val="551"/>
        </w:trPr>
        <w:tc>
          <w:tcPr>
            <w:tcW w:w="2127" w:type="dxa"/>
          </w:tcPr>
          <w:p w14:paraId="0239148B" w14:textId="77777777" w:rsidR="003B0C66" w:rsidRPr="003B0C66" w:rsidRDefault="003B0C66" w:rsidP="003B0C66">
            <w:pPr>
              <w:ind w:firstLine="709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3B0C66">
              <w:rPr>
                <w:color w:val="000000"/>
                <w:sz w:val="24"/>
                <w:szCs w:val="24"/>
                <w:lang w:val="ru-RU"/>
              </w:rPr>
              <w:t>Кол-во</w:t>
            </w:r>
            <w:proofErr w:type="spellEnd"/>
            <w:r w:rsidRPr="003B0C6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C66">
              <w:rPr>
                <w:color w:val="000000"/>
                <w:sz w:val="24"/>
                <w:szCs w:val="24"/>
                <w:lang w:val="ru-RU"/>
              </w:rPr>
              <w:t>работников</w:t>
            </w:r>
            <w:proofErr w:type="spellEnd"/>
          </w:p>
        </w:tc>
        <w:tc>
          <w:tcPr>
            <w:tcW w:w="1560" w:type="dxa"/>
          </w:tcPr>
          <w:p w14:paraId="62D5D8DC" w14:textId="77777777" w:rsidR="003B0C66" w:rsidRPr="003B0C66" w:rsidRDefault="003B0C66" w:rsidP="003B0C66">
            <w:pPr>
              <w:ind w:firstLine="709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3B0C66">
              <w:rPr>
                <w:color w:val="000000"/>
                <w:sz w:val="24"/>
                <w:szCs w:val="24"/>
                <w:lang w:val="ru-RU"/>
              </w:rPr>
              <w:t>Норма</w:t>
            </w:r>
            <w:proofErr w:type="spellEnd"/>
            <w:r w:rsidRPr="003B0C66">
              <w:rPr>
                <w:color w:val="000000"/>
                <w:sz w:val="24"/>
                <w:szCs w:val="24"/>
                <w:lang w:val="ru-RU"/>
              </w:rPr>
              <w:t>, л/</w:t>
            </w:r>
            <w:proofErr w:type="spellStart"/>
            <w:r w:rsidRPr="003B0C66">
              <w:rPr>
                <w:color w:val="000000"/>
                <w:sz w:val="24"/>
                <w:szCs w:val="24"/>
                <w:lang w:val="ru-RU"/>
              </w:rPr>
              <w:t>смену</w:t>
            </w:r>
            <w:proofErr w:type="spellEnd"/>
          </w:p>
        </w:tc>
        <w:tc>
          <w:tcPr>
            <w:tcW w:w="2127" w:type="dxa"/>
          </w:tcPr>
          <w:p w14:paraId="40ED4AE3" w14:textId="77777777" w:rsidR="003B0C66" w:rsidRPr="003B0C66" w:rsidRDefault="003B0C66" w:rsidP="003B0C66">
            <w:pPr>
              <w:ind w:firstLine="709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3B0C66">
              <w:rPr>
                <w:color w:val="000000"/>
                <w:sz w:val="24"/>
                <w:szCs w:val="24"/>
                <w:lang w:val="ru-RU"/>
              </w:rPr>
              <w:t>Количество</w:t>
            </w:r>
            <w:proofErr w:type="spellEnd"/>
            <w:r w:rsidRPr="003B0C6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C66">
              <w:rPr>
                <w:color w:val="000000"/>
                <w:sz w:val="24"/>
                <w:szCs w:val="24"/>
                <w:lang w:val="ru-RU"/>
              </w:rPr>
              <w:t>рабочих</w:t>
            </w:r>
            <w:proofErr w:type="spellEnd"/>
            <w:r w:rsidRPr="003B0C6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C66">
              <w:rPr>
                <w:color w:val="000000"/>
                <w:sz w:val="24"/>
                <w:szCs w:val="24"/>
                <w:lang w:val="ru-RU"/>
              </w:rPr>
              <w:t>дней</w:t>
            </w:r>
            <w:proofErr w:type="spellEnd"/>
          </w:p>
        </w:tc>
        <w:tc>
          <w:tcPr>
            <w:tcW w:w="1985" w:type="dxa"/>
          </w:tcPr>
          <w:p w14:paraId="6A5EC493" w14:textId="77777777" w:rsidR="003B0C66" w:rsidRPr="003B0C66" w:rsidRDefault="003B0C66" w:rsidP="003B0C66">
            <w:pPr>
              <w:ind w:firstLine="709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3B0C66">
              <w:rPr>
                <w:color w:val="000000"/>
                <w:sz w:val="24"/>
                <w:szCs w:val="24"/>
                <w:lang w:val="ru-RU"/>
              </w:rPr>
              <w:t>Потребление</w:t>
            </w:r>
            <w:proofErr w:type="spellEnd"/>
            <w:r w:rsidRPr="003B0C66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50A81AA3" w14:textId="77777777" w:rsidR="003B0C66" w:rsidRPr="003B0C66" w:rsidRDefault="003B0C66" w:rsidP="003B0C66">
            <w:pPr>
              <w:ind w:firstLine="709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B0C66">
              <w:rPr>
                <w:color w:val="000000"/>
                <w:sz w:val="24"/>
                <w:szCs w:val="24"/>
                <w:lang w:val="ru-RU"/>
              </w:rPr>
              <w:t>м3</w:t>
            </w:r>
          </w:p>
        </w:tc>
      </w:tr>
      <w:tr w:rsidR="003B0C66" w:rsidRPr="003B0C66" w14:paraId="2C8B866C" w14:textId="77777777" w:rsidTr="00211F85">
        <w:trPr>
          <w:trHeight w:val="275"/>
        </w:trPr>
        <w:tc>
          <w:tcPr>
            <w:tcW w:w="2127" w:type="dxa"/>
          </w:tcPr>
          <w:p w14:paraId="548BC8AE" w14:textId="77777777" w:rsidR="003B0C66" w:rsidRPr="003B0C66" w:rsidRDefault="003B0C66" w:rsidP="003B0C66">
            <w:pPr>
              <w:ind w:firstLine="709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B0C66">
              <w:rPr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560" w:type="dxa"/>
          </w:tcPr>
          <w:p w14:paraId="119EA46A" w14:textId="77777777" w:rsidR="003B0C66" w:rsidRPr="003B0C66" w:rsidRDefault="003B0C66" w:rsidP="003B0C66">
            <w:pPr>
              <w:ind w:firstLine="709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B0C66">
              <w:rPr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127" w:type="dxa"/>
          </w:tcPr>
          <w:p w14:paraId="0E162AE3" w14:textId="77777777" w:rsidR="003B0C66" w:rsidRPr="003B0C66" w:rsidRDefault="003B0C66" w:rsidP="003B0C66">
            <w:pPr>
              <w:ind w:firstLine="709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B0C66">
              <w:rPr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985" w:type="dxa"/>
          </w:tcPr>
          <w:p w14:paraId="0377F8AC" w14:textId="77777777" w:rsidR="003B0C66" w:rsidRPr="003B0C66" w:rsidRDefault="003B0C66" w:rsidP="003B0C66">
            <w:pPr>
              <w:ind w:firstLine="709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B0C66">
              <w:rPr>
                <w:color w:val="000000"/>
                <w:sz w:val="24"/>
                <w:szCs w:val="24"/>
                <w:lang w:val="ru-RU"/>
              </w:rPr>
              <w:t>84</w:t>
            </w:r>
          </w:p>
        </w:tc>
      </w:tr>
    </w:tbl>
    <w:p w14:paraId="7FB0AFF4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Таким образом, объем водопотребления на период строительно-монтажных работ составит 84 м3.</w:t>
      </w:r>
    </w:p>
    <w:p w14:paraId="385B11DC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Производственные  нужды.</w:t>
      </w:r>
      <w:r w:rsidRPr="003B0C66">
        <w:rPr>
          <w:color w:val="000000"/>
          <w:sz w:val="24"/>
          <w:szCs w:val="24"/>
        </w:rPr>
        <w:tab/>
        <w:t>Согласно сметному расчету на производственные нужды потребуется вода техническая в объеме 6 410 м3. Водоснабжение на период строительно-монтажных работ осуществляется привозной водой по договору с подрядной организацией.</w:t>
      </w:r>
    </w:p>
    <w:p w14:paraId="18C90642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Водоотведение. От жизнедеятельности рабочих образуются фекальные сточные воды. Сбор фекальных стоков предусмотрен в водонепроницаемые съемные контейнеры биотуалетов.</w:t>
      </w:r>
    </w:p>
    <w:p w14:paraId="7301C394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Вывоз стоков предусматривается спецтранспортом специализированной организацией по договору на очистные сооружения.</w:t>
      </w:r>
    </w:p>
    <w:p w14:paraId="62456939" w14:textId="53A3C1AB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Сточные воды в своем составе будут содержать загрязняющие вещества, характерные для стоков этой категории - органические загрязнения (БПК), нитраты, нитриты, азот аммонийный, фосфаты, сульфаты, хлориды, взвешенные вещества</w:t>
      </w:r>
      <w:r w:rsidRPr="003B0C66">
        <w:rPr>
          <w:color w:val="000000"/>
          <w:sz w:val="24"/>
          <w:szCs w:val="24"/>
        </w:rPr>
        <w:t>.</w:t>
      </w:r>
    </w:p>
    <w:p w14:paraId="38ED54A9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В</w:t>
      </w:r>
      <w:r w:rsidRPr="003B0C66">
        <w:rPr>
          <w:color w:val="000000"/>
          <w:sz w:val="24"/>
          <w:szCs w:val="24"/>
        </w:rPr>
        <w:tab/>
        <w:t>период</w:t>
      </w:r>
      <w:r w:rsidRPr="003B0C66">
        <w:rPr>
          <w:color w:val="000000"/>
          <w:sz w:val="24"/>
          <w:szCs w:val="24"/>
        </w:rPr>
        <w:tab/>
        <w:t>проведения</w:t>
      </w:r>
      <w:r w:rsidRPr="003B0C66">
        <w:rPr>
          <w:color w:val="000000"/>
          <w:sz w:val="24"/>
          <w:szCs w:val="24"/>
        </w:rPr>
        <w:tab/>
        <w:t>строительно-монтажных</w:t>
      </w:r>
      <w:r w:rsidRPr="003B0C66">
        <w:rPr>
          <w:color w:val="000000"/>
          <w:sz w:val="24"/>
          <w:szCs w:val="24"/>
        </w:rPr>
        <w:tab/>
        <w:t>работ</w:t>
      </w:r>
      <w:r w:rsidRPr="003B0C66">
        <w:rPr>
          <w:color w:val="000000"/>
          <w:sz w:val="24"/>
          <w:szCs w:val="24"/>
        </w:rPr>
        <w:tab/>
        <w:t>проектируемого объекта образуются:</w:t>
      </w:r>
    </w:p>
    <w:p w14:paraId="03D5AFBD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строительные отходы;</w:t>
      </w:r>
    </w:p>
    <w:p w14:paraId="37C39F0E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загрязненная упаковочная тара из-под ЛКМ;</w:t>
      </w:r>
    </w:p>
    <w:p w14:paraId="66B9BB2B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отходы от сварки;</w:t>
      </w:r>
    </w:p>
    <w:p w14:paraId="7E4E4DB7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твердые бытовые (коммунальные) отходы.</w:t>
      </w:r>
    </w:p>
    <w:p w14:paraId="1D08514E" w14:textId="77777777" w:rsidR="003B0C66" w:rsidRPr="003B0C66" w:rsidRDefault="003B0C66" w:rsidP="003B0C66">
      <w:pPr>
        <w:ind w:firstLine="709"/>
        <w:jc w:val="both"/>
        <w:rPr>
          <w:color w:val="000000"/>
          <w:sz w:val="24"/>
          <w:szCs w:val="24"/>
        </w:rPr>
      </w:pPr>
      <w:r w:rsidRPr="003B0C66">
        <w:rPr>
          <w:color w:val="000000"/>
          <w:sz w:val="24"/>
          <w:szCs w:val="24"/>
        </w:rPr>
        <w:t>Площадку для временного хранения отходов располагают на площадке СМР с подветренной стороны. Площадку покрывают твердым и непроницаемым для токсичных отходов (веществ) материалом, обваловывают, с устройством слива и наклоном в сторону очистных сооружений. На площадке предусматривают защиту отходов от воздействия атмосферных осадков и ветра.</w:t>
      </w:r>
    </w:p>
    <w:p w14:paraId="41AAE1C3" w14:textId="77777777" w:rsidR="003B0C66" w:rsidRDefault="003B0C66" w:rsidP="003B0C66">
      <w:pPr>
        <w:pStyle w:val="a6"/>
        <w:ind w:left="426" w:right="698" w:firstLine="707"/>
        <w:jc w:val="both"/>
      </w:pPr>
    </w:p>
    <w:p w14:paraId="06549395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7) информация: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осуществления:</w:t>
      </w:r>
    </w:p>
    <w:p w14:paraId="75AE7B7D" w14:textId="77777777" w:rsidR="00037743" w:rsidRPr="00037743" w:rsidRDefault="00037743" w:rsidP="00037743">
      <w:pPr>
        <w:ind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Вероятность возникновения отклонений, аварий и инцидентов в ходе намечаемой деятельности – невелика.</w:t>
      </w:r>
    </w:p>
    <w:p w14:paraId="41C46BBD" w14:textId="77777777" w:rsidR="00037743" w:rsidRPr="00037743" w:rsidRDefault="00037743" w:rsidP="00037743">
      <w:pPr>
        <w:ind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Проектом предусматриваются технические и проектные решения, обеспечивающие высокую надежность и экологическую безопасность производства. Однако, даже при выполнении всех требований безопасности и высокой подготовленности персонала потенциально могут возникать аварийные ситуации, приводящие к негативному воздействию на окружающую среду. Анализ таких ситуаций не должен рассматриваться как фактический прогноз наступления рассматриваемых ситуаций.</w:t>
      </w:r>
    </w:p>
    <w:p w14:paraId="2765F8EB" w14:textId="77777777" w:rsidR="00037743" w:rsidRPr="00037743" w:rsidRDefault="00037743" w:rsidP="00037743">
      <w:pPr>
        <w:ind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Строительные, а также эксплуатационные работы не являются опасными по выбросу взрывоопасных газов и горючей пыли.</w:t>
      </w:r>
    </w:p>
    <w:p w14:paraId="0E0B1F3F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Возможность возникновения аварийных ситуаций на рассматриваемом объекте могут отсутствует.</w:t>
      </w:r>
    </w:p>
    <w:p w14:paraId="5BBA7F7D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Проектные решения предусматривают все необходимые мероприятия и решения, направленные на недопущение и предотвращение данных ситуаций.</w:t>
      </w:r>
    </w:p>
    <w:p w14:paraId="1CB9C2D1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о возможных существенных вредных воздействиях на окружающую среду, связанных с рисками возникновения аварий и опасных природных явлений;</w:t>
      </w:r>
    </w:p>
    <w:p w14:paraId="1D738EB0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lastRenderedPageBreak/>
        <w:t>Под природными факторами понимается разрушительное явление, вызванное геофизическими причинами, которые не контролируются человеком. Иными словами, при возникновении природной чрезвычайной ситуации возникает способность саморазрушения окружающей среды.</w:t>
      </w:r>
    </w:p>
    <w:p w14:paraId="7535C9B4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К природным факторам относятся:</w:t>
      </w:r>
    </w:p>
    <w:p w14:paraId="2B880171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• землетрясения;</w:t>
      </w:r>
    </w:p>
    <w:p w14:paraId="1BAC1A0E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• ураганные ветры;</w:t>
      </w:r>
    </w:p>
    <w:p w14:paraId="347041EF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• повышенные атмосферные осадки.</w:t>
      </w:r>
    </w:p>
    <w:p w14:paraId="519E462A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 антропогенными факторами – понимается быстрые разрушительные изменения окружающей среды, обусловленные деятельностью человека или созданных им технических устройств и производств. Как правило, аварийные ситуации возникают вследствие нарушения регламента работы оборудования или норм его эксплуатации.</w:t>
      </w:r>
    </w:p>
    <w:p w14:paraId="3FF69904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К антропогенным факторам относятся факторы производственной среды и трудового процесса.</w:t>
      </w:r>
    </w:p>
    <w:p w14:paraId="72590D89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sz w:val="24"/>
          <w:szCs w:val="24"/>
        </w:rPr>
      </w:pPr>
      <w:r w:rsidRPr="00037743">
        <w:rPr>
          <w:rFonts w:eastAsia="TimesNewRomanPSMT"/>
          <w:b/>
          <w:bCs/>
          <w:color w:val="000000"/>
          <w:sz w:val="24"/>
          <w:szCs w:val="24"/>
        </w:rPr>
        <w:t>о мерах по предотвращению аварий и опасных природных явлений, и ликвидации их последствий, включая оповещение населения;</w:t>
      </w:r>
    </w:p>
    <w:p w14:paraId="5D692DDD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Для уменьшения природного риска следует разработать адекватные методы планирования и управления. При этом гибкость планирования и управления должна быть основана на правильном представлении риска, связанном с природными факторами. С учетом вероятности возможности возникновения аварийных ситуаций, одним из эффективных методов минимизации ущерба от потенциальных аварий является готовность к ним.</w:t>
      </w:r>
    </w:p>
    <w:p w14:paraId="2711631C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Район расположения участка считается не опасным по сейсмичности, а также по риску возникновения наводнений и паводков.</w:t>
      </w:r>
    </w:p>
    <w:p w14:paraId="6113EB42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Важнейшую роль в обеспечении безопасности рабочего персонала и охраны окружающей природной среды при намечаемой деятельности на участках играет система правил, нормативов, инструкций и стандартов, соблюдение которых обязательно руководителями и всеми сотрудниками предприятия. Рекомендации по предотвращению аварийных ситуаций:</w:t>
      </w:r>
    </w:p>
    <w:p w14:paraId="543524C2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• строгое выполнение проектных решений для персонала предприятия;</w:t>
      </w:r>
    </w:p>
    <w:p w14:paraId="15D001E4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• обязательное соблюдение всех правил техники безопасности при эксплуатации опасных производств;</w:t>
      </w:r>
    </w:p>
    <w:p w14:paraId="67E55261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• контроль за наличием спасательного и защитного оборудования и умением персонала им пользоваться;</w:t>
      </w:r>
    </w:p>
    <w:p w14:paraId="6396492C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 xml:space="preserve">• </w:t>
      </w:r>
      <w:r w:rsidRPr="00037743">
        <w:rPr>
          <w:rFonts w:eastAsia="TimesNewRomanPSMT"/>
          <w:color w:val="000000"/>
          <w:sz w:val="24"/>
          <w:szCs w:val="24"/>
        </w:rPr>
        <w:t>своевременное устранение неполадок и сбоев в работе оборудования</w:t>
      </w:r>
      <w:r w:rsidRPr="00037743">
        <w:rPr>
          <w:color w:val="000000"/>
          <w:sz w:val="24"/>
          <w:szCs w:val="24"/>
        </w:rPr>
        <w:t>;</w:t>
      </w:r>
    </w:p>
    <w:p w14:paraId="17821971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 xml:space="preserve">• </w:t>
      </w:r>
      <w:r w:rsidRPr="00037743">
        <w:rPr>
          <w:rFonts w:eastAsia="TimesNewRomanPSMT"/>
          <w:color w:val="000000"/>
          <w:sz w:val="24"/>
          <w:szCs w:val="24"/>
        </w:rPr>
        <w:t>все операции по ремонту оборудования проводить под контролем ответственного лица;</w:t>
      </w:r>
    </w:p>
    <w:p w14:paraId="7516D293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При своевременном и полномасштабном выполнении мероприятий по предупреждению чрезвычайных ситуаций возникновение аварийных ситуаций и соответственно экологический риск сводится к минимальным уровням.</w:t>
      </w:r>
    </w:p>
    <w:p w14:paraId="07993908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8) краткое описание: мер по предотвращению, сокращению, смягчению выявленных существенных воздействий намечаемой деятельности на окружающую среду; мер по компенсации потерь биоразнообразия, если намечаемая деятельность может привести к таким потерям; возможных необратимых воздействий намечаемой деятельности на окружающую среду и причин, по которым инициатором принято решение о выполнении операций, влекущих таких воздействия; способов и мер восстановления окружающей среды в случаях прекращения намечаемой деятельности;</w:t>
      </w:r>
    </w:p>
    <w:p w14:paraId="1C2DA37A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Проектом предусматривается строительство разводящих сетей газоснабжения</w:t>
      </w:r>
      <w:r w:rsidRPr="00037743">
        <w:rPr>
          <w:color w:val="000000"/>
          <w:sz w:val="24"/>
          <w:szCs w:val="24"/>
        </w:rPr>
        <w:t>.</w:t>
      </w:r>
    </w:p>
    <w:p w14:paraId="1DE5424F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При соблюдении требований Экологического кодекса Республики Казахстан строительство не окажет существенного негативного воздействия на окружающую среду.</w:t>
      </w:r>
    </w:p>
    <w:p w14:paraId="7F2D9302" w14:textId="77777777" w:rsidR="00037743" w:rsidRPr="00037743" w:rsidRDefault="00037743" w:rsidP="00037743">
      <w:pPr>
        <w:ind w:firstLine="709"/>
        <w:jc w:val="both"/>
        <w:rPr>
          <w:rFonts w:eastAsia="CIDFont+F1"/>
          <w:color w:val="000000"/>
          <w:sz w:val="24"/>
          <w:szCs w:val="24"/>
          <w:lang w:eastAsia="en-US"/>
        </w:rPr>
      </w:pPr>
      <w:r w:rsidRPr="00037743">
        <w:rPr>
          <w:rFonts w:eastAsia="CIDFont+F1"/>
          <w:color w:val="000000"/>
          <w:sz w:val="24"/>
          <w:szCs w:val="24"/>
          <w:lang w:eastAsia="en-US"/>
        </w:rPr>
        <w:t>Мероприятия по снижению воздействия на окружающую среду включают методы предотвращения и снижения загрязнения:</w:t>
      </w:r>
    </w:p>
    <w:p w14:paraId="126DAA6B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lastRenderedPageBreak/>
        <w:t>Воспитание персонала и населения в духе гуманного и бережного отношения к животным и растениям;</w:t>
      </w:r>
    </w:p>
    <w:p w14:paraId="142F738F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Контроль за предотвращением разрушения и повреждения гнезд, сбором яиц без разрешения уполномоченного органа;</w:t>
      </w:r>
    </w:p>
    <w:p w14:paraId="7B7100A0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Своевременный профилактический осмотр, ремонт и наладка работы техники;</w:t>
      </w:r>
    </w:p>
    <w:p w14:paraId="3931E57F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Организовать места сбора и временного хранения отходов;</w:t>
      </w:r>
    </w:p>
    <w:p w14:paraId="4A3E1E37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Обеспечить своевременный вывоз отходов в места захоронения, переработки или утилизации;</w:t>
      </w:r>
    </w:p>
    <w:p w14:paraId="4C19FF18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Исключение несанкционированных проездов вне дорожной сети;</w:t>
      </w:r>
    </w:p>
    <w:p w14:paraId="1C5C10C4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Поддержание в чистоте территории площадки и прилегающих площадей;</w:t>
      </w:r>
    </w:p>
    <w:p w14:paraId="12FBE8E7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Сохранение растительного слоя почвы;</w:t>
      </w:r>
    </w:p>
    <w:p w14:paraId="65229426" w14:textId="77777777" w:rsidR="00037743" w:rsidRPr="00037743" w:rsidRDefault="00037743" w:rsidP="00037743">
      <w:pPr>
        <w:pStyle w:val="a5"/>
        <w:numPr>
          <w:ilvl w:val="0"/>
          <w:numId w:val="4"/>
        </w:numPr>
        <w:spacing w:before="0"/>
        <w:ind w:left="0" w:firstLine="709"/>
        <w:rPr>
          <w:b w:val="0"/>
          <w:color w:val="000000"/>
        </w:rPr>
      </w:pPr>
      <w:r w:rsidRPr="00037743">
        <w:rPr>
          <w:b w:val="0"/>
          <w:color w:val="000000"/>
        </w:rPr>
        <w:t>Запрещение кормления и приманки диких животных;</w:t>
      </w:r>
    </w:p>
    <w:p w14:paraId="7A9A526A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Запрет на охоту и отстрел животных и птиц;</w:t>
      </w:r>
    </w:p>
    <w:p w14:paraId="0D5899D5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Предупреждение возникновения пожаров;</w:t>
      </w:r>
    </w:p>
    <w:p w14:paraId="1B123475" w14:textId="77777777" w:rsidR="00037743" w:rsidRPr="00037743" w:rsidRDefault="00037743" w:rsidP="00037743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color w:val="000000"/>
        </w:rPr>
      </w:pPr>
      <w:r w:rsidRPr="00037743">
        <w:rPr>
          <w:color w:val="000000"/>
        </w:rPr>
        <w:t xml:space="preserve">Сбор хозяйственно-бытовых стоков в </w:t>
      </w:r>
      <w:proofErr w:type="spellStart"/>
      <w:r w:rsidRPr="00037743">
        <w:rPr>
          <w:color w:val="000000"/>
        </w:rPr>
        <w:t>био</w:t>
      </w:r>
      <w:proofErr w:type="spellEnd"/>
      <w:r w:rsidRPr="00037743">
        <w:rPr>
          <w:color w:val="000000"/>
        </w:rPr>
        <w:t xml:space="preserve">-туалет, с последующим вывозом на очистные сооружения; </w:t>
      </w:r>
    </w:p>
    <w:p w14:paraId="24732933" w14:textId="77777777" w:rsidR="00037743" w:rsidRPr="00037743" w:rsidRDefault="00037743" w:rsidP="00037743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color w:val="000000"/>
        </w:rPr>
      </w:pPr>
      <w:r w:rsidRPr="00037743">
        <w:rPr>
          <w:color w:val="000000"/>
        </w:rPr>
        <w:t>Предотвращение разливов ГСМ.</w:t>
      </w:r>
    </w:p>
    <w:p w14:paraId="710041F2" w14:textId="77777777" w:rsidR="00037743" w:rsidRPr="00037743" w:rsidRDefault="00037743" w:rsidP="00037743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037743">
        <w:rPr>
          <w:color w:val="000000"/>
        </w:rPr>
        <w:t>Применение производственного оборудования с низким уровнем шума.</w:t>
      </w:r>
    </w:p>
    <w:p w14:paraId="31EED880" w14:textId="77777777" w:rsidR="00037743" w:rsidRPr="00037743" w:rsidRDefault="00037743" w:rsidP="00037743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color w:val="000000"/>
        </w:rPr>
      </w:pPr>
      <w:r w:rsidRPr="00037743">
        <w:rPr>
          <w:color w:val="000000"/>
        </w:rPr>
        <w:t>Строгая регламентация ведения работ на участке.</w:t>
      </w:r>
    </w:p>
    <w:p w14:paraId="32F47C72" w14:textId="77777777" w:rsidR="00037743" w:rsidRPr="00037743" w:rsidRDefault="00037743" w:rsidP="00037743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eastAsia="Times New Roman,Italic"/>
          <w:color w:val="000000"/>
        </w:rPr>
      </w:pPr>
      <w:r w:rsidRPr="00037743">
        <w:rPr>
          <w:rFonts w:eastAsia="Times New Roman,Italic"/>
          <w:color w:val="000000"/>
        </w:rPr>
        <w:t>Разработка оптимальных схем движения.</w:t>
      </w:r>
    </w:p>
    <w:p w14:paraId="6856E200" w14:textId="77777777" w:rsidR="00037743" w:rsidRPr="00037743" w:rsidRDefault="00037743" w:rsidP="00037743">
      <w:pPr>
        <w:pStyle w:val="a3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eastAsia="Calibri"/>
          <w:color w:val="000000"/>
        </w:rPr>
      </w:pPr>
      <w:r w:rsidRPr="00037743">
        <w:rPr>
          <w:rFonts w:eastAsia="Calibri"/>
          <w:color w:val="000000"/>
        </w:rPr>
        <w:t xml:space="preserve">Проведение контроля за параметрами шума и вибрации. </w:t>
      </w:r>
    </w:p>
    <w:p w14:paraId="682909DE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Мероприятия по профилактике пожаров:</w:t>
      </w:r>
    </w:p>
    <w:p w14:paraId="096C6AC2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- проводится контроль за противопожарным состоянием объектов карьера;</w:t>
      </w:r>
    </w:p>
    <w:p w14:paraId="1F48578A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- осуществляется постоянный контроль за состоянием связи;</w:t>
      </w:r>
    </w:p>
    <w:p w14:paraId="3553126A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- контроль за состоянием противопожарной защиты электрических подстанций и электрических сетей;</w:t>
      </w:r>
    </w:p>
    <w:p w14:paraId="4EF638B6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- проводится периодическое обучение и инструктаж персонала по правилам пользования первичными средствами пожаротушения.</w:t>
      </w:r>
    </w:p>
    <w:p w14:paraId="56EA6D8A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9) список источников информации, полученной в ходе выполнения оценки воздействия на окружающую среду:</w:t>
      </w:r>
    </w:p>
    <w:p w14:paraId="7A7935A6" w14:textId="77777777" w:rsidR="00037743" w:rsidRPr="00037743" w:rsidRDefault="00037743" w:rsidP="00037743">
      <w:pPr>
        <w:pStyle w:val="Default"/>
        <w:jc w:val="both"/>
      </w:pPr>
      <w:r w:rsidRPr="00037743">
        <w:t xml:space="preserve">Источниками экологической информации при составлении настоящего отчета являются: </w:t>
      </w:r>
    </w:p>
    <w:p w14:paraId="170C1E70" w14:textId="77777777" w:rsidR="00037743" w:rsidRPr="00037743" w:rsidRDefault="00037743" w:rsidP="00037743">
      <w:pPr>
        <w:pStyle w:val="Default"/>
        <w:numPr>
          <w:ilvl w:val="0"/>
          <w:numId w:val="3"/>
        </w:numPr>
        <w:ind w:left="0" w:firstLine="0"/>
        <w:jc w:val="both"/>
      </w:pPr>
      <w:r w:rsidRPr="00037743">
        <w:t>Рабочий проект</w:t>
      </w:r>
    </w:p>
    <w:p w14:paraId="46F86F5A" w14:textId="77777777" w:rsidR="00037743" w:rsidRPr="00037743" w:rsidRDefault="00037743" w:rsidP="00037743">
      <w:pPr>
        <w:pStyle w:val="Default"/>
        <w:numPr>
          <w:ilvl w:val="0"/>
          <w:numId w:val="3"/>
        </w:numPr>
        <w:ind w:left="0" w:firstLine="0"/>
        <w:jc w:val="both"/>
      </w:pPr>
      <w:r w:rsidRPr="00037743">
        <w:t>Данные земельного кадастра.</w:t>
      </w:r>
    </w:p>
    <w:p w14:paraId="43D4A02B" w14:textId="77777777" w:rsidR="00037743" w:rsidRPr="00037743" w:rsidRDefault="00037743" w:rsidP="00037743">
      <w:pPr>
        <w:pStyle w:val="Default"/>
        <w:numPr>
          <w:ilvl w:val="0"/>
          <w:numId w:val="3"/>
        </w:numPr>
        <w:ind w:left="0" w:firstLine="0"/>
        <w:jc w:val="both"/>
      </w:pPr>
      <w:r w:rsidRPr="00037743">
        <w:t>Информационный сайт РГП «</w:t>
      </w:r>
      <w:proofErr w:type="spellStart"/>
      <w:r w:rsidRPr="00037743">
        <w:t>Казгидромет</w:t>
      </w:r>
      <w:proofErr w:type="spellEnd"/>
      <w:r w:rsidRPr="00037743">
        <w:t xml:space="preserve">». </w:t>
      </w:r>
      <w:bookmarkEnd w:id="1"/>
    </w:p>
    <w:p w14:paraId="6EE60032" w14:textId="669AB423" w:rsidR="00AC4366" w:rsidRPr="00037743" w:rsidRDefault="00AC4366" w:rsidP="00117785">
      <w:pPr>
        <w:ind w:firstLine="851"/>
        <w:jc w:val="both"/>
        <w:rPr>
          <w:sz w:val="24"/>
          <w:szCs w:val="24"/>
        </w:rPr>
      </w:pPr>
    </w:p>
    <w:sectPr w:rsidR="00AC4366" w:rsidRPr="0003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74F"/>
    <w:multiLevelType w:val="hybridMultilevel"/>
    <w:tmpl w:val="14902D6C"/>
    <w:lvl w:ilvl="0" w:tplc="FFF63F7E">
      <w:numFmt w:val="bullet"/>
      <w:lvlText w:val="-"/>
      <w:lvlJc w:val="left"/>
      <w:pPr>
        <w:ind w:left="128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B142D24">
      <w:numFmt w:val="bullet"/>
      <w:lvlText w:val="•"/>
      <w:lvlJc w:val="left"/>
      <w:pPr>
        <w:ind w:left="2200" w:hanging="152"/>
      </w:pPr>
      <w:rPr>
        <w:rFonts w:hint="default"/>
        <w:lang w:val="ru-RU" w:eastAsia="en-US" w:bidi="ar-SA"/>
      </w:rPr>
    </w:lvl>
    <w:lvl w:ilvl="2" w:tplc="4BDA83B8">
      <w:numFmt w:val="bullet"/>
      <w:lvlText w:val="•"/>
      <w:lvlJc w:val="left"/>
      <w:pPr>
        <w:ind w:left="3121" w:hanging="152"/>
      </w:pPr>
      <w:rPr>
        <w:rFonts w:hint="default"/>
        <w:lang w:val="ru-RU" w:eastAsia="en-US" w:bidi="ar-SA"/>
      </w:rPr>
    </w:lvl>
    <w:lvl w:ilvl="3" w:tplc="AD2E527A">
      <w:numFmt w:val="bullet"/>
      <w:lvlText w:val="•"/>
      <w:lvlJc w:val="left"/>
      <w:pPr>
        <w:ind w:left="4042" w:hanging="152"/>
      </w:pPr>
      <w:rPr>
        <w:rFonts w:hint="default"/>
        <w:lang w:val="ru-RU" w:eastAsia="en-US" w:bidi="ar-SA"/>
      </w:rPr>
    </w:lvl>
    <w:lvl w:ilvl="4" w:tplc="854C5C7C">
      <w:numFmt w:val="bullet"/>
      <w:lvlText w:val="•"/>
      <w:lvlJc w:val="left"/>
      <w:pPr>
        <w:ind w:left="4963" w:hanging="152"/>
      </w:pPr>
      <w:rPr>
        <w:rFonts w:hint="default"/>
        <w:lang w:val="ru-RU" w:eastAsia="en-US" w:bidi="ar-SA"/>
      </w:rPr>
    </w:lvl>
    <w:lvl w:ilvl="5" w:tplc="9E8C096C">
      <w:numFmt w:val="bullet"/>
      <w:lvlText w:val="•"/>
      <w:lvlJc w:val="left"/>
      <w:pPr>
        <w:ind w:left="5884" w:hanging="152"/>
      </w:pPr>
      <w:rPr>
        <w:rFonts w:hint="default"/>
        <w:lang w:val="ru-RU" w:eastAsia="en-US" w:bidi="ar-SA"/>
      </w:rPr>
    </w:lvl>
    <w:lvl w:ilvl="6" w:tplc="CFEC06E4">
      <w:numFmt w:val="bullet"/>
      <w:lvlText w:val="•"/>
      <w:lvlJc w:val="left"/>
      <w:pPr>
        <w:ind w:left="6805" w:hanging="152"/>
      </w:pPr>
      <w:rPr>
        <w:rFonts w:hint="default"/>
        <w:lang w:val="ru-RU" w:eastAsia="en-US" w:bidi="ar-SA"/>
      </w:rPr>
    </w:lvl>
    <w:lvl w:ilvl="7" w:tplc="9B14E67A">
      <w:numFmt w:val="bullet"/>
      <w:lvlText w:val="•"/>
      <w:lvlJc w:val="left"/>
      <w:pPr>
        <w:ind w:left="7726" w:hanging="152"/>
      </w:pPr>
      <w:rPr>
        <w:rFonts w:hint="default"/>
        <w:lang w:val="ru-RU" w:eastAsia="en-US" w:bidi="ar-SA"/>
      </w:rPr>
    </w:lvl>
    <w:lvl w:ilvl="8" w:tplc="57D62EF4">
      <w:numFmt w:val="bullet"/>
      <w:lvlText w:val="•"/>
      <w:lvlJc w:val="left"/>
      <w:pPr>
        <w:ind w:left="8647" w:hanging="152"/>
      </w:pPr>
      <w:rPr>
        <w:rFonts w:hint="default"/>
        <w:lang w:val="ru-RU" w:eastAsia="en-US" w:bidi="ar-SA"/>
      </w:rPr>
    </w:lvl>
  </w:abstractNum>
  <w:abstractNum w:abstractNumId="1">
    <w:nsid w:val="1E153974"/>
    <w:multiLevelType w:val="hybridMultilevel"/>
    <w:tmpl w:val="102CCEBC"/>
    <w:lvl w:ilvl="0" w:tplc="768AE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9296F"/>
    <w:multiLevelType w:val="hybridMultilevel"/>
    <w:tmpl w:val="9724D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FD3655"/>
    <w:multiLevelType w:val="multilevel"/>
    <w:tmpl w:val="AB9C2D18"/>
    <w:lvl w:ilvl="0">
      <w:start w:val="1"/>
      <w:numFmt w:val="decimal"/>
      <w:lvlText w:val="%1)"/>
      <w:lvlJc w:val="left"/>
      <w:pPr>
        <w:ind w:left="142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68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256" w:hanging="11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3926" w:hanging="5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"/>
      <w:lvlJc w:val="left"/>
      <w:pPr>
        <w:ind w:left="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06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8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60" w:hanging="281"/>
      </w:pPr>
      <w:rPr>
        <w:rFonts w:hint="default"/>
        <w:lang w:val="ru-RU" w:eastAsia="en-US" w:bidi="ar-SA"/>
      </w:rPr>
    </w:lvl>
  </w:abstractNum>
  <w:abstractNum w:abstractNumId="4">
    <w:nsid w:val="4F0E2391"/>
    <w:multiLevelType w:val="hybridMultilevel"/>
    <w:tmpl w:val="4880D22C"/>
    <w:lvl w:ilvl="0" w:tplc="8D48AB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940530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F8206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DF6E5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B6A54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6765C1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E46FC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60D91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42F2D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812186"/>
    <w:multiLevelType w:val="hybridMultilevel"/>
    <w:tmpl w:val="9CBE9578"/>
    <w:lvl w:ilvl="0" w:tplc="B4C8098A">
      <w:numFmt w:val="bullet"/>
      <w:lvlText w:val=""/>
      <w:lvlJc w:val="left"/>
      <w:pPr>
        <w:ind w:left="42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922060">
      <w:numFmt w:val="bullet"/>
      <w:lvlText w:val="•"/>
      <w:lvlJc w:val="left"/>
      <w:pPr>
        <w:ind w:left="1426" w:hanging="425"/>
      </w:pPr>
      <w:rPr>
        <w:rFonts w:hint="default"/>
        <w:lang w:val="ru-RU" w:eastAsia="en-US" w:bidi="ar-SA"/>
      </w:rPr>
    </w:lvl>
    <w:lvl w:ilvl="2" w:tplc="69BCDE9C">
      <w:numFmt w:val="bullet"/>
      <w:lvlText w:val="•"/>
      <w:lvlJc w:val="left"/>
      <w:pPr>
        <w:ind w:left="2433" w:hanging="425"/>
      </w:pPr>
      <w:rPr>
        <w:rFonts w:hint="default"/>
        <w:lang w:val="ru-RU" w:eastAsia="en-US" w:bidi="ar-SA"/>
      </w:rPr>
    </w:lvl>
    <w:lvl w:ilvl="3" w:tplc="99EA4432">
      <w:numFmt w:val="bullet"/>
      <w:lvlText w:val="•"/>
      <w:lvlJc w:val="left"/>
      <w:pPr>
        <w:ind w:left="3440" w:hanging="425"/>
      </w:pPr>
      <w:rPr>
        <w:rFonts w:hint="default"/>
        <w:lang w:val="ru-RU" w:eastAsia="en-US" w:bidi="ar-SA"/>
      </w:rPr>
    </w:lvl>
    <w:lvl w:ilvl="4" w:tplc="C4BE2418">
      <w:numFmt w:val="bullet"/>
      <w:lvlText w:val="•"/>
      <w:lvlJc w:val="left"/>
      <w:pPr>
        <w:ind w:left="4447" w:hanging="425"/>
      </w:pPr>
      <w:rPr>
        <w:rFonts w:hint="default"/>
        <w:lang w:val="ru-RU" w:eastAsia="en-US" w:bidi="ar-SA"/>
      </w:rPr>
    </w:lvl>
    <w:lvl w:ilvl="5" w:tplc="2960D616">
      <w:numFmt w:val="bullet"/>
      <w:lvlText w:val="•"/>
      <w:lvlJc w:val="left"/>
      <w:pPr>
        <w:ind w:left="5454" w:hanging="425"/>
      </w:pPr>
      <w:rPr>
        <w:rFonts w:hint="default"/>
        <w:lang w:val="ru-RU" w:eastAsia="en-US" w:bidi="ar-SA"/>
      </w:rPr>
    </w:lvl>
    <w:lvl w:ilvl="6" w:tplc="A336C688">
      <w:numFmt w:val="bullet"/>
      <w:lvlText w:val="•"/>
      <w:lvlJc w:val="left"/>
      <w:pPr>
        <w:ind w:left="6461" w:hanging="425"/>
      </w:pPr>
      <w:rPr>
        <w:rFonts w:hint="default"/>
        <w:lang w:val="ru-RU" w:eastAsia="en-US" w:bidi="ar-SA"/>
      </w:rPr>
    </w:lvl>
    <w:lvl w:ilvl="7" w:tplc="E9981B48">
      <w:numFmt w:val="bullet"/>
      <w:lvlText w:val="•"/>
      <w:lvlJc w:val="left"/>
      <w:pPr>
        <w:ind w:left="7468" w:hanging="425"/>
      </w:pPr>
      <w:rPr>
        <w:rFonts w:hint="default"/>
        <w:lang w:val="ru-RU" w:eastAsia="en-US" w:bidi="ar-SA"/>
      </w:rPr>
    </w:lvl>
    <w:lvl w:ilvl="8" w:tplc="0BECB284">
      <w:numFmt w:val="bullet"/>
      <w:lvlText w:val="•"/>
      <w:lvlJc w:val="left"/>
      <w:pPr>
        <w:ind w:left="8475" w:hanging="425"/>
      </w:pPr>
      <w:rPr>
        <w:rFonts w:hint="default"/>
        <w:lang w:val="ru-RU" w:eastAsia="en-US" w:bidi="ar-SA"/>
      </w:rPr>
    </w:lvl>
  </w:abstractNum>
  <w:abstractNum w:abstractNumId="6">
    <w:nsid w:val="5EE41AAE"/>
    <w:multiLevelType w:val="hybridMultilevel"/>
    <w:tmpl w:val="975AF804"/>
    <w:lvl w:ilvl="0" w:tplc="5B80C01A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370CDDC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13E6D662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068EC5CE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0FEC3E8E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3B102CF0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7570BE52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06C287A2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F6246572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7">
    <w:nsid w:val="741054B2"/>
    <w:multiLevelType w:val="hybridMultilevel"/>
    <w:tmpl w:val="CDC0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8E"/>
    <w:rsid w:val="00037743"/>
    <w:rsid w:val="00117785"/>
    <w:rsid w:val="003B0C66"/>
    <w:rsid w:val="00A2588E"/>
    <w:rsid w:val="00A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F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4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1">
    <w:name w:val="heading 1"/>
    <w:aliases w:val="Заголовок 1 Знак Знак"/>
    <w:basedOn w:val="a"/>
    <w:next w:val="a"/>
    <w:link w:val="10"/>
    <w:uiPriority w:val="99"/>
    <w:qFormat/>
    <w:rsid w:val="0003774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C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C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C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"/>
    <w:basedOn w:val="a0"/>
    <w:link w:val="1"/>
    <w:uiPriority w:val="99"/>
    <w:rsid w:val="00037743"/>
    <w:rPr>
      <w:rFonts w:ascii="Arial" w:eastAsia="Calibri" w:hAnsi="Arial" w:cs="Times New Roman"/>
      <w:b/>
      <w:bCs/>
      <w:kern w:val="32"/>
      <w:sz w:val="32"/>
      <w:szCs w:val="32"/>
      <w:lang w:val="x-none" w:eastAsia="ar-SA"/>
    </w:rPr>
  </w:style>
  <w:style w:type="paragraph" w:styleId="a3">
    <w:name w:val="List Paragraph"/>
    <w:aliases w:val="Paragraph,Resume Title,List Paragraph Char Char,Bullet 1,b1,Number_1,SGLText List Paragraph,new,lp1,Normal Sentence,Colorful List - Accent 11,ListPar1,List Paragraph2,List Paragraph11,list1,Figure_name,HEAD 3,Citation List,List Paragraph1,罗"/>
    <w:basedOn w:val="a"/>
    <w:link w:val="a4"/>
    <w:uiPriority w:val="1"/>
    <w:qFormat/>
    <w:rsid w:val="00037743"/>
    <w:pPr>
      <w:suppressAutoHyphens w:val="0"/>
      <w:ind w:left="708"/>
    </w:pPr>
    <w:rPr>
      <w:rFonts w:eastAsia="Times New Roman"/>
      <w:sz w:val="24"/>
      <w:szCs w:val="24"/>
      <w:lang w:eastAsia="ru-RU"/>
    </w:rPr>
  </w:style>
  <w:style w:type="character" w:customStyle="1" w:styleId="a4">
    <w:name w:val="Абзац списка Знак"/>
    <w:aliases w:val="Paragraph Знак,Resume Title Знак,List Paragraph Char Char Знак,Bullet 1 Знак,b1 Знак,Number_1 Знак,SGLText List Paragraph Знак,new Знак,lp1 Знак,Normal Sentence Знак,Colorful List - Accent 11 Знак,ListPar1 Знак,List Paragraph2 Знак"/>
    <w:link w:val="a3"/>
    <w:uiPriority w:val="34"/>
    <w:qFormat/>
    <w:rsid w:val="00037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37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ункт"/>
    <w:basedOn w:val="a6"/>
    <w:uiPriority w:val="99"/>
    <w:rsid w:val="00037743"/>
    <w:pPr>
      <w:suppressAutoHyphens w:val="0"/>
      <w:spacing w:before="240" w:after="0"/>
      <w:ind w:firstLine="709"/>
      <w:jc w:val="both"/>
    </w:pPr>
    <w:rPr>
      <w:rFonts w:eastAsia="Times New Roman"/>
      <w:b/>
      <w:sz w:val="24"/>
      <w:szCs w:val="24"/>
      <w:lang w:val="x-none" w:eastAsia="ru-RU"/>
    </w:rPr>
  </w:style>
  <w:style w:type="paragraph" w:styleId="a6">
    <w:name w:val="Body Text"/>
    <w:basedOn w:val="a"/>
    <w:link w:val="a7"/>
    <w:uiPriority w:val="99"/>
    <w:semiHidden/>
    <w:unhideWhenUsed/>
    <w:rsid w:val="0003774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37743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B0C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B0C66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B0C66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3B0C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0C66"/>
    <w:pPr>
      <w:widowControl w:val="0"/>
      <w:suppressAutoHyphens w:val="0"/>
      <w:autoSpaceDE w:val="0"/>
      <w:autoSpaceDN w:val="0"/>
      <w:jc w:val="center"/>
    </w:pPr>
    <w:rPr>
      <w:rFonts w:eastAsia="Times New Roman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3B0C66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B0C6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4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1">
    <w:name w:val="heading 1"/>
    <w:aliases w:val="Заголовок 1 Знак Знак"/>
    <w:basedOn w:val="a"/>
    <w:next w:val="a"/>
    <w:link w:val="10"/>
    <w:uiPriority w:val="99"/>
    <w:qFormat/>
    <w:rsid w:val="0003774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C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C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C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"/>
    <w:basedOn w:val="a0"/>
    <w:link w:val="1"/>
    <w:uiPriority w:val="99"/>
    <w:rsid w:val="00037743"/>
    <w:rPr>
      <w:rFonts w:ascii="Arial" w:eastAsia="Calibri" w:hAnsi="Arial" w:cs="Times New Roman"/>
      <w:b/>
      <w:bCs/>
      <w:kern w:val="32"/>
      <w:sz w:val="32"/>
      <w:szCs w:val="32"/>
      <w:lang w:val="x-none" w:eastAsia="ar-SA"/>
    </w:rPr>
  </w:style>
  <w:style w:type="paragraph" w:styleId="a3">
    <w:name w:val="List Paragraph"/>
    <w:aliases w:val="Paragraph,Resume Title,List Paragraph Char Char,Bullet 1,b1,Number_1,SGLText List Paragraph,new,lp1,Normal Sentence,Colorful List - Accent 11,ListPar1,List Paragraph2,List Paragraph11,list1,Figure_name,HEAD 3,Citation List,List Paragraph1,罗"/>
    <w:basedOn w:val="a"/>
    <w:link w:val="a4"/>
    <w:uiPriority w:val="1"/>
    <w:qFormat/>
    <w:rsid w:val="00037743"/>
    <w:pPr>
      <w:suppressAutoHyphens w:val="0"/>
      <w:ind w:left="708"/>
    </w:pPr>
    <w:rPr>
      <w:rFonts w:eastAsia="Times New Roman"/>
      <w:sz w:val="24"/>
      <w:szCs w:val="24"/>
      <w:lang w:eastAsia="ru-RU"/>
    </w:rPr>
  </w:style>
  <w:style w:type="character" w:customStyle="1" w:styleId="a4">
    <w:name w:val="Абзац списка Знак"/>
    <w:aliases w:val="Paragraph Знак,Resume Title Знак,List Paragraph Char Char Знак,Bullet 1 Знак,b1 Знак,Number_1 Знак,SGLText List Paragraph Знак,new Знак,lp1 Знак,Normal Sentence Знак,Colorful List - Accent 11 Знак,ListPar1 Знак,List Paragraph2 Знак"/>
    <w:link w:val="a3"/>
    <w:uiPriority w:val="34"/>
    <w:qFormat/>
    <w:rsid w:val="00037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37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ункт"/>
    <w:basedOn w:val="a6"/>
    <w:uiPriority w:val="99"/>
    <w:rsid w:val="00037743"/>
    <w:pPr>
      <w:suppressAutoHyphens w:val="0"/>
      <w:spacing w:before="240" w:after="0"/>
      <w:ind w:firstLine="709"/>
      <w:jc w:val="both"/>
    </w:pPr>
    <w:rPr>
      <w:rFonts w:eastAsia="Times New Roman"/>
      <w:b/>
      <w:sz w:val="24"/>
      <w:szCs w:val="24"/>
      <w:lang w:val="x-none" w:eastAsia="ru-RU"/>
    </w:rPr>
  </w:style>
  <w:style w:type="paragraph" w:styleId="a6">
    <w:name w:val="Body Text"/>
    <w:basedOn w:val="a"/>
    <w:link w:val="a7"/>
    <w:uiPriority w:val="99"/>
    <w:semiHidden/>
    <w:unhideWhenUsed/>
    <w:rsid w:val="0003774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37743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3B0C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B0C66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B0C66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3B0C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0C66"/>
    <w:pPr>
      <w:widowControl w:val="0"/>
      <w:suppressAutoHyphens w:val="0"/>
      <w:autoSpaceDE w:val="0"/>
      <w:autoSpaceDN w:val="0"/>
      <w:jc w:val="center"/>
    </w:pPr>
    <w:rPr>
      <w:rFonts w:eastAsia="Times New Roman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3B0C66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B0C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2300</Words>
  <Characters>13113</Characters>
  <Application>Microsoft Office Word</Application>
  <DocSecurity>0</DocSecurity>
  <Lines>109</Lines>
  <Paragraphs>30</Paragraphs>
  <ScaleCrop>false</ScaleCrop>
  <Company/>
  <LinksUpToDate>false</LinksUpToDate>
  <CharactersWithSpaces>15383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4</cp:revision>
  <dcterms:created xsi:type="dcterms:W3CDTF">2025-09-24T06:26:00Z</dcterms:created>
  <dcterms:modified xsi:type="dcterms:W3CDTF">2026-04-29T13:28:00Z</dcterms:modified>
</cp:coreProperties>
</file>